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Researcher AI Survey — Work Log</w:t>
      </w:r>
    </w:p>
    <w:p>
      <w:pPr>
        <w:pStyle w:val="Author"/>
      </w:pPr>
      <w:r>
        <w:t xml:space="preserve">Compiled</w:t>
      </w:r>
      <w:r>
        <w:t xml:space="preserve"> </w:t>
      </w:r>
      <w:r>
        <w:t xml:space="preserve">from</w:t>
      </w:r>
      <w:r>
        <w:t xml:space="preserve"> </w:t>
      </w:r>
      <w:r>
        <w:t xml:space="preserve">session</w:t>
      </w:r>
      <w:r>
        <w:t xml:space="preserve"> </w:t>
      </w:r>
      <w:r>
        <w:t xml:space="preserve">history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22,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overview"/>
      <w:r>
        <w:t xml:space="preserve">Overview</w:t>
      </w:r>
      <w:bookmarkEnd w:id="20"/>
    </w:p>
    <w:p>
      <w:pPr>
        <w:pStyle w:val="FirstParagraph"/>
      </w:pPr>
      <w:r>
        <w:t xml:space="preserve">This document reconstructs everything done across past sessions on the Gopnik Lab AI research project: the 227-participant adult</w:t>
      </w:r>
      <w:r>
        <w:t xml:space="preserve"> </w:t>
      </w:r>
      <w:r>
        <w:t xml:space="preserve">“</w:t>
      </w:r>
      <w:r>
        <w:t xml:space="preserve">Researcher AI</w:t>
      </w:r>
      <w:r>
        <w:t xml:space="preserve">”</w:t>
      </w:r>
      <w:r>
        <w:t xml:space="preserve"> </w:t>
      </w:r>
      <w:r>
        <w:t xml:space="preserve">survey (codebase, data export, and statistical analysis) and its planned extension to a research-scholars/PhD-level survey. It is compiled from the transcripts of the relevant past sessions, since this conversation has no prior turns of its own.</w:t>
      </w:r>
    </w:p>
    <w:p>
      <w:pPr>
        <w:pStyle w:val="Heading1"/>
      </w:pPr>
      <w:bookmarkStart w:id="21" w:name="the-227-participant-survey-study-design"/>
      <w:r>
        <w:t xml:space="preserve">1. The 227-Participant Survey: Study Design</w:t>
      </w:r>
      <w:bookmarkEnd w:id="21"/>
    </w:p>
    <w:p>
      <w:pPr>
        <w:pStyle w:val="FirstParagraph"/>
      </w:pPr>
      <w:r>
        <w:t xml:space="preserve">The study (N = 227 U.S. adults) investigates whether people use generative AI as a thinking scaffold (</w:t>
      </w:r>
      <w:r>
        <w:t xml:space="preserve">“</w:t>
      </w:r>
      <w:r>
        <w:t xml:space="preserve">cultural technology</w:t>
      </w:r>
      <w:r>
        <w:t xml:space="preserve">”</w:t>
      </w:r>
      <w:r>
        <w:t xml:space="preserve">) or delegate cognitive work to it outright. Core measures: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ai_used</w:t>
      </w:r>
      <w:r>
        <w:t xml:space="preserve">): whether the participant opened the optional AI assistant.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uptake</w:t>
      </w:r>
      <w:r>
        <w:t xml:space="preserve">: Jaccard lexical similarity and embedding cosine similarity (</w:t>
      </w:r>
      <w:r>
        <w:rPr>
          <w:rStyle w:val="VerbatimChar"/>
        </w:rPr>
        <w:t xml:space="preserve">sentence-transformers/all-MiniLM-L6-v2</w:t>
      </w:r>
      <w:r>
        <w:t xml:space="preserve">) between the participant’s response and the AI’s response.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Epistemic ownership</w:t>
      </w:r>
      <w:r>
        <w:t xml:space="preserve">: post-task 1–7 rating of whose thinking the response reflects, binary-recoded (1–3 = AI’s, 5–7 = own; midpoint 4 excluded).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intent code</w:t>
      </w:r>
      <w:r>
        <w:t xml:space="preserve">: Asking / Doing / Expressing, LLM-coded from participants’ typed prompts.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Pre-task independence sliders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z_user_decides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z_independent</w:t>
      </w:r>
      <w:r>
        <w:t xml:space="preserve"> </w:t>
      </w:r>
      <w:r>
        <w:t xml:space="preserve">(kept separate, low inter-item correlation, r = .20).</w:t>
      </w:r>
    </w:p>
    <w:p>
      <w:pPr>
        <w:pStyle w:val="FirstParagraph"/>
      </w:pPr>
      <w:r>
        <w:t xml:space="preserve">Preregistered Models 1–4 test independence beliefs against AI use, uptake, and ownership. Exploratory Analyses 1–8 cover AI conceptualization, learning curve/tenure, task category, intent code, reading depth, an embedding-based robustness replication, domain-specific use frequency, and engagement/timing.</w:t>
      </w:r>
    </w:p>
    <w:p>
      <w:pPr>
        <w:pStyle w:val="Heading1"/>
      </w:pPr>
      <w:bookmarkStart w:id="22" w:name="survey-platform-data-export-engineering"/>
      <w:r>
        <w:t xml:space="preserve">2. Survey Platform &amp; Data Export Engineering</w:t>
      </w:r>
      <w:bookmarkEnd w:id="22"/>
    </w:p>
    <w:p>
      <w:pPr>
        <w:pStyle w:val="FirstParagraph"/>
      </w:pPr>
      <w:r>
        <w:t xml:space="preserve">Work on the live survey app (</w:t>
      </w:r>
      <w:r>
        <w:rPr>
          <w:rStyle w:val="VerbatimChar"/>
        </w:rPr>
        <w:t xml:space="preserve">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lib/export-csv.js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public/researcher_ai_survey.js/html</w:t>
      </w:r>
      <w:r>
        <w:t xml:space="preserve">) in the project folder, done across two sessions (</w:t>
      </w:r>
      <w:r>
        <w:t xml:space="preserve">“</w:t>
      </w:r>
      <w:r>
        <w:t xml:space="preserve">AI perception survey</w:t>
      </w:r>
      <w:r>
        <w:t xml:space="preserve">”</w:t>
      </w:r>
      <w:r>
        <w:t xml:space="preserve">):</w:t>
      </w:r>
    </w:p>
    <w:p>
      <w:pPr>
        <w:pStyle w:val="BodyText"/>
      </w:pPr>
      <w:r>
        <w:rPr>
          <w:b/>
        </w:rPr>
        <w:t xml:space="preserve">Cleanup/staging pass.</w:t>
      </w:r>
      <w:r>
        <w:t xml:space="preserve"> </w:t>
      </w:r>
      <w:r>
        <w:t xml:space="preserve">Audited the repo, separating export-feature files (the new</w:t>
      </w:r>
      <w:r>
        <w:t xml:space="preserve"> </w:t>
      </w:r>
      <w:r>
        <w:rPr>
          <w:rStyle w:val="VerbatimChar"/>
        </w:rPr>
        <w:t xml:space="preserve">lib/export-csv.js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/admin/export</w:t>
      </w:r>
      <w:r>
        <w:t xml:space="preserve"> </w:t>
      </w:r>
      <w:r>
        <w:t xml:space="preserve">route,</w:t>
      </w:r>
      <w:r>
        <w:t xml:space="preserve"> </w:t>
      </w:r>
      <w:r>
        <w:rPr>
          <w:rStyle w:val="VerbatimChar"/>
        </w:rPr>
        <w:t xml:space="preserve">public/admin-export.html</w:t>
      </w:r>
      <w:r>
        <w:t xml:space="preserve">, test suite) from pre-existing unrelated files (</w:t>
      </w:r>
      <w:r>
        <w:rPr>
          <w:rStyle w:val="VerbatimChar"/>
        </w:rPr>
        <w:t xml:space="preserve">survey-analysis.Rmd</w:t>
      </w:r>
      <w:r>
        <w:t xml:space="preserve">, the participant CSVs, a stray 0-byte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file, a scratch</w:t>
      </w:r>
      <w:r>
        <w:t xml:space="preserve"> </w:t>
      </w:r>
      <w:r>
        <w:rPr>
          <w:rStyle w:val="VerbatimChar"/>
        </w:rPr>
        <w:t xml:space="preserve">.verify_assignment_sim.js</w:t>
      </w:r>
      <w:r>
        <w:t xml:space="preserve">). Proposed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additions for future exports and scratch files. Verified syntax and ran the export test suite (39 tests). Provided a scoped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command and commit message — nothing was staged or committed automatically.</w:t>
      </w:r>
    </w:p>
    <w:p>
      <w:pPr>
        <w:pStyle w:val="BodyText"/>
      </w:pPr>
      <w:r>
        <w:rPr>
          <w:b/>
        </w:rPr>
        <w:t xml:space="preserve">Export schema rebuild.</w:t>
      </w:r>
      <w:r>
        <w:t xml:space="preserve"> </w:t>
      </w:r>
      <w:r>
        <w:t xml:space="preserve">Implemented the researcher’s full specification for the accumulated export: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ai_purpose_other</w:t>
      </w:r>
      <w:r>
        <w:t xml:space="preserve"> </w:t>
      </w:r>
      <w:r>
        <w:t xml:space="preserve">falls back from</w:t>
      </w:r>
      <w:r>
        <w:t xml:space="preserve"> </w:t>
      </w:r>
      <w:r>
        <w:rPr>
          <w:rStyle w:val="VerbatimChar"/>
        </w:rPr>
        <w:t xml:space="preserve">responses.ai_purpose_specify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responses["rg-ai-purpose-specify"]</w:t>
      </w:r>
      <w:r>
        <w:t xml:space="preserve"> </w:t>
      </w:r>
      <w:r>
        <w:t xml:space="preserve">→ blank, while preserving original keys in</w:t>
      </w:r>
      <w:r>
        <w:t xml:space="preserve"> </w:t>
      </w:r>
      <w:r>
        <w:rPr>
          <w:rStyle w:val="VerbatimChar"/>
        </w:rPr>
        <w:t xml:space="preserve">responses_json</w:t>
      </w:r>
      <w:r>
        <w:t xml:space="preserve">.</w:t>
      </w:r>
      <w:r>
        <w:t xml:space="preserve"> </w:t>
      </w:r>
      <w:r>
        <w:t xml:space="preserve">- Removed three raw JSON columns from the CSV (</w:t>
      </w:r>
      <w:r>
        <w:rPr>
          <w:rStyle w:val="VerbatimChar"/>
        </w:rPr>
        <w:t xml:space="preserve">ai_message_log_json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behavioral_events_json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raw_record_json</w:t>
      </w:r>
      <w:r>
        <w:t xml:space="preserve">) without touching the underlying data or the full JSON export.</w:t>
      </w:r>
      <w:r>
        <w:t xml:space="preserve"> </w:t>
      </w:r>
      <w:r>
        <w:t xml:space="preserve">- Built 40 fixed AI-transcript columns:</w:t>
      </w:r>
      <w:r>
        <w:t xml:space="preserve"> </w:t>
      </w:r>
      <w:r>
        <w:rPr>
          <w:rStyle w:val="VerbatimChar"/>
        </w:rPr>
        <w:t xml:space="preserve">paper_&lt;1|2&gt;_{participant_message, participant_message_time, ai_message, ai_message_time}_&lt;1-5&gt;</w:t>
      </w:r>
      <w:r>
        <w:t xml:space="preserve">, ordered by</w:t>
      </w:r>
      <w:r>
        <w:t xml:space="preserve"> </w:t>
      </w:r>
      <w:r>
        <w:rPr>
          <w:rStyle w:val="VerbatimChar"/>
        </w:rPr>
        <w:t xml:space="preserve">message_number</w:t>
      </w:r>
      <w:r>
        <w:t xml:space="preserve"> </w:t>
      </w:r>
      <w:r>
        <w:t xml:space="preserve">(fallback</w:t>
      </w:r>
      <w:r>
        <w:t xml:space="preserve"> </w:t>
      </w:r>
      <w:r>
        <w:rPr>
          <w:rStyle w:val="VerbatimChar"/>
        </w:rPr>
        <w:t xml:space="preserve">submit_ts_iso</w:t>
      </w:r>
      <w:r>
        <w:t xml:space="preserve">), mapped to assigned paper position.</w:t>
      </w:r>
      <w:r>
        <w:t xml:space="preserve"> </w:t>
      </w:r>
      <w:r>
        <w:t xml:space="preserve">- Encoded a three-way missing-value rule: literal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only for genuinely inapplicable slots (No-AI condition, or fewer than five exchanges); blank for a failed AI request (prompt/timestamp preserved, AI fields blank); never literal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/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t xml:space="preserve">- Kept all per-paper/participant AI summary fields (prompt counts, success/failure counts, time-to-first-open, etc.) and confirmed the full JSON export still returns every original field (</w:t>
      </w:r>
      <w:r>
        <w:rPr>
          <w:rStyle w:val="VerbatimChar"/>
        </w:rPr>
        <w:t xml:space="preserve">ai_message_log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behavioral_events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ai_chats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ai_paper_aggregates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</w:t>
      </w:r>
      <w:r>
        <w:t xml:space="preserve">, assignment/submission metadata).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test/export.test.js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test/admin-endpoints.test.js</w:t>
      </w:r>
      <w:r>
        <w:t xml:space="preserve"> </w:t>
      </w:r>
      <w:r>
        <w:t xml:space="preserve">to cover all 16 required behaviors.</w:t>
      </w:r>
    </w:p>
    <w:p>
      <w:pPr>
        <w:pStyle w:val="BodyText"/>
      </w:pPr>
      <w:r>
        <w:t xml:space="preserve">Verified the implementation was actually saved to the real local project path (</w:t>
      </w:r>
      <w:r>
        <w:rPr>
          <w:rStyle w:val="VerbatimChar"/>
        </w:rPr>
        <w:t xml:space="preserve">C:\Users\lengo\Desktop\gopnik-ai</w:t>
      </w:r>
      <w:r>
        <w:t xml:space="preserve">, not just a sandbox copy) by re-reading each file from disk after a prior session’s edits had apparently not persisted.</w:t>
      </w:r>
    </w:p>
    <w:p>
      <w:pPr>
        <w:pStyle w:val="BodyText"/>
      </w:pPr>
      <w:r>
        <w:rPr>
          <w:b/>
        </w:rPr>
        <w:t xml:space="preserve">Test-environment fix.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constructed</w:t>
      </w:r>
      <w:r>
        <w:t xml:space="preserve"> </w:t>
      </w:r>
      <w:r>
        <w:rPr>
          <w:rStyle w:val="VerbatimChar"/>
        </w:rPr>
        <w:t xml:space="preserve">new Firestore()</w:t>
      </w:r>
      <w:r>
        <w:t xml:space="preserve"> </w:t>
      </w:r>
      <w:r>
        <w:t xml:space="preserve">unconditionally at startup, hanging the HTTP-level test suite without GCP credentials (7 of 39 tests failing for environment reasons, not logic). Refactored to a lazy</w:t>
      </w:r>
      <w:r>
        <w:t xml:space="preserve"> </w:t>
      </w:r>
      <w:r>
        <w:rPr>
          <w:rStyle w:val="VerbatimChar"/>
        </w:rPr>
        <w:t xml:space="preserve">getFirestore()</w:t>
      </w:r>
      <w:r>
        <w:t xml:space="preserve"> </w:t>
      </w:r>
      <w:r>
        <w:t xml:space="preserve">helper so only Firestore-dependent routes initialize the client, made</w:t>
      </w:r>
      <w:r>
        <w:t xml:space="preserve"> </w:t>
      </w:r>
      <w:r>
        <w:rPr>
          <w:rStyle w:val="VerbatimChar"/>
        </w:rPr>
        <w:t xml:space="preserve">DATA_DIR</w:t>
      </w:r>
      <w:r>
        <w:t xml:space="preserve"> </w:t>
      </w:r>
      <w:r>
        <w:t xml:space="preserve">configurable, and updated</w:t>
      </w:r>
      <w:r>
        <w:t xml:space="preserve"> </w:t>
      </w:r>
      <w:r>
        <w:rPr>
          <w:rStyle w:val="VerbatimChar"/>
        </w:rPr>
        <w:t xml:space="preserve">test/admin-endpoints.test.js</w:t>
      </w:r>
      <w:r>
        <w:t xml:space="preserve"> </w:t>
      </w:r>
      <w:r>
        <w:t xml:space="preserve">to boot the test server with</w:t>
      </w:r>
      <w:r>
        <w:t xml:space="preserve"> </w:t>
      </w:r>
      <w:r>
        <w:rPr>
          <w:rStyle w:val="VerbatimChar"/>
        </w:rPr>
        <w:t xml:space="preserve">USE_LOCAL_SUBMISSION_FILE=true</w:t>
      </w:r>
      <w:r>
        <w:t xml:space="preserve">, a scoped</w:t>
      </w:r>
      <w:r>
        <w:t xml:space="preserve"> </w:t>
      </w:r>
      <w:r>
        <w:rPr>
          <w:rStyle w:val="VerbatimChar"/>
        </w:rPr>
        <w:t xml:space="preserve">ADMIN_EXPORT_KEY</w:t>
      </w:r>
      <w:r>
        <w:t xml:space="preserve">, and temporary data files cleaned up afterward — no real GCP/network calls required. This work was in progress (rewriting the two files with verified content) when the session hit a connection error and then a usage-limit cutoff, so its on-disk completion status from that session alone is unconfirmed and would be worth re-checking.</w:t>
      </w:r>
    </w:p>
    <w:p>
      <w:pPr>
        <w:pStyle w:val="Heading1"/>
      </w:pPr>
      <w:bookmarkStart w:id="23" w:name="X68f414ae6796385dc9f08626e824c1836f2f76f"/>
      <w:r>
        <w:t xml:space="preserve">3. R Statistical Analysis (</w:t>
      </w:r>
      <w:r>
        <w:rPr>
          <w:rStyle w:val="VerbatimChar"/>
        </w:rPr>
        <w:t xml:space="preserve">survey-analysis.Rmd</w:t>
      </w:r>
      <w:r>
        <w:t xml:space="preserve">)</w:t>
      </w:r>
      <w:bookmarkEnd w:id="23"/>
    </w:p>
    <w:p>
      <w:pPr>
        <w:pStyle w:val="FirstParagraph"/>
      </w:pPr>
      <w:r>
        <w:t xml:space="preserve">Done in the</w:t>
      </w:r>
      <w:r>
        <w:t xml:space="preserve"> </w:t>
      </w:r>
      <w:r>
        <w:t xml:space="preserve">“</w:t>
      </w:r>
      <w:r>
        <w:t xml:space="preserve">Survey review</w:t>
      </w:r>
      <w:r>
        <w:t xml:space="preserve">”</w:t>
      </w:r>
      <w:r>
        <w:t xml:space="preserve"> </w:t>
      </w:r>
      <w:r>
        <w:t xml:space="preserve">session, largely around reconciling the script with a sample-size update from 98 to 227 participants:</w:t>
      </w:r>
    </w:p>
    <w:p>
      <w:pPr>
        <w:numPr>
          <w:ilvl w:val="0"/>
          <w:numId w:val="1002"/>
        </w:numPr>
        <w:pStyle w:val="Compact"/>
      </w:pPr>
      <w:r>
        <w:t xml:space="preserve">Updated the correlation write-up to the 227-participant numbers (e.g., Jaccard × ownership rho = -.49, p &lt; .001, up from -.37; the</w:t>
      </w:r>
      <w:r>
        <w:t xml:space="preserve"> </w:t>
      </w:r>
      <w:r>
        <w:t xml:space="preserve">“</w:t>
      </w:r>
      <w:r>
        <w:t xml:space="preserve">existing vs. creating</w:t>
      </w:r>
      <w:r>
        <w:t xml:space="preserve">”</w:t>
      </w:r>
      <w:r>
        <w:t xml:space="preserve"> </w:t>
      </w:r>
      <w:r>
        <w:t xml:space="preserve">finding attenuated to non-significance;</w:t>
      </w:r>
      <w:r>
        <w:t xml:space="preserve"> </w:t>
      </w:r>
      <w:r>
        <w:t xml:space="preserve">“</w:t>
      </w:r>
      <w:r>
        <w:t xml:space="preserve">user decides</w:t>
      </w:r>
      <w:r>
        <w:t xml:space="preserve">”</w:t>
      </w:r>
      <w:r>
        <w:t xml:space="preserve"> </w:t>
      </w:r>
      <w:r>
        <w:t xml:space="preserve">became significant;</w:t>
      </w:r>
      <w:r>
        <w:t xml:space="preserve"> </w:t>
      </w:r>
      <w:r>
        <w:t xml:space="preserve">“</w:t>
      </w:r>
      <w:r>
        <w:t xml:space="preserve">independent</w:t>
      </w:r>
      <w:r>
        <w:t xml:space="preserve">”</w:t>
      </w:r>
      <w:r>
        <w:t xml:space="preserve"> </w:t>
      </w:r>
      <w:r>
        <w:t xml:space="preserve">flipped sign and went to null;</w:t>
      </w:r>
      <w:r>
        <w:t xml:space="preserve"> </w:t>
      </w:r>
      <w:r>
        <w:t xml:space="preserve">“</w:t>
      </w:r>
      <w:r>
        <w:t xml:space="preserve">read carefully</w:t>
      </w:r>
      <w:r>
        <w:t xml:space="preserve">”</w:t>
      </w:r>
      <w:r>
        <w:t xml:space="preserve"> </w:t>
      </w:r>
      <w:r>
        <w:t xml:space="preserve">became newly significant).</w:t>
      </w:r>
    </w:p>
    <w:p>
      <w:pPr>
        <w:numPr>
          <w:ilvl w:val="0"/>
          <w:numId w:val="1002"/>
        </w:numPr>
        <w:pStyle w:val="Compact"/>
      </w:pPr>
      <w:r>
        <w:t xml:space="preserve">Found and corrected several hardcoded N=98-era values still embedded in the prose (AI-user counts, verbatim-copy percentages, Jaccard medians, model coefficients) — replaced hardcoded stats with references to live model output where possible.</w:t>
      </w:r>
    </w:p>
    <w:p>
      <w:pPr>
        <w:numPr>
          <w:ilvl w:val="0"/>
          <w:numId w:val="1002"/>
        </w:numPr>
        <w:pStyle w:val="Compact"/>
      </w:pPr>
      <w:r>
        <w:t xml:space="preserve">Diagnosed a stale-render issue: a reading-depth plot showed n=78 instead of the correct n=158, traced to a knit-cache/render problem rather than a code or stats error: re-knitting produced the correct 0.44 vs. 0.60 Jaccard gap matching the model’s reported effect.</w:t>
      </w:r>
    </w:p>
    <w:p>
      <w:pPr>
        <w:numPr>
          <w:ilvl w:val="0"/>
          <w:numId w:val="1002"/>
        </w:numPr>
        <w:pStyle w:val="Compact"/>
      </w:pPr>
      <w:r>
        <w:t xml:space="preserve">Diagnosed a second, more persistent data issue:</w:t>
      </w:r>
      <w:r>
        <w:t xml:space="preserve"> </w:t>
      </w:r>
      <w:r>
        <w:rPr>
          <w:rStyle w:val="VerbatimChar"/>
        </w:rPr>
        <w:t xml:space="preserve">survey_responses_with_ai_intent_codes.csv</w:t>
      </w:r>
      <w:r>
        <w:t xml:space="preserve"> </w:t>
      </w:r>
      <w:r>
        <w:t xml:space="preserve">(feeding the intent-code boxplot and correlation matrix) was still the ~95-98 participant file, not the claimed 227-participant recode — confirmed via row count and an</w:t>
      </w:r>
      <w:r>
        <w:t xml:space="preserve"> </w:t>
      </w:r>
      <w:r>
        <w:rPr>
          <w:rStyle w:val="VerbatimChar"/>
        </w:rPr>
        <w:t xml:space="preserve">ai_intent_code</w:t>
      </w:r>
      <w:r>
        <w:t xml:space="preserve"> </w:t>
      </w:r>
      <w:r>
        <w:t xml:space="preserve">tally (Doing=40, Asking=16, Expressing=1). A subsequent upload of the</w:t>
      </w:r>
      <w:r>
        <w:t xml:space="preserve"> </w:t>
      </w:r>
      <w:r>
        <w:t xml:space="preserve">“</w:t>
      </w:r>
      <w:r>
        <w:t xml:space="preserve">updated</w:t>
      </w:r>
      <w:r>
        <w:t xml:space="preserve">”</w:t>
      </w:r>
      <w:r>
        <w:t xml:space="preserve"> </w:t>
      </w:r>
      <w:r>
        <w:t xml:space="preserve">file was byte-for-byte identical (same MD5) to the existing one, and was further found to be truncated mid-record (cuts off inside a quoted text field around row ~95-96) — meaning the 227-participant recode genuinely doesn’t exist in any file inspected. This was flagged as unresolved; the researcher needs to re-export/re-save the recoded file from its source.</w:t>
      </w:r>
    </w:p>
    <w:p>
      <w:pPr>
        <w:numPr>
          <w:ilvl w:val="0"/>
          <w:numId w:val="1002"/>
        </w:numPr>
        <w:pStyle w:val="Compact"/>
      </w:pPr>
      <w:r>
        <w:t xml:space="preserve">Discussed and drafted (not yet inserted into the .Rmd) an overlaid density plot of Jaccard similarity by reading depth (</w:t>
      </w:r>
      <w:r>
        <w:rPr>
          <w:rStyle w:val="VerbatimChar"/>
        </w:rPr>
        <w:t xml:space="preserve">read_carefully</w:t>
      </w:r>
      <w:r>
        <w:t xml:space="preserve"> </w:t>
      </w:r>
      <w:r>
        <w:t xml:space="preserve">vs. everyone else), styled to match the existing chart conventions; talked through several visualization options for reading-depth-vs-similarity (bar charts of means vs. four-category breakdown vs. binary contrast) before settling on the binary contrast plus a separate descriptive distribution panel.</w:t>
      </w:r>
    </w:p>
    <w:p>
      <w:pPr>
        <w:numPr>
          <w:ilvl w:val="0"/>
          <w:numId w:val="1002"/>
        </w:numPr>
        <w:pStyle w:val="Compact"/>
      </w:pPr>
      <w:r>
        <w:t xml:space="preserve">Interpreted a semantic-minus-lexical-similarity histogram (z-scored embedding similarity minus Jaccard similarity) as showing the expected bimodal signature of verbatim copiers vs. genuine paraphrasers — but flagged this chart as not yet trustworthy, since it also depends on the still-unfixed intent-code file, and flagged a mislabeled axis (raw scores were actually z-scores).</w:t>
      </w:r>
    </w:p>
    <w:p>
      <w:pPr>
        <w:numPr>
          <w:ilvl w:val="0"/>
          <w:numId w:val="1002"/>
        </w:numPr>
        <w:pStyle w:val="Compact"/>
      </w:pPr>
      <w:r>
        <w:t xml:space="preserve">Walked through what your mentor’s parallel analysis on the same 227-participant data found, and reconciled two apparent discrepancies (domain-frequency → similarity, and independence → copying) as explainable by sample-scope choices (AI-users-only vs. all participants) rather than true contradictions.</w:t>
      </w:r>
    </w:p>
    <w:p>
      <w:pPr>
        <w:pStyle w:val="Heading1"/>
      </w:pPr>
      <w:bookmarkStart w:id="24" w:name="cv-bullet-points"/>
      <w:r>
        <w:t xml:space="preserve">4. CV Bullet Points</w:t>
      </w:r>
      <w:bookmarkEnd w:id="24"/>
    </w:p>
    <w:p>
      <w:pPr>
        <w:pStyle w:val="FirstParagraph"/>
      </w:pPr>
      <w:r>
        <w:t xml:space="preserve">Drafted and iteratively tightened five CV bullets for the Gopnik Lab internship (final concise versions):</w:t>
      </w:r>
    </w:p>
    <w:p>
      <w:pPr>
        <w:numPr>
          <w:ilvl w:val="0"/>
          <w:numId w:val="1003"/>
        </w:numPr>
        <w:pStyle w:val="Compact"/>
      </w:pPr>
      <w:r>
        <w:t xml:space="preserve">Selection:</w:t>
      </w:r>
      <w:r>
        <w:t xml:space="preserve"> </w:t>
      </w:r>
      <w:r>
        <w:t xml:space="preserve">“</w:t>
      </w:r>
      <w:r>
        <w:t xml:space="preserve">Selected as one of 7 students from a pool of over 400 applicants for the lab’s competitive summer internship.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Project: contribution to the 227-participant study on AI as cognitive/cultural technology (AI access, uptake, intent, epistemic ownership).</w:t>
      </w:r>
    </w:p>
    <w:p>
      <w:pPr>
        <w:numPr>
          <w:ilvl w:val="0"/>
          <w:numId w:val="1003"/>
        </w:numPr>
        <w:pStyle w:val="Compact"/>
      </w:pPr>
      <w:r>
        <w:t xml:space="preserve">Leadership: leading design of the research-scholars survey extension (paper critique, literature review, comprehension tasks across interns/PhDs/postdocs).</w:t>
      </w:r>
    </w:p>
    <w:p>
      <w:pPr>
        <w:numPr>
          <w:ilvl w:val="0"/>
          <w:numId w:val="1003"/>
        </w:numPr>
        <w:pStyle w:val="Compact"/>
      </w:pPr>
      <w:r>
        <w:t xml:space="preserve">Analysis: R-based mixed-effects regression, ANOVA, pairwise comparisons, correlations, k-means clustering; AI uptake operationalized via Jaccard lexical overlap and sentence-transformer embedding cosine similarity.</w:t>
      </w:r>
    </w:p>
    <w:p>
      <w:pPr>
        <w:numPr>
          <w:ilvl w:val="0"/>
          <w:numId w:val="1003"/>
        </w:numPr>
        <w:pStyle w:val="Compact"/>
      </w:pPr>
      <w:r>
        <w:t xml:space="preserve">Literature review: AI-assisted scholarship, cognitive offloading, human-AI complementarity, critical thinking/skill formation, semantic convergence across LLMs.</w:t>
      </w:r>
    </w:p>
    <w:p>
      <w:pPr>
        <w:pStyle w:val="Heading1"/>
      </w:pPr>
      <w:bookmarkStart w:id="25" w:name="X2d9184a8a72e166e243ea7ffe3433dd852abfb9"/>
      <w:r>
        <w:t xml:space="preserve">5. Research-Scholars / PhD Survey: Design Development</w:t>
      </w:r>
      <w:bookmarkEnd w:id="25"/>
    </w:p>
    <w:p>
      <w:pPr>
        <w:pStyle w:val="FirstParagraph"/>
      </w:pPr>
      <w:r>
        <w:t xml:space="preserve">This is the extension project you are leading, generalizing the adult study up the expertise ladder (interns → PhD students/postdocs), motivated by whether higher education protects independent thinking when AI is available, especially given its relevance to peer review.</w:t>
      </w:r>
    </w:p>
    <w:p>
      <w:pPr>
        <w:pStyle w:val="BodyText"/>
      </w:pPr>
      <w:r>
        <w:rPr>
          <w:b/>
        </w:rPr>
        <w:t xml:space="preserve">Early task framing</w:t>
      </w:r>
      <w:r>
        <w:t xml:space="preserve"> </w:t>
      </w:r>
      <w:r>
        <w:t xml:space="preserve">(from an Otter.ai-transcribed lab meeting): a paper-review/understanding task — warm-up reading, review/evaluation with AI optional in one condition, open-ended post-task questions designed to diverge under independent thinking but converge under AI copying (limitations, interpretations, future directions), an objective comprehension quiz, and the same epistemic-ownership/independence items as the adult survey. Paper-choice options considered: a known reading-group paper, a recent arXiv preprint, or an AI-generated bogus paper. Target length under 30 minutes.</w:t>
      </w:r>
    </w:p>
    <w:p>
      <w:pPr>
        <w:pStyle w:val="BodyText"/>
      </w:pPr>
      <w:r>
        <w:rPr>
          <w:b/>
        </w:rPr>
        <w:t xml:space="preserve">Later, more detailed design</w:t>
      </w:r>
      <w:r>
        <w:t xml:space="preserve"> </w:t>
      </w:r>
      <w:r>
        <w:t xml:space="preserve">(from your 06/16 meeting notes, reviewed alongside Amy’s parallel child-AI-survey design):</w:t>
      </w:r>
    </w:p>
    <w:p>
      <w:pPr>
        <w:numPr>
          <w:ilvl w:val="0"/>
          <w:numId w:val="1004"/>
        </w:numPr>
        <w:pStyle w:val="Compact"/>
      </w:pPr>
      <w:r>
        <w:t xml:space="preserve">Between-subjects AI / No-AI conditions, with stratified random assignment by research-expertise tier (lower: summer intern, undergrad RA, post-bac/lab manager, master’s, first-year PhD; higher: 2nd-year+ PhD, postdoc).</w:t>
      </w:r>
    </w:p>
    <w:p>
      <w:pPr>
        <w:numPr>
          <w:ilvl w:val="0"/>
          <w:numId w:val="1004"/>
        </w:numPr>
        <w:pStyle w:val="Compact"/>
      </w:pPr>
      <w:r>
        <w:t xml:space="preserve">Survey structure mirrors the adult survey (first impressions, mental model, usage patterns) plus a self-regulated-learning (SRL) scale adapted from Kizilcec et al.’s MOOC work, including a constructive-vs-offloading-oriented help-seeking distinction.</w:t>
      </w:r>
    </w:p>
    <w:p>
      <w:pPr>
        <w:numPr>
          <w:ilvl w:val="0"/>
          <w:numId w:val="1004"/>
        </w:numPr>
        <w:pStyle w:val="Compact"/>
      </w:pPr>
      <w:r>
        <w:t xml:space="preserve">Demographics (</w:t>
      </w:r>
      <w:r>
        <w:t xml:space="preserve">“</w:t>
      </w:r>
      <w:r>
        <w:t xml:space="preserve">About You</w:t>
      </w:r>
      <w:r>
        <w:t xml:space="preserve">”</w:t>
      </w:r>
      <w:r>
        <w:t xml:space="preserve">) section placed after the SRL scale as a buffer before the main task.</w:t>
      </w:r>
    </w:p>
    <w:p>
      <w:pPr>
        <w:numPr>
          <w:ilvl w:val="0"/>
          <w:numId w:val="1004"/>
        </w:numPr>
        <w:pStyle w:val="Compact"/>
      </w:pPr>
      <w:r>
        <w:t xml:space="preserve">Main task: three short (1–2 page) constructed studies — not real papers — built by paraphrasing/adapting real source papers into different domains so prior knowledge/author fame doesn’t bias judgment. Each study has standardized comprehension questions plus open-ended evaluative questions to test for semantic convergence under AI use.</w:t>
      </w:r>
    </w:p>
    <w:p>
      <w:pPr>
        <w:numPr>
          <w:ilvl w:val="0"/>
          <w:numId w:val="1004"/>
        </w:numPr>
        <w:pStyle w:val="Compact"/>
      </w:pPr>
      <w:r>
        <w:t xml:space="preserve">Decision: confidence/AI-engagement/ownership questions go only at the end (not after each study), to avoid revealing the study’s purpose mid-task.</w:t>
      </w:r>
    </w:p>
    <w:p>
      <w:pPr>
        <w:numPr>
          <w:ilvl w:val="0"/>
          <w:numId w:val="1004"/>
        </w:numPr>
        <w:pStyle w:val="Compact"/>
      </w:pPr>
      <w:r>
        <w:t xml:space="preserve">Decision: keep both perceived understanding and an objective comprehension quiz, to compare against each other (illusion-of-understanding angle).</w:t>
      </w:r>
    </w:p>
    <w:p>
      <w:pPr>
        <w:numPr>
          <w:ilvl w:val="0"/>
          <w:numId w:val="1004"/>
        </w:numPr>
        <w:pStyle w:val="Compact"/>
      </w:pPr>
      <w:r>
        <w:t xml:space="preserve">Decision: drop the per-study topic-familiarity item (research area/education level already capture this) and the broad post-task</w:t>
      </w:r>
      <w:r>
        <w:t xml:space="preserve"> </w:t>
      </w:r>
      <w:r>
        <w:t xml:space="preserve">“</w:t>
      </w:r>
      <w:r>
        <w:t xml:space="preserve">what were you trying to get from AI</w:t>
      </w:r>
      <w:r>
        <w:t xml:space="preserve">”</w:t>
      </w:r>
      <w:r>
        <w:t xml:space="preserve"> </w:t>
      </w:r>
      <w:r>
        <w:t xml:space="preserve">self-report item (behavioral logs preferred over self-report here).</w:t>
      </w:r>
    </w:p>
    <w:p>
      <w:pPr>
        <w:numPr>
          <w:ilvl w:val="0"/>
          <w:numId w:val="1004"/>
        </w:numPr>
        <w:pStyle w:val="Compact"/>
      </w:pPr>
      <w:r>
        <w:t xml:space="preserve">Critical-thinking scale (Gerlich/HCTA/Terenzini) not ruled out; possible design is counterbalancing pre- vs. post-task placement and testing for order effects.</w:t>
      </w:r>
    </w:p>
    <w:p>
      <w:pPr>
        <w:numPr>
          <w:ilvl w:val="0"/>
          <w:numId w:val="1004"/>
        </w:numPr>
        <w:pStyle w:val="Compact"/>
      </w:pPr>
      <w:r>
        <w:t xml:space="preserve">Logging approach: favor mouse clicks, typing, drafts, and possibly keystrokes over screen recording for writing-process data; screen recording/fullscreen mode mainly intended to deter undisclosed external-tool use.</w:t>
      </w:r>
    </w:p>
    <w:p>
      <w:pPr>
        <w:numPr>
          <w:ilvl w:val="0"/>
          <w:numId w:val="1004"/>
        </w:numPr>
        <w:pStyle w:val="Compact"/>
      </w:pPr>
      <w:r>
        <w:t xml:space="preserve">Web search decision: not allowed for this task, since judgments should be based on the provided study summaries.</w:t>
      </w:r>
    </w:p>
    <w:p>
      <w:pPr>
        <w:numPr>
          <w:ilvl w:val="0"/>
          <w:numId w:val="1004"/>
        </w:numPr>
        <w:pStyle w:val="Compact"/>
      </w:pPr>
      <w:r>
        <w:t xml:space="preserve">Conceptual shift on stimulus domain: moved away from psychology-specific topics (avoiding infancy/developmental and overly philosophical material) toward accessible, broad</w:t>
      </w:r>
      <w:r>
        <w:t xml:space="preserve"> </w:t>
      </w:r>
      <w:r>
        <w:t xml:space="preserve">“</w:t>
      </w:r>
      <w:r>
        <w:t xml:space="preserve">pop-science</w:t>
      </w:r>
      <w:r>
        <w:t xml:space="preserve">”</w:t>
      </w:r>
      <w:r>
        <w:t xml:space="preserve"> </w:t>
      </w:r>
      <w:r>
        <w:t xml:space="preserve">claims (health, exercise, aging, etc.), reframing the task as testing a cross-domain critical-reasoning meta-skill rather than psychology expertise specifically.</w:t>
      </w:r>
    </w:p>
    <w:p>
      <w:pPr>
        <w:numPr>
          <w:ilvl w:val="0"/>
          <w:numId w:val="1004"/>
        </w:numPr>
        <w:pStyle w:val="Compact"/>
      </w:pPr>
      <w:r>
        <w:t xml:space="preserve">Recruitment: start with psychology/research-trainee participants (lab’s existing access), then broaden via Prolific with education-level filters for a generalizable second study.</w:t>
      </w:r>
    </w:p>
    <w:p>
      <w:pPr>
        <w:pStyle w:val="FirstParagraph"/>
      </w:pPr>
      <w:r>
        <w:rPr>
          <w:b/>
        </w:rPr>
        <w:t xml:space="preserve">Stimulus selection.</w:t>
      </w:r>
      <w:r>
        <w:t xml:space="preserve"> </w:t>
      </w:r>
      <w:r>
        <w:t xml:space="preserve">Searched and vetted PNAS (and PNAS Nexus) candidates against these criteria. Final three-paper set agreed: Zwebner et al. (2024) on whether names shape facial appearance (social psychology), McGrosky et al. (2025) on energy expenditure and obesity across the economic spectrum (physiology/global health), and Hodor et al. (2025) on small workplace slights and absenteeism (organizational psychology/econometrics) — chosen for domain spread, accessible premises with a counterintuitive twist, and a rich open-ended critique surface, with the Hodor paper flagged as the one with the most field-expertise-skew risk (econometrics-flavored design) and the two 12-page papers flagged as slightly over the original soft length target.</w:t>
      </w:r>
    </w:p>
    <w:p>
      <w:pPr>
        <w:pStyle w:val="Heading1"/>
      </w:pPr>
      <w:bookmarkStart w:id="26" w:name="related-literature-review"/>
      <w:r>
        <w:t xml:space="preserve">6. Related Literature Review</w:t>
      </w:r>
      <w:bookmarkEnd w:id="26"/>
    </w:p>
    <w:p>
      <w:pPr>
        <w:pStyle w:val="FirstParagraph"/>
      </w:pPr>
      <w:r>
        <w:t xml:space="preserve">Reviewed and summarized several papers to inform survey design and the broader project narrative:</w:t>
      </w:r>
    </w:p>
    <w:p>
      <w:pPr>
        <w:numPr>
          <w:ilvl w:val="0"/>
          <w:numId w:val="1005"/>
        </w:numPr>
        <w:pStyle w:val="Compact"/>
      </w:pPr>
      <w:r>
        <w:t xml:space="preserve">Cardon et al. (2023), on instructor perceptions of AI-assisted writing (UTAUT-based survey, mixed quantitative/coded open-ended responses) — used to inform expectations around AI-literacy attitudes.</w:t>
      </w:r>
    </w:p>
    <w:p>
      <w:pPr>
        <w:numPr>
          <w:ilvl w:val="0"/>
          <w:numId w:val="1005"/>
        </w:numPr>
        <w:pStyle w:val="Compact"/>
      </w:pPr>
      <w:r>
        <w:t xml:space="preserve">Three further AI-and-cognition papers reviewed in the</w:t>
      </w:r>
      <w:r>
        <w:t xml:space="preserve"> </w:t>
      </w:r>
      <w:r>
        <w:t xml:space="preserve">“</w:t>
      </w:r>
      <w:r>
        <w:t xml:space="preserve">AI models research readings</w:t>
      </w:r>
      <w:r>
        <w:t xml:space="preserve">”</w:t>
      </w:r>
      <w:r>
        <w:t xml:space="preserve"> </w:t>
      </w:r>
      <w:r>
        <w:t xml:space="preserve">session (summarized but not detailed further here; see that session for full notes).</w:t>
      </w:r>
    </w:p>
    <w:p>
      <w:pPr>
        <w:numPr>
          <w:ilvl w:val="0"/>
          <w:numId w:val="1005"/>
        </w:numPr>
        <w:pStyle w:val="Compact"/>
      </w:pPr>
      <w:r>
        <w:t xml:space="preserve">A paper-review guide and journal-question bank, used to sort question types into objective/comprehension vs. open-ended/critical-analysis categories for the PhD task design — recommending weighting toward the gaps/omissions/limitations/causal-vs-correlational categories over personal-opinion prompts.</w:t>
      </w:r>
    </w:p>
    <w:p>
      <w:pPr>
        <w:numPr>
          <w:ilvl w:val="0"/>
          <w:numId w:val="1005"/>
        </w:numPr>
        <w:pStyle w:val="Compact"/>
      </w:pPr>
      <w:r>
        <w:t xml:space="preserve">An NNES (non-native-English-speaker) AI-ideation language study (9 Cornell students, within-subject L1 vs. English brainstorming with a local Gemma 2B chatbot) — summarized in detail for mentor-feedback prep, including its five ideation constructs (problem understanding, idea development, solution evaluation, prompt construction, agency), its null overall finding with construct-level splits, the</w:t>
      </w:r>
      <w:r>
        <w:t xml:space="preserve"> </w:t>
      </w:r>
      <w:r>
        <w:t xml:space="preserve">“</w:t>
      </w:r>
      <w:r>
        <w:t xml:space="preserve">language profile misfit</w:t>
      </w:r>
      <w:r>
        <w:t xml:space="preserve">”</w:t>
      </w:r>
      <w:r>
        <w:t xml:space="preserve"> </w:t>
      </w:r>
      <w:r>
        <w:t xml:space="preserve">interpretation, and five limitations (small N, unanalyzed interaction logs, shallow one-shot AI use, unbenchmarked multilingual model performance, narrow task generalizability). This is a separate paper you wrote/received feedback on (15/15,</w:t>
      </w:r>
      <w:r>
        <w:t xml:space="preserve"> </w:t>
      </w:r>
      <w:r>
        <w:t xml:space="preserve">“</w:t>
      </w:r>
      <w:r>
        <w:t xml:space="preserve">publication-ready after more data</w:t>
      </w:r>
      <w:r>
        <w:t xml:space="preserve">”</w:t>
      </w:r>
      <w:r>
        <w:t xml:space="preserve">), related to but distinct from the Gopnik AI survey.</w:t>
      </w:r>
    </w:p>
    <w:p>
      <w:pPr>
        <w:pStyle w:val="Heading1"/>
      </w:pPr>
      <w:bookmarkStart w:id="27" w:name="X8cac6e2ce474eb676486f23985e32ae1492b794"/>
      <w:r>
        <w:t xml:space="preserve">7. Outreach: Email to Professor René Kizilcec</w:t>
      </w:r>
      <w:bookmarkEnd w:id="27"/>
    </w:p>
    <w:p>
      <w:pPr>
        <w:pStyle w:val="FirstParagraph"/>
      </w:pPr>
      <w:r>
        <w:t xml:space="preserve">Drafted and iteratively revised an email introducing yourself (former INFO 4100 student, now a Gopnik Lab intern under Dr. Eunice Yiu) to Professor Kizilcec, prompted by a co-author (Igor) suggesting the contact, regarding his paper</w:t>
      </w:r>
      <w:r>
        <w:t xml:space="preserve"> </w:t>
      </w:r>
      <w:r>
        <w:t xml:space="preserve">“</w:t>
      </w:r>
      <w:r>
        <w:t xml:space="preserve">Generative AI use and misuse call for assessment reform in higher education.</w:t>
      </w:r>
      <w:r>
        <w:t xml:space="preserve">”</w:t>
      </w:r>
      <w:r>
        <w:t xml:space="preserve"> </w:t>
      </w:r>
      <w:r>
        <w:t xml:space="preserve">Iterations moved the</w:t>
      </w:r>
      <w:r>
        <w:t xml:space="preserve"> </w:t>
      </w:r>
      <w:r>
        <w:t xml:space="preserve">“</w:t>
      </w:r>
      <w:r>
        <w:t xml:space="preserve">Igor suggested I reach out</w:t>
      </w:r>
      <w:r>
        <w:t xml:space="preserve">”</w:t>
      </w:r>
      <w:r>
        <w:t xml:space="preserve"> </w:t>
      </w:r>
      <w:r>
        <w:t xml:space="preserve">hook to the opening line (so the email gets read), removed an internal-only explanation of your epistemic-ownership miscalibration finding (kept it for your own framing, not shared externally), added the planned PhD/research-scholar extension and a tentative younger-kids extension, and ended on asking for his insights on his own study and a meeting request with Dr. Yiu. Final subject line settled on:</w:t>
      </w:r>
      <w:r>
        <w:t xml:space="preserve"> </w:t>
      </w:r>
      <w:r>
        <w:t xml:space="preserve">“</w:t>
      </w:r>
      <w:r>
        <w:t xml:space="preserve">Igor Suggested We Reach Out — AI Use in Research &amp; Assessment Reform Study.</w:t>
      </w:r>
      <w:r>
        <w:t xml:space="preserve">”</w:t>
      </w:r>
    </w:p>
    <w:p>
      <w:pPr>
        <w:pStyle w:val="Heading1"/>
      </w:pPr>
      <w:bookmarkStart w:id="28" w:name="source-sessions"/>
      <w:r>
        <w:t xml:space="preserve">Source Sessions</w:t>
      </w:r>
      <w:bookmarkEnd w:id="28"/>
    </w:p>
    <w:p>
      <w:pPr>
        <w:pStyle w:val="FirstParagraph"/>
      </w:pPr>
      <w:r>
        <w:t xml:space="preserve">This log was compiled from the following local session transcripts:</w:t>
      </w:r>
      <w:r>
        <w:t xml:space="preserve"> </w:t>
      </w:r>
      <w:r>
        <w:t xml:space="preserve">“</w:t>
      </w:r>
      <w:r>
        <w:t xml:space="preserve">AI perception survey,</w:t>
      </w:r>
      <w:r>
        <w:t xml:space="preserve">”</w:t>
      </w:r>
      <w:r>
        <w:t xml:space="preserve"> </w:t>
      </w:r>
      <w:r>
        <w:t xml:space="preserve">“</w:t>
      </w:r>
      <w:r>
        <w:t xml:space="preserve">Survey review,</w:t>
      </w:r>
      <w:r>
        <w:t xml:space="preserve">”</w:t>
      </w:r>
      <w:r>
        <w:t xml:space="preserve"> </w:t>
      </w:r>
      <w:r>
        <w:t xml:space="preserve">“</w:t>
      </w:r>
      <w:r>
        <w:t xml:space="preserve">AI research project overview,</w:t>
      </w:r>
      <w:r>
        <w:t xml:space="preserve">”</w:t>
      </w:r>
      <w:r>
        <w:t xml:space="preserve"> </w:t>
      </w:r>
      <w:r>
        <w:t xml:space="preserve">“</w:t>
      </w:r>
      <w:r>
        <w:t xml:space="preserve">Gopnik AI readings review,</w:t>
      </w:r>
      <w:r>
        <w:t xml:space="preserve">”</w:t>
      </w:r>
      <w:r>
        <w:t xml:space="preserve"> </w:t>
      </w:r>
      <w:r>
        <w:t xml:space="preserve">“</w:t>
      </w:r>
      <w:r>
        <w:t xml:space="preserve">AI models research readings,</w:t>
      </w:r>
      <w:r>
        <w:t xml:space="preserve">”</w:t>
      </w:r>
      <w:r>
        <w:t xml:space="preserve"> </w:t>
      </w:r>
      <w:r>
        <w:t xml:space="preserve">“</w:t>
      </w:r>
      <w:r>
        <w:t xml:space="preserve">Paper summary and feedback prep,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Email to Professor Kizilcec.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Qualtrics DRM honors thesis experiment</w:t>
      </w:r>
      <w:r>
        <w:t xml:space="preserve">”</w:t>
      </w:r>
      <w:r>
        <w:t xml:space="preserve"> </w:t>
      </w:r>
      <w:r>
        <w:t xml:space="preserve">session covers a separate project (a false-memory/DRM cognitive-offloading thesis) and was not included here as it is not part of the AI survey work.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Researcher AI Survey — Work Log</dc:title>
  <dc:creator>Compiled from session history</dc:creator>
  <cp:keywords/>
  <dcterms:created xsi:type="dcterms:W3CDTF">2026-06-22T16:27:19Z</dcterms:created>
  <dcterms:modified xsi:type="dcterms:W3CDTF">2026-06-22T16:27:19Z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22, 2026</vt:lpwstr>
  </property>
</Properties>
</file>