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987A" w14:textId="77777777" w:rsidR="00D27B2C" w:rsidRDefault="00000000">
      <w:pPr>
        <w:spacing w:after="100"/>
        <w:jc w:val="center"/>
      </w:pPr>
      <w:r>
        <w:rPr>
          <w:b/>
          <w:bCs/>
          <w:spacing w:val="20"/>
          <w:sz w:val="18"/>
          <w:szCs w:val="18"/>
        </w:rPr>
        <w:t>RESEARCH ARTICLE</w:t>
      </w:r>
    </w:p>
    <w:p w14:paraId="63154660" w14:textId="77777777" w:rsidR="00D27B2C" w:rsidRDefault="00000000">
      <w:pPr>
        <w:spacing w:after="140"/>
        <w:jc w:val="center"/>
      </w:pPr>
      <w:r>
        <w:rPr>
          <w:b/>
          <w:bCs/>
          <w:sz w:val="30"/>
          <w:szCs w:val="30"/>
        </w:rPr>
        <w:t>Do Marketplace Safety-Verification Requirements Reduce Hazardous and Substandard Products Sold Online?</w:t>
      </w:r>
    </w:p>
    <w:p w14:paraId="3E2268EE" w14:textId="5CDECDA7" w:rsidR="00D27B2C" w:rsidRPr="009F7198" w:rsidRDefault="00000000" w:rsidP="009F7198">
      <w:pPr>
        <w:spacing w:after="30"/>
        <w:rPr>
          <w:i/>
          <w:iCs/>
          <w:sz w:val="19"/>
          <w:szCs w:val="19"/>
        </w:rPr>
      </w:pPr>
      <w:r>
        <w:rPr>
          <w:i/>
          <w:iCs/>
          <w:sz w:val="19"/>
          <w:szCs w:val="19"/>
        </w:rPr>
        <w:t xml:space="preserve"> </w:t>
      </w:r>
    </w:p>
    <w:p w14:paraId="46183838" w14:textId="77777777" w:rsidR="009F7198" w:rsidRDefault="00000000">
      <w:pPr>
        <w:spacing w:after="130"/>
        <w:rPr>
          <w:b/>
          <w:bCs/>
          <w:sz w:val="21"/>
          <w:szCs w:val="21"/>
        </w:rPr>
      </w:pPr>
      <w:r>
        <w:rPr>
          <w:b/>
          <w:bCs/>
          <w:sz w:val="21"/>
          <w:szCs w:val="21"/>
        </w:rPr>
        <w:t xml:space="preserve">Abstract  </w:t>
      </w:r>
    </w:p>
    <w:p w14:paraId="492050DF" w14:textId="0157B686" w:rsidR="00D27B2C" w:rsidRDefault="00000000">
      <w:pPr>
        <w:spacing w:after="130"/>
      </w:pPr>
      <w:r>
        <w:rPr>
          <w:sz w:val="21"/>
          <w:szCs w:val="21"/>
        </w:rPr>
        <w:t xml:space="preserve">Online marketplaces host third-party sellers across nearly every consumer product category, but it is unclear whether requiring sellers to submit safety or quality documentation changes what </w:t>
      </w:r>
      <w:proofErr w:type="gramStart"/>
      <w:r>
        <w:rPr>
          <w:sz w:val="21"/>
          <w:szCs w:val="21"/>
        </w:rPr>
        <w:t>actually arrives</w:t>
      </w:r>
      <w:proofErr w:type="gramEnd"/>
      <w:r>
        <w:rPr>
          <w:sz w:val="21"/>
          <w:szCs w:val="21"/>
        </w:rPr>
        <w:t xml:space="preserve"> in a buyer's package or simply adds paperwork. We exploit a staggered rollout of a safety-and-quality verification requirement across six unrelated product categories on a major online marketplace — electrical chargers and power banks, children's toys, cookware and food-contact items, cosmetics and skincare, dietary supplements, and children's sleepwear — comparing each category's failure rate before and after its own compliance deadline against an untreated comparison category (decorative home and novelty items) that never faced the requirement. Researchers anonymously purchased and tested 1,680 products across seven categories and eight waves over 24 months, applying each category's relevant hazard test plus a shared certification-registry check. Pooled across the six treated categories, failure rates fell from 36% before compliance to 24% after</w:t>
      </w:r>
      <w:r w:rsidR="00F918F0">
        <w:rPr>
          <w:sz w:val="21"/>
          <w:szCs w:val="21"/>
        </w:rPr>
        <w:t xml:space="preserve">, </w:t>
      </w:r>
      <w:r>
        <w:rPr>
          <w:sz w:val="21"/>
          <w:szCs w:val="21"/>
        </w:rPr>
        <w:t>while the comparison category showed no meaningful change. Improvements were uneven across category and test type, seller-shipped listings retained a persistent gap, and 13% of post-compliance certifications could not be verified in the issuing body's registry.</w:t>
      </w:r>
    </w:p>
    <w:p w14:paraId="77CB4FC1" w14:textId="77777777" w:rsidR="00D27B2C" w:rsidRDefault="00000000">
      <w:pPr>
        <w:spacing w:after="80"/>
      </w:pPr>
      <w:r>
        <w:rPr>
          <w:b/>
          <w:bCs/>
          <w:sz w:val="21"/>
          <w:szCs w:val="21"/>
        </w:rPr>
        <w:t xml:space="preserve">Significance: </w:t>
      </w:r>
      <w:r>
        <w:rPr>
          <w:sz w:val="21"/>
          <w:szCs w:val="21"/>
        </w:rPr>
        <w:t xml:space="preserve">Online marketplaces increasingly require third-party sellers to submit safety or quality documentation, not just for electronics but for toys, cosmetics, supplements, and other consumer goods, yet it is unclear whether this </w:t>
      </w:r>
      <w:proofErr w:type="gramStart"/>
      <w:r>
        <w:rPr>
          <w:sz w:val="21"/>
          <w:szCs w:val="21"/>
        </w:rPr>
        <w:t>changes</w:t>
      </w:r>
      <w:proofErr w:type="gramEnd"/>
      <w:r>
        <w:rPr>
          <w:sz w:val="21"/>
          <w:szCs w:val="21"/>
        </w:rPr>
        <w:t xml:space="preserve"> what is </w:t>
      </w:r>
      <w:proofErr w:type="gramStart"/>
      <w:r>
        <w:rPr>
          <w:sz w:val="21"/>
          <w:szCs w:val="21"/>
        </w:rPr>
        <w:t>actually sold</w:t>
      </w:r>
      <w:proofErr w:type="gramEnd"/>
      <w:r>
        <w:rPr>
          <w:sz w:val="21"/>
          <w:szCs w:val="21"/>
        </w:rPr>
        <w:t xml:space="preserve"> or merely adds a paperwork step. Using a staggered rollout across six unrelated product categories and an untreated comparison category, this study offers causal evidence that verification requirements can meaningfully reduce hazardous and substandard products across very different kinds of goods, while showing where enforcement remains uneven.</w:t>
      </w:r>
    </w:p>
    <w:p w14:paraId="285DF760" w14:textId="2C86126D" w:rsidR="00976C7B" w:rsidRPr="00976C7B" w:rsidRDefault="00976C7B" w:rsidP="00976C7B">
      <w:pPr>
        <w:spacing w:before="120" w:after="50"/>
      </w:pPr>
      <w:r w:rsidRPr="00976C7B">
        <w:drawing>
          <wp:inline distT="0" distB="0" distL="0" distR="0" wp14:anchorId="5828980C" wp14:editId="732E6959">
            <wp:extent cx="6417310" cy="4507865"/>
            <wp:effectExtent l="0" t="0" r="2540" b="6985"/>
            <wp:docPr id="15151679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17310" cy="4507865"/>
                    </a:xfrm>
                    <a:prstGeom prst="rect">
                      <a:avLst/>
                    </a:prstGeom>
                    <a:noFill/>
                    <a:ln>
                      <a:noFill/>
                    </a:ln>
                  </pic:spPr>
                </pic:pic>
              </a:graphicData>
            </a:graphic>
          </wp:inline>
        </w:drawing>
      </w:r>
    </w:p>
    <w:p w14:paraId="4DBF89A9" w14:textId="349906FB" w:rsidR="00D27B2C" w:rsidRDefault="00D27B2C" w:rsidP="00976C7B">
      <w:pPr>
        <w:spacing w:before="120" w:after="50"/>
      </w:pPr>
    </w:p>
    <w:p w14:paraId="4810FD9F" w14:textId="77777777" w:rsidR="00D27B2C" w:rsidRDefault="00000000">
      <w:pPr>
        <w:spacing w:after="140"/>
      </w:pPr>
      <w:r>
        <w:rPr>
          <w:i/>
          <w:iCs/>
          <w:sz w:val="17"/>
          <w:szCs w:val="17"/>
        </w:rPr>
        <w:t>Fig. 1. Staggered rollout of marketplace safety-and-quality verification requirements across six unrelated product categories (A) and the two-step verification protocol applied to every purchased product (B).</w:t>
      </w:r>
    </w:p>
    <w:p w14:paraId="4EDEA5D0" w14:textId="77777777" w:rsidR="00D27B2C" w:rsidRDefault="00D27B2C">
      <w:pPr>
        <w:sectPr w:rsidR="00D27B2C">
          <w:footerReference w:type="default" r:id="rId8"/>
          <w:type w:val="continuous"/>
          <w:pgSz w:w="11906" w:h="16838"/>
          <w:pgMar w:top="680" w:right="900" w:bottom="680" w:left="900" w:header="708" w:footer="708" w:gutter="0"/>
          <w:cols w:space="720"/>
          <w:docGrid w:linePitch="360"/>
        </w:sectPr>
      </w:pPr>
    </w:p>
    <w:p w14:paraId="4E8BE95D" w14:textId="77777777" w:rsidR="00D27B2C" w:rsidRDefault="00000000">
      <w:pPr>
        <w:spacing w:before="180" w:after="80"/>
      </w:pPr>
      <w:r>
        <w:rPr>
          <w:b/>
          <w:bCs/>
          <w:sz w:val="25"/>
          <w:szCs w:val="25"/>
        </w:rPr>
        <w:lastRenderedPageBreak/>
        <w:t>Introduction</w:t>
      </w:r>
    </w:p>
    <w:p w14:paraId="68847597" w14:textId="77777777" w:rsidR="00D27B2C" w:rsidRDefault="00000000">
      <w:pPr>
        <w:spacing w:after="100"/>
      </w:pPr>
      <w:r>
        <w:rPr>
          <w:sz w:val="21"/>
          <w:szCs w:val="21"/>
        </w:rPr>
        <w:t>Consumers buy toys, cookware, cosmetics, supplements, chargers, and clothing from online marketplaces by the millions each year, often from third-party sellers whose products the platform itself never inspects. Safety and quality concerns differ sharply by category — a charger can overheat, a toy can pose a choking or lead-exposure hazard, cookware can leach heavy metals, a supplement can contain far less of its labeled ingredient than advertised — but in every case a shopper has little way to tell from a listing page whether a product has actually been tested against any relevant standard.</w:t>
      </w:r>
    </w:p>
    <w:p w14:paraId="3CA015C5" w14:textId="77777777" w:rsidR="00D27B2C" w:rsidRDefault="00000000">
      <w:pPr>
        <w:spacing w:after="100"/>
      </w:pPr>
      <w:r>
        <w:rPr>
          <w:sz w:val="21"/>
          <w:szCs w:val="21"/>
        </w:rPr>
        <w:t xml:space="preserve">In response, several marketplaces have begun requiring sellers across higher-risk categories to submit third-party test reports or certification numbers before a listing can go live, removing listings that lack documentation. This leaves two questions open across very different products. Does requiring documentation change the hazard or quality profile of what gets sold, or does it merely filter out the most careless sellers while defect rates stay unchanged among those who remain? And is the documentation itself verified, or can a seller submit a certification number nobody checks? Without an untouched comparison category, it is hard to separate </w:t>
      </w:r>
      <w:proofErr w:type="gramStart"/>
      <w:r>
        <w:rPr>
          <w:sz w:val="21"/>
          <w:szCs w:val="21"/>
        </w:rPr>
        <w:t>a true</w:t>
      </w:r>
      <w:proofErr w:type="gramEnd"/>
      <w:r>
        <w:rPr>
          <w:sz w:val="21"/>
          <w:szCs w:val="21"/>
        </w:rPr>
        <w:t xml:space="preserve"> effect of the requirement from a general trend toward higher-quality marketplace goods.</w:t>
      </w:r>
    </w:p>
    <w:p w14:paraId="64700054" w14:textId="77777777" w:rsidR="00D27B2C" w:rsidRDefault="00000000">
      <w:pPr>
        <w:spacing w:after="100"/>
      </w:pPr>
      <w:r>
        <w:rPr>
          <w:sz w:val="21"/>
          <w:szCs w:val="21"/>
        </w:rPr>
        <w:t>This study uses a staggered rollout of a marketplace safety-and-quality verification requirement across six unrelated product categories, each given a different compliance deadline over 24 months, alongside a comparison category of decorative home and novelty items never subject to the requirement. Comparing failure rates before and after each category's own deadline, benchmarked against the unaffected comparison category, separates the causal effect of verification from any broader shift in marketplace quality, regardless of product type.</w:t>
      </w:r>
    </w:p>
    <w:p w14:paraId="37C98795" w14:textId="77777777" w:rsidR="00D27B2C" w:rsidRDefault="00000000">
      <w:pPr>
        <w:spacing w:before="180" w:after="80"/>
      </w:pPr>
      <w:r>
        <w:rPr>
          <w:b/>
          <w:bCs/>
          <w:sz w:val="25"/>
          <w:szCs w:val="25"/>
        </w:rPr>
        <w:t>Method</w:t>
      </w:r>
    </w:p>
    <w:p w14:paraId="49633CA4" w14:textId="77777777" w:rsidR="00D27B2C" w:rsidRDefault="00000000">
      <w:pPr>
        <w:spacing w:after="100"/>
      </w:pPr>
      <w:r>
        <w:rPr>
          <w:b/>
          <w:bCs/>
          <w:i/>
          <w:iCs/>
          <w:sz w:val="21"/>
          <w:szCs w:val="21"/>
        </w:rPr>
        <w:t xml:space="preserve">Design and sample. </w:t>
      </w:r>
      <w:r>
        <w:rPr>
          <w:sz w:val="21"/>
          <w:szCs w:val="21"/>
        </w:rPr>
        <w:t xml:space="preserve">A major online marketplace introduced a safety-and-quality verification requirement in six categories, each phased in on its own timeline over 24 months: electrical chargers and power banks (month 4), children's toys (month 7), cookware and food-contact items (month 10), cosmetics and skincare (month 13), dietary supplements (month 16), and children's sleepwear (month 18). From each deadline onward, sellers had to upload a relevant lab test report or certification number before a listing could remain active; undocumented listings were removed. A seventh category, decorative home and novelty items, was never subject to the requirement because no specific safety standard applies to </w:t>
      </w:r>
      <w:proofErr w:type="gramStart"/>
      <w:r>
        <w:rPr>
          <w:sz w:val="21"/>
          <w:szCs w:val="21"/>
        </w:rPr>
        <w:t>it, and</w:t>
      </w:r>
      <w:proofErr w:type="gramEnd"/>
      <w:r>
        <w:rPr>
          <w:sz w:val="21"/>
          <w:szCs w:val="21"/>
        </w:rPr>
        <w:t xml:space="preserve"> served as the comparison group. Researchers anonymously purchased products across all seven categories in eight evenly spaced waves over 24 months, sampling randomly within three seller types per category-wave: platform-sold, fulfilled-by-platform third-party, and seller-shipped third-party. In total, 1,680 products were purchased and tested (240 per category).</w:t>
      </w:r>
    </w:p>
    <w:p w14:paraId="7F1A2D6D" w14:textId="77777777" w:rsidR="00D27B2C" w:rsidRDefault="00000000">
      <w:pPr>
        <w:spacing w:after="100"/>
      </w:pPr>
      <w:r>
        <w:rPr>
          <w:b/>
          <w:bCs/>
          <w:i/>
          <w:iCs/>
          <w:sz w:val="21"/>
          <w:szCs w:val="21"/>
        </w:rPr>
        <w:t xml:space="preserve">Measures. </w:t>
      </w:r>
      <w:r>
        <w:rPr>
          <w:sz w:val="21"/>
          <w:szCs w:val="21"/>
        </w:rPr>
        <w:t>Each product was tested against the hazard most relevant to its category: chargers and power banks for overheating and wattage accuracy; toys for choking-hazard dimensions and lead content; cookware for heavy-metal leaching under heat; cosmetics for microbial contamination and banned ingredients; supplements for active-ingredient content relative to the label; and sleepwear for flammability under a standard flame test. Comparison-category items were checked only for basic structural integrity, since no specific standard applies. Every product with a printed certification claim was also checked against the issuing body's public registry. A product was a failure if it failed its category's primary test or carried an unverifiable certification. Technicians were blind to seller type and compliance status; products were stripped of packaging and anonymized before testing. Failure rates were modeled with a staggered difference-in-differences regression, with category and wave fixed effects and time since each category's own deadline, benchmarked against the comparison category's trend.</w:t>
      </w:r>
    </w:p>
    <w:p w14:paraId="2A4DA43D" w14:textId="77777777" w:rsidR="00D27B2C" w:rsidRDefault="00000000">
      <w:pPr>
        <w:spacing w:before="180" w:after="80"/>
      </w:pPr>
      <w:r>
        <w:rPr>
          <w:b/>
          <w:bCs/>
          <w:sz w:val="25"/>
          <w:szCs w:val="25"/>
        </w:rPr>
        <w:t>Results</w:t>
      </w:r>
    </w:p>
    <w:p w14:paraId="7FA27287" w14:textId="77777777" w:rsidR="00D27B2C" w:rsidRDefault="00000000">
      <w:pPr>
        <w:spacing w:after="100"/>
      </w:pPr>
      <w:r>
        <w:rPr>
          <w:sz w:val="21"/>
          <w:szCs w:val="21"/>
        </w:rPr>
        <w:t>Pooled across the six treated categories, the failure rate fell from an average of 36% before each category's compliance deadline to 24% after, a difference-in-differences estimate of −12 percentage points (95% CI [−16, −8], p &lt; .001) once benchmarked against the comparison category, which showed no meaningful change over the same period (−1 percentage point, 95% CI [−4, 2], p = .59; Fig. 2). The flat comparison trend argues against a general marketplace-wide quality improvement as an alternative explanation.</w:t>
      </w:r>
    </w:p>
    <w:p w14:paraId="161091FE" w14:textId="77777777" w:rsidR="00D27B2C" w:rsidRDefault="00000000">
      <w:pPr>
        <w:spacing w:before="120" w:after="50"/>
        <w:jc w:val="center"/>
      </w:pPr>
      <w:r>
        <w:rPr>
          <w:noProof/>
        </w:rPr>
        <w:drawing>
          <wp:inline distT="0" distB="0" distL="0" distR="0" wp14:anchorId="2CEDB804" wp14:editId="36B93DA8">
            <wp:extent cx="2286000" cy="1666875"/>
            <wp:effectExtent l="0" t="0" r="0" b="0"/>
            <wp:docPr id="433605461" name="Picture 43360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1666875"/>
                    </a:xfrm>
                    <a:prstGeom prst="rect">
                      <a:avLst/>
                    </a:prstGeom>
                  </pic:spPr>
                </pic:pic>
              </a:graphicData>
            </a:graphic>
          </wp:inline>
        </w:drawing>
      </w:r>
    </w:p>
    <w:p w14:paraId="14BD74F3" w14:textId="77777777" w:rsidR="00D27B2C" w:rsidRDefault="00000000">
      <w:pPr>
        <w:spacing w:after="140"/>
      </w:pPr>
      <w:r>
        <w:rPr>
          <w:i/>
          <w:iCs/>
          <w:sz w:val="17"/>
          <w:szCs w:val="17"/>
        </w:rPr>
        <w:t>Fig. 2. Failure rate by quarter relative to each category's compliance deadline, vs. the untreated comparison category. Bands are 95% CIs.</w:t>
      </w:r>
    </w:p>
    <w:p w14:paraId="433C402E" w14:textId="77777777" w:rsidR="00D27B2C" w:rsidRDefault="00000000">
      <w:pPr>
        <w:spacing w:after="100"/>
      </w:pPr>
      <w:r>
        <w:rPr>
          <w:sz w:val="21"/>
          <w:szCs w:val="21"/>
        </w:rPr>
        <w:t xml:space="preserve">The improvement varied widely by category and by which test </w:t>
      </w:r>
      <w:proofErr w:type="gramStart"/>
      <w:r>
        <w:rPr>
          <w:sz w:val="21"/>
          <w:szCs w:val="21"/>
        </w:rPr>
        <w:t>drove</w:t>
      </w:r>
      <w:proofErr w:type="gramEnd"/>
      <w:r>
        <w:rPr>
          <w:sz w:val="21"/>
          <w:szCs w:val="21"/>
        </w:rPr>
        <w:t xml:space="preserve"> failures (Table 1; Fig. 3). Electrical chargers and power banks, with the highest pre-compliance rate (43%), saw the largest drop (−20 points), driven by fewer overheating failures. Children's sleepwear showed the smallest, only marginal change (−3 points, 95% CI [−9, 3]), with most failures concentrated in the flammability test rather than the certification check, a hazard the paperwork requirement may screen for less directly.</w:t>
      </w:r>
    </w:p>
    <w:p w14:paraId="7976FD7F" w14:textId="77777777" w:rsidR="00D27B2C" w:rsidRDefault="00000000">
      <w:pPr>
        <w:spacing w:before="120" w:after="50"/>
        <w:jc w:val="center"/>
      </w:pPr>
      <w:r>
        <w:rPr>
          <w:noProof/>
        </w:rPr>
        <w:lastRenderedPageBreak/>
        <w:drawing>
          <wp:inline distT="0" distB="0" distL="0" distR="0" wp14:anchorId="7B7F2574" wp14:editId="57CCC1A9">
            <wp:extent cx="2286000" cy="2286000"/>
            <wp:effectExtent l="0" t="0" r="0" b="0"/>
            <wp:docPr id="1462777924" name="Picture 146277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86000" cy="2286000"/>
                    </a:xfrm>
                    <a:prstGeom prst="rect">
                      <a:avLst/>
                    </a:prstGeom>
                  </pic:spPr>
                </pic:pic>
              </a:graphicData>
            </a:graphic>
          </wp:inline>
        </w:drawing>
      </w:r>
    </w:p>
    <w:p w14:paraId="64E7FAB4" w14:textId="77777777" w:rsidR="00D27B2C" w:rsidRDefault="00000000">
      <w:pPr>
        <w:spacing w:after="140"/>
      </w:pPr>
      <w:r>
        <w:rPr>
          <w:i/>
          <w:iCs/>
          <w:sz w:val="17"/>
          <w:szCs w:val="17"/>
        </w:rPr>
        <w:t>Fig. 3. Change in failure rate (pp, post minus pre) by category and test type. Darker blue = larger improvement.</w:t>
      </w:r>
    </w:p>
    <w:p w14:paraId="3289B81D" w14:textId="77777777" w:rsidR="00D27B2C" w:rsidRDefault="00000000">
      <w:pPr>
        <w:spacing w:after="120"/>
      </w:pPr>
      <w:r>
        <w:rPr>
          <w:sz w:val="21"/>
          <w:szCs w:val="21"/>
        </w:rPr>
        <w:t xml:space="preserve">Two patterns qualify the headline finding. Even after compliance, seller-shipped listings retained a failure rate about 8 points higher than platform-sold listings across categories, so documentation narrowed but did not eliminate the seller-type gap. And among products that passed certification on paper, 13% carried a claim that could not </w:t>
      </w:r>
      <w:proofErr w:type="gramStart"/>
      <w:r>
        <w:rPr>
          <w:sz w:val="21"/>
          <w:szCs w:val="21"/>
        </w:rPr>
        <w:t>be located in</w:t>
      </w:r>
      <w:proofErr w:type="gramEnd"/>
      <w:r>
        <w:rPr>
          <w:sz w:val="21"/>
          <w:szCs w:val="21"/>
        </w:rPr>
        <w:t xml:space="preserve"> the issuing body's registry, meaning approval does not guarantee a genuine certification, regardless of product type.</w:t>
      </w:r>
    </w:p>
    <w:p w14:paraId="6868F983" w14:textId="77777777" w:rsidR="00D27B2C" w:rsidRDefault="00000000">
      <w:pPr>
        <w:spacing w:before="40" w:after="30"/>
      </w:pPr>
      <w:r>
        <w:rPr>
          <w:b/>
          <w:bCs/>
          <w:sz w:val="17"/>
          <w:szCs w:val="17"/>
        </w:rPr>
        <w:t>Table 1. Failure rates by category, before and after each category's compliance deadline.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1"/>
        <w:gridCol w:w="745"/>
        <w:gridCol w:w="500"/>
        <w:gridCol w:w="718"/>
        <w:gridCol w:w="718"/>
        <w:gridCol w:w="791"/>
      </w:tblGrid>
      <w:tr w:rsidR="00D27B2C" w14:paraId="6BFAAB95" w14:textId="77777777">
        <w:tblPrEx>
          <w:tblCellMar>
            <w:top w:w="0" w:type="dxa"/>
            <w:bottom w:w="0" w:type="dxa"/>
          </w:tblCellMar>
        </w:tblPrEx>
        <w:tc>
          <w:tcPr>
            <w:tcW w:w="1500" w:type="pct"/>
            <w:shd w:val="clear" w:color="auto" w:fill="D9D9D9"/>
            <w:tcMar>
              <w:top w:w="50" w:type="dxa"/>
              <w:left w:w="70" w:type="dxa"/>
              <w:bottom w:w="50" w:type="dxa"/>
              <w:right w:w="70" w:type="dxa"/>
            </w:tcMar>
            <w:vAlign w:val="center"/>
          </w:tcPr>
          <w:p w14:paraId="1E3913A6" w14:textId="77777777" w:rsidR="00D27B2C" w:rsidRDefault="00000000">
            <w:r>
              <w:rPr>
                <w:b/>
                <w:bCs/>
                <w:sz w:val="16"/>
                <w:szCs w:val="16"/>
              </w:rPr>
              <w:t>Category</w:t>
            </w:r>
          </w:p>
        </w:tc>
        <w:tc>
          <w:tcPr>
            <w:tcW w:w="600" w:type="pct"/>
            <w:shd w:val="clear" w:color="auto" w:fill="D9D9D9"/>
            <w:tcMar>
              <w:top w:w="50" w:type="dxa"/>
              <w:left w:w="70" w:type="dxa"/>
              <w:bottom w:w="50" w:type="dxa"/>
              <w:right w:w="70" w:type="dxa"/>
            </w:tcMar>
            <w:vAlign w:val="center"/>
          </w:tcPr>
          <w:p w14:paraId="0EB380DA" w14:textId="77777777" w:rsidR="00D27B2C" w:rsidRDefault="00000000">
            <w:pPr>
              <w:jc w:val="center"/>
            </w:pPr>
            <w:r>
              <w:rPr>
                <w:b/>
                <w:bCs/>
                <w:sz w:val="16"/>
                <w:szCs w:val="16"/>
              </w:rPr>
              <w:t>Deadline (month)</w:t>
            </w:r>
          </w:p>
        </w:tc>
        <w:tc>
          <w:tcPr>
            <w:tcW w:w="400" w:type="pct"/>
            <w:shd w:val="clear" w:color="auto" w:fill="D9D9D9"/>
            <w:tcMar>
              <w:top w:w="50" w:type="dxa"/>
              <w:left w:w="70" w:type="dxa"/>
              <w:bottom w:w="50" w:type="dxa"/>
              <w:right w:w="70" w:type="dxa"/>
            </w:tcMar>
            <w:vAlign w:val="center"/>
          </w:tcPr>
          <w:p w14:paraId="1762F1DB" w14:textId="77777777" w:rsidR="00D27B2C" w:rsidRDefault="00000000">
            <w:pPr>
              <w:jc w:val="center"/>
            </w:pPr>
            <w:r>
              <w:rPr>
                <w:b/>
                <w:bCs/>
                <w:sz w:val="16"/>
                <w:szCs w:val="16"/>
              </w:rPr>
              <w:t>n</w:t>
            </w:r>
          </w:p>
        </w:tc>
        <w:tc>
          <w:tcPr>
            <w:tcW w:w="800" w:type="pct"/>
            <w:shd w:val="clear" w:color="auto" w:fill="D9D9D9"/>
            <w:tcMar>
              <w:top w:w="50" w:type="dxa"/>
              <w:left w:w="70" w:type="dxa"/>
              <w:bottom w:w="50" w:type="dxa"/>
              <w:right w:w="70" w:type="dxa"/>
            </w:tcMar>
            <w:vAlign w:val="center"/>
          </w:tcPr>
          <w:p w14:paraId="49E51D0C" w14:textId="77777777" w:rsidR="00D27B2C" w:rsidRDefault="00000000">
            <w:pPr>
              <w:jc w:val="center"/>
            </w:pPr>
            <w:r>
              <w:rPr>
                <w:b/>
                <w:bCs/>
                <w:sz w:val="16"/>
                <w:szCs w:val="16"/>
              </w:rPr>
              <w:t>Pre-deadline fail rate</w:t>
            </w:r>
          </w:p>
        </w:tc>
        <w:tc>
          <w:tcPr>
            <w:tcW w:w="800" w:type="pct"/>
            <w:shd w:val="clear" w:color="auto" w:fill="D9D9D9"/>
            <w:tcMar>
              <w:top w:w="50" w:type="dxa"/>
              <w:left w:w="70" w:type="dxa"/>
              <w:bottom w:w="50" w:type="dxa"/>
              <w:right w:w="70" w:type="dxa"/>
            </w:tcMar>
            <w:vAlign w:val="center"/>
          </w:tcPr>
          <w:p w14:paraId="759841ED" w14:textId="77777777" w:rsidR="00D27B2C" w:rsidRDefault="00000000">
            <w:pPr>
              <w:jc w:val="center"/>
            </w:pPr>
            <w:r>
              <w:rPr>
                <w:b/>
                <w:bCs/>
                <w:sz w:val="16"/>
                <w:szCs w:val="16"/>
              </w:rPr>
              <w:t>Post-deadline fail rate</w:t>
            </w:r>
          </w:p>
        </w:tc>
        <w:tc>
          <w:tcPr>
            <w:tcW w:w="900" w:type="pct"/>
            <w:shd w:val="clear" w:color="auto" w:fill="D9D9D9"/>
            <w:tcMar>
              <w:top w:w="50" w:type="dxa"/>
              <w:left w:w="70" w:type="dxa"/>
              <w:bottom w:w="50" w:type="dxa"/>
              <w:right w:w="70" w:type="dxa"/>
            </w:tcMar>
            <w:vAlign w:val="center"/>
          </w:tcPr>
          <w:p w14:paraId="6D2628DE" w14:textId="77777777" w:rsidR="00D27B2C" w:rsidRDefault="00000000">
            <w:pPr>
              <w:jc w:val="center"/>
            </w:pPr>
            <w:proofErr w:type="spellStart"/>
            <w:r>
              <w:rPr>
                <w:b/>
                <w:bCs/>
                <w:sz w:val="16"/>
                <w:szCs w:val="16"/>
              </w:rPr>
              <w:t>DiD</w:t>
            </w:r>
            <w:proofErr w:type="spellEnd"/>
            <w:r>
              <w:rPr>
                <w:b/>
                <w:bCs/>
                <w:sz w:val="16"/>
                <w:szCs w:val="16"/>
              </w:rPr>
              <w:t xml:space="preserve"> estimate (pp, 95% CI)</w:t>
            </w:r>
          </w:p>
        </w:tc>
      </w:tr>
      <w:tr w:rsidR="00D27B2C" w14:paraId="06055A7F" w14:textId="77777777">
        <w:tblPrEx>
          <w:tblCellMar>
            <w:top w:w="0" w:type="dxa"/>
            <w:bottom w:w="0" w:type="dxa"/>
          </w:tblCellMar>
        </w:tblPrEx>
        <w:tc>
          <w:tcPr>
            <w:tcW w:w="1500" w:type="pct"/>
            <w:tcMar>
              <w:top w:w="50" w:type="dxa"/>
              <w:left w:w="70" w:type="dxa"/>
              <w:bottom w:w="50" w:type="dxa"/>
              <w:right w:w="70" w:type="dxa"/>
            </w:tcMar>
            <w:vAlign w:val="center"/>
          </w:tcPr>
          <w:p w14:paraId="0A95525E" w14:textId="77777777" w:rsidR="00D27B2C" w:rsidRDefault="00000000">
            <w:r>
              <w:rPr>
                <w:sz w:val="16"/>
                <w:szCs w:val="16"/>
              </w:rPr>
              <w:t>Electrical chargers &amp; power banks</w:t>
            </w:r>
          </w:p>
        </w:tc>
        <w:tc>
          <w:tcPr>
            <w:tcW w:w="600" w:type="pct"/>
            <w:tcMar>
              <w:top w:w="50" w:type="dxa"/>
              <w:left w:w="70" w:type="dxa"/>
              <w:bottom w:w="50" w:type="dxa"/>
              <w:right w:w="70" w:type="dxa"/>
            </w:tcMar>
            <w:vAlign w:val="center"/>
          </w:tcPr>
          <w:p w14:paraId="1D858E88" w14:textId="77777777" w:rsidR="00D27B2C" w:rsidRDefault="00000000">
            <w:pPr>
              <w:jc w:val="center"/>
            </w:pPr>
            <w:r>
              <w:rPr>
                <w:sz w:val="16"/>
                <w:szCs w:val="16"/>
              </w:rPr>
              <w:t>4</w:t>
            </w:r>
          </w:p>
        </w:tc>
        <w:tc>
          <w:tcPr>
            <w:tcW w:w="400" w:type="pct"/>
            <w:tcMar>
              <w:top w:w="50" w:type="dxa"/>
              <w:left w:w="70" w:type="dxa"/>
              <w:bottom w:w="50" w:type="dxa"/>
              <w:right w:w="70" w:type="dxa"/>
            </w:tcMar>
            <w:vAlign w:val="center"/>
          </w:tcPr>
          <w:p w14:paraId="27B9BB98" w14:textId="77777777" w:rsidR="00D27B2C" w:rsidRDefault="00000000">
            <w:pPr>
              <w:jc w:val="center"/>
            </w:pPr>
            <w:r>
              <w:rPr>
                <w:sz w:val="16"/>
                <w:szCs w:val="16"/>
              </w:rPr>
              <w:t>240</w:t>
            </w:r>
          </w:p>
        </w:tc>
        <w:tc>
          <w:tcPr>
            <w:tcW w:w="800" w:type="pct"/>
            <w:tcMar>
              <w:top w:w="50" w:type="dxa"/>
              <w:left w:w="70" w:type="dxa"/>
              <w:bottom w:w="50" w:type="dxa"/>
              <w:right w:w="70" w:type="dxa"/>
            </w:tcMar>
            <w:vAlign w:val="center"/>
          </w:tcPr>
          <w:p w14:paraId="1B5E74F0" w14:textId="77777777" w:rsidR="00D27B2C" w:rsidRDefault="00000000">
            <w:pPr>
              <w:jc w:val="center"/>
            </w:pPr>
            <w:r>
              <w:rPr>
                <w:sz w:val="16"/>
                <w:szCs w:val="16"/>
              </w:rPr>
              <w:t>43%</w:t>
            </w:r>
          </w:p>
        </w:tc>
        <w:tc>
          <w:tcPr>
            <w:tcW w:w="800" w:type="pct"/>
            <w:tcMar>
              <w:top w:w="50" w:type="dxa"/>
              <w:left w:w="70" w:type="dxa"/>
              <w:bottom w:w="50" w:type="dxa"/>
              <w:right w:w="70" w:type="dxa"/>
            </w:tcMar>
            <w:vAlign w:val="center"/>
          </w:tcPr>
          <w:p w14:paraId="11B8CFF1" w14:textId="77777777" w:rsidR="00D27B2C" w:rsidRDefault="00000000">
            <w:pPr>
              <w:jc w:val="center"/>
            </w:pPr>
            <w:r>
              <w:rPr>
                <w:sz w:val="16"/>
                <w:szCs w:val="16"/>
              </w:rPr>
              <w:t>23%</w:t>
            </w:r>
          </w:p>
        </w:tc>
        <w:tc>
          <w:tcPr>
            <w:tcW w:w="900" w:type="pct"/>
            <w:tcMar>
              <w:top w:w="50" w:type="dxa"/>
              <w:left w:w="70" w:type="dxa"/>
              <w:bottom w:w="50" w:type="dxa"/>
              <w:right w:w="70" w:type="dxa"/>
            </w:tcMar>
            <w:vAlign w:val="center"/>
          </w:tcPr>
          <w:p w14:paraId="7A0DFF3A" w14:textId="77777777" w:rsidR="00D27B2C" w:rsidRDefault="00000000">
            <w:pPr>
              <w:jc w:val="center"/>
            </w:pPr>
            <w:r>
              <w:rPr>
                <w:sz w:val="16"/>
                <w:szCs w:val="16"/>
              </w:rPr>
              <w:t>−20 [−26, −14]</w:t>
            </w:r>
          </w:p>
        </w:tc>
      </w:tr>
      <w:tr w:rsidR="00D27B2C" w14:paraId="25EC925B" w14:textId="77777777">
        <w:tblPrEx>
          <w:tblCellMar>
            <w:top w:w="0" w:type="dxa"/>
            <w:bottom w:w="0" w:type="dxa"/>
          </w:tblCellMar>
        </w:tblPrEx>
        <w:tc>
          <w:tcPr>
            <w:tcW w:w="1500" w:type="pct"/>
            <w:tcMar>
              <w:top w:w="50" w:type="dxa"/>
              <w:left w:w="70" w:type="dxa"/>
              <w:bottom w:w="50" w:type="dxa"/>
              <w:right w:w="70" w:type="dxa"/>
            </w:tcMar>
            <w:vAlign w:val="center"/>
          </w:tcPr>
          <w:p w14:paraId="166D6885" w14:textId="77777777" w:rsidR="00D27B2C" w:rsidRDefault="00000000">
            <w:r>
              <w:rPr>
                <w:sz w:val="16"/>
                <w:szCs w:val="16"/>
              </w:rPr>
              <w:t>Children's toys</w:t>
            </w:r>
          </w:p>
        </w:tc>
        <w:tc>
          <w:tcPr>
            <w:tcW w:w="600" w:type="pct"/>
            <w:tcMar>
              <w:top w:w="50" w:type="dxa"/>
              <w:left w:w="70" w:type="dxa"/>
              <w:bottom w:w="50" w:type="dxa"/>
              <w:right w:w="70" w:type="dxa"/>
            </w:tcMar>
            <w:vAlign w:val="center"/>
          </w:tcPr>
          <w:p w14:paraId="7E4F7A7F" w14:textId="77777777" w:rsidR="00D27B2C" w:rsidRDefault="00000000">
            <w:pPr>
              <w:jc w:val="center"/>
            </w:pPr>
            <w:r>
              <w:rPr>
                <w:sz w:val="16"/>
                <w:szCs w:val="16"/>
              </w:rPr>
              <w:t>7</w:t>
            </w:r>
          </w:p>
        </w:tc>
        <w:tc>
          <w:tcPr>
            <w:tcW w:w="400" w:type="pct"/>
            <w:tcMar>
              <w:top w:w="50" w:type="dxa"/>
              <w:left w:w="70" w:type="dxa"/>
              <w:bottom w:w="50" w:type="dxa"/>
              <w:right w:w="70" w:type="dxa"/>
            </w:tcMar>
            <w:vAlign w:val="center"/>
          </w:tcPr>
          <w:p w14:paraId="4A1B6594" w14:textId="77777777" w:rsidR="00D27B2C" w:rsidRDefault="00000000">
            <w:pPr>
              <w:jc w:val="center"/>
            </w:pPr>
            <w:r>
              <w:rPr>
                <w:sz w:val="16"/>
                <w:szCs w:val="16"/>
              </w:rPr>
              <w:t>240</w:t>
            </w:r>
          </w:p>
        </w:tc>
        <w:tc>
          <w:tcPr>
            <w:tcW w:w="800" w:type="pct"/>
            <w:tcMar>
              <w:top w:w="50" w:type="dxa"/>
              <w:left w:w="70" w:type="dxa"/>
              <w:bottom w:w="50" w:type="dxa"/>
              <w:right w:w="70" w:type="dxa"/>
            </w:tcMar>
            <w:vAlign w:val="center"/>
          </w:tcPr>
          <w:p w14:paraId="1814B9F5" w14:textId="77777777" w:rsidR="00D27B2C" w:rsidRDefault="00000000">
            <w:pPr>
              <w:jc w:val="center"/>
            </w:pPr>
            <w:r>
              <w:rPr>
                <w:sz w:val="16"/>
                <w:szCs w:val="16"/>
              </w:rPr>
              <w:t>39%</w:t>
            </w:r>
          </w:p>
        </w:tc>
        <w:tc>
          <w:tcPr>
            <w:tcW w:w="800" w:type="pct"/>
            <w:tcMar>
              <w:top w:w="50" w:type="dxa"/>
              <w:left w:w="70" w:type="dxa"/>
              <w:bottom w:w="50" w:type="dxa"/>
              <w:right w:w="70" w:type="dxa"/>
            </w:tcMar>
            <w:vAlign w:val="center"/>
          </w:tcPr>
          <w:p w14:paraId="6E2EA1A6" w14:textId="77777777" w:rsidR="00D27B2C" w:rsidRDefault="00000000">
            <w:pPr>
              <w:jc w:val="center"/>
            </w:pPr>
            <w:r>
              <w:rPr>
                <w:sz w:val="16"/>
                <w:szCs w:val="16"/>
              </w:rPr>
              <w:t>25%</w:t>
            </w:r>
          </w:p>
        </w:tc>
        <w:tc>
          <w:tcPr>
            <w:tcW w:w="900" w:type="pct"/>
            <w:tcMar>
              <w:top w:w="50" w:type="dxa"/>
              <w:left w:w="70" w:type="dxa"/>
              <w:bottom w:w="50" w:type="dxa"/>
              <w:right w:w="70" w:type="dxa"/>
            </w:tcMar>
            <w:vAlign w:val="center"/>
          </w:tcPr>
          <w:p w14:paraId="0DFC5F9C" w14:textId="77777777" w:rsidR="00D27B2C" w:rsidRDefault="00000000">
            <w:pPr>
              <w:jc w:val="center"/>
            </w:pPr>
            <w:r>
              <w:rPr>
                <w:sz w:val="16"/>
                <w:szCs w:val="16"/>
              </w:rPr>
              <w:t>−14 [−20, −8]</w:t>
            </w:r>
          </w:p>
        </w:tc>
      </w:tr>
      <w:tr w:rsidR="00D27B2C" w14:paraId="64B2E9F6" w14:textId="77777777">
        <w:tblPrEx>
          <w:tblCellMar>
            <w:top w:w="0" w:type="dxa"/>
            <w:bottom w:w="0" w:type="dxa"/>
          </w:tblCellMar>
        </w:tblPrEx>
        <w:tc>
          <w:tcPr>
            <w:tcW w:w="1500" w:type="pct"/>
            <w:tcMar>
              <w:top w:w="50" w:type="dxa"/>
              <w:left w:w="70" w:type="dxa"/>
              <w:bottom w:w="50" w:type="dxa"/>
              <w:right w:w="70" w:type="dxa"/>
            </w:tcMar>
            <w:vAlign w:val="center"/>
          </w:tcPr>
          <w:p w14:paraId="7FB766C0" w14:textId="77777777" w:rsidR="00D27B2C" w:rsidRDefault="00000000">
            <w:r>
              <w:rPr>
                <w:sz w:val="16"/>
                <w:szCs w:val="16"/>
              </w:rPr>
              <w:t>Cookware &amp; food-contact items</w:t>
            </w:r>
          </w:p>
        </w:tc>
        <w:tc>
          <w:tcPr>
            <w:tcW w:w="600" w:type="pct"/>
            <w:tcMar>
              <w:top w:w="50" w:type="dxa"/>
              <w:left w:w="70" w:type="dxa"/>
              <w:bottom w:w="50" w:type="dxa"/>
              <w:right w:w="70" w:type="dxa"/>
            </w:tcMar>
            <w:vAlign w:val="center"/>
          </w:tcPr>
          <w:p w14:paraId="39EDCEB5" w14:textId="77777777" w:rsidR="00D27B2C" w:rsidRDefault="00000000">
            <w:pPr>
              <w:jc w:val="center"/>
            </w:pPr>
            <w:r>
              <w:rPr>
                <w:sz w:val="16"/>
                <w:szCs w:val="16"/>
              </w:rPr>
              <w:t>10</w:t>
            </w:r>
          </w:p>
        </w:tc>
        <w:tc>
          <w:tcPr>
            <w:tcW w:w="400" w:type="pct"/>
            <w:tcMar>
              <w:top w:w="50" w:type="dxa"/>
              <w:left w:w="70" w:type="dxa"/>
              <w:bottom w:w="50" w:type="dxa"/>
              <w:right w:w="70" w:type="dxa"/>
            </w:tcMar>
            <w:vAlign w:val="center"/>
          </w:tcPr>
          <w:p w14:paraId="731FD270" w14:textId="77777777" w:rsidR="00D27B2C" w:rsidRDefault="00000000">
            <w:pPr>
              <w:jc w:val="center"/>
            </w:pPr>
            <w:r>
              <w:rPr>
                <w:sz w:val="16"/>
                <w:szCs w:val="16"/>
              </w:rPr>
              <w:t>240</w:t>
            </w:r>
          </w:p>
        </w:tc>
        <w:tc>
          <w:tcPr>
            <w:tcW w:w="800" w:type="pct"/>
            <w:tcMar>
              <w:top w:w="50" w:type="dxa"/>
              <w:left w:w="70" w:type="dxa"/>
              <w:bottom w:w="50" w:type="dxa"/>
              <w:right w:w="70" w:type="dxa"/>
            </w:tcMar>
            <w:vAlign w:val="center"/>
          </w:tcPr>
          <w:p w14:paraId="26D906FA" w14:textId="77777777" w:rsidR="00D27B2C" w:rsidRDefault="00000000">
            <w:pPr>
              <w:jc w:val="center"/>
            </w:pPr>
            <w:r>
              <w:rPr>
                <w:sz w:val="16"/>
                <w:szCs w:val="16"/>
              </w:rPr>
              <w:t>31%</w:t>
            </w:r>
          </w:p>
        </w:tc>
        <w:tc>
          <w:tcPr>
            <w:tcW w:w="800" w:type="pct"/>
            <w:tcMar>
              <w:top w:w="50" w:type="dxa"/>
              <w:left w:w="70" w:type="dxa"/>
              <w:bottom w:w="50" w:type="dxa"/>
              <w:right w:w="70" w:type="dxa"/>
            </w:tcMar>
            <w:vAlign w:val="center"/>
          </w:tcPr>
          <w:p w14:paraId="6EED7B0F" w14:textId="77777777" w:rsidR="00D27B2C" w:rsidRDefault="00000000">
            <w:pPr>
              <w:jc w:val="center"/>
            </w:pPr>
            <w:r>
              <w:rPr>
                <w:sz w:val="16"/>
                <w:szCs w:val="16"/>
              </w:rPr>
              <w:t>22%</w:t>
            </w:r>
          </w:p>
        </w:tc>
        <w:tc>
          <w:tcPr>
            <w:tcW w:w="900" w:type="pct"/>
            <w:tcMar>
              <w:top w:w="50" w:type="dxa"/>
              <w:left w:w="70" w:type="dxa"/>
              <w:bottom w:w="50" w:type="dxa"/>
              <w:right w:w="70" w:type="dxa"/>
            </w:tcMar>
            <w:vAlign w:val="center"/>
          </w:tcPr>
          <w:p w14:paraId="2796F147" w14:textId="77777777" w:rsidR="00D27B2C" w:rsidRDefault="00000000">
            <w:pPr>
              <w:jc w:val="center"/>
            </w:pPr>
            <w:r>
              <w:rPr>
                <w:sz w:val="16"/>
                <w:szCs w:val="16"/>
              </w:rPr>
              <w:t>−9 [−15, −3]</w:t>
            </w:r>
          </w:p>
        </w:tc>
      </w:tr>
      <w:tr w:rsidR="00D27B2C" w14:paraId="377ED1FC" w14:textId="77777777">
        <w:tblPrEx>
          <w:tblCellMar>
            <w:top w:w="0" w:type="dxa"/>
            <w:bottom w:w="0" w:type="dxa"/>
          </w:tblCellMar>
        </w:tblPrEx>
        <w:tc>
          <w:tcPr>
            <w:tcW w:w="1500" w:type="pct"/>
            <w:tcMar>
              <w:top w:w="50" w:type="dxa"/>
              <w:left w:w="70" w:type="dxa"/>
              <w:bottom w:w="50" w:type="dxa"/>
              <w:right w:w="70" w:type="dxa"/>
            </w:tcMar>
            <w:vAlign w:val="center"/>
          </w:tcPr>
          <w:p w14:paraId="3EC672E9" w14:textId="77777777" w:rsidR="00D27B2C" w:rsidRDefault="00000000">
            <w:r>
              <w:rPr>
                <w:sz w:val="16"/>
                <w:szCs w:val="16"/>
              </w:rPr>
              <w:t>Cosmetics &amp; skincare</w:t>
            </w:r>
          </w:p>
        </w:tc>
        <w:tc>
          <w:tcPr>
            <w:tcW w:w="600" w:type="pct"/>
            <w:tcMar>
              <w:top w:w="50" w:type="dxa"/>
              <w:left w:w="70" w:type="dxa"/>
              <w:bottom w:w="50" w:type="dxa"/>
              <w:right w:w="70" w:type="dxa"/>
            </w:tcMar>
            <w:vAlign w:val="center"/>
          </w:tcPr>
          <w:p w14:paraId="5E3327BD" w14:textId="77777777" w:rsidR="00D27B2C" w:rsidRDefault="00000000">
            <w:pPr>
              <w:jc w:val="center"/>
            </w:pPr>
            <w:r>
              <w:rPr>
                <w:sz w:val="16"/>
                <w:szCs w:val="16"/>
              </w:rPr>
              <w:t>13</w:t>
            </w:r>
          </w:p>
        </w:tc>
        <w:tc>
          <w:tcPr>
            <w:tcW w:w="400" w:type="pct"/>
            <w:tcMar>
              <w:top w:w="50" w:type="dxa"/>
              <w:left w:w="70" w:type="dxa"/>
              <w:bottom w:w="50" w:type="dxa"/>
              <w:right w:w="70" w:type="dxa"/>
            </w:tcMar>
            <w:vAlign w:val="center"/>
          </w:tcPr>
          <w:p w14:paraId="6B88685B" w14:textId="77777777" w:rsidR="00D27B2C" w:rsidRDefault="00000000">
            <w:pPr>
              <w:jc w:val="center"/>
            </w:pPr>
            <w:r>
              <w:rPr>
                <w:sz w:val="16"/>
                <w:szCs w:val="16"/>
              </w:rPr>
              <w:t>240</w:t>
            </w:r>
          </w:p>
        </w:tc>
        <w:tc>
          <w:tcPr>
            <w:tcW w:w="800" w:type="pct"/>
            <w:tcMar>
              <w:top w:w="50" w:type="dxa"/>
              <w:left w:w="70" w:type="dxa"/>
              <w:bottom w:w="50" w:type="dxa"/>
              <w:right w:w="70" w:type="dxa"/>
            </w:tcMar>
            <w:vAlign w:val="center"/>
          </w:tcPr>
          <w:p w14:paraId="6B185E12" w14:textId="77777777" w:rsidR="00D27B2C" w:rsidRDefault="00000000">
            <w:pPr>
              <w:jc w:val="center"/>
            </w:pPr>
            <w:r>
              <w:rPr>
                <w:sz w:val="16"/>
                <w:szCs w:val="16"/>
              </w:rPr>
              <w:t>34%</w:t>
            </w:r>
          </w:p>
        </w:tc>
        <w:tc>
          <w:tcPr>
            <w:tcW w:w="800" w:type="pct"/>
            <w:tcMar>
              <w:top w:w="50" w:type="dxa"/>
              <w:left w:w="70" w:type="dxa"/>
              <w:bottom w:w="50" w:type="dxa"/>
              <w:right w:w="70" w:type="dxa"/>
            </w:tcMar>
            <w:vAlign w:val="center"/>
          </w:tcPr>
          <w:p w14:paraId="20DDD1DA" w14:textId="77777777" w:rsidR="00D27B2C" w:rsidRDefault="00000000">
            <w:pPr>
              <w:jc w:val="center"/>
            </w:pPr>
            <w:r>
              <w:rPr>
                <w:sz w:val="16"/>
                <w:szCs w:val="16"/>
              </w:rPr>
              <w:t>23%</w:t>
            </w:r>
          </w:p>
        </w:tc>
        <w:tc>
          <w:tcPr>
            <w:tcW w:w="900" w:type="pct"/>
            <w:tcMar>
              <w:top w:w="50" w:type="dxa"/>
              <w:left w:w="70" w:type="dxa"/>
              <w:bottom w:w="50" w:type="dxa"/>
              <w:right w:w="70" w:type="dxa"/>
            </w:tcMar>
            <w:vAlign w:val="center"/>
          </w:tcPr>
          <w:p w14:paraId="78C84EAA" w14:textId="77777777" w:rsidR="00D27B2C" w:rsidRDefault="00000000">
            <w:pPr>
              <w:jc w:val="center"/>
            </w:pPr>
            <w:r>
              <w:rPr>
                <w:sz w:val="16"/>
                <w:szCs w:val="16"/>
              </w:rPr>
              <w:t>−11 [−17, −5]</w:t>
            </w:r>
          </w:p>
        </w:tc>
      </w:tr>
      <w:tr w:rsidR="00D27B2C" w14:paraId="4B54E3D1" w14:textId="77777777">
        <w:tblPrEx>
          <w:tblCellMar>
            <w:top w:w="0" w:type="dxa"/>
            <w:bottom w:w="0" w:type="dxa"/>
          </w:tblCellMar>
        </w:tblPrEx>
        <w:tc>
          <w:tcPr>
            <w:tcW w:w="1500" w:type="pct"/>
            <w:tcMar>
              <w:top w:w="50" w:type="dxa"/>
              <w:left w:w="70" w:type="dxa"/>
              <w:bottom w:w="50" w:type="dxa"/>
              <w:right w:w="70" w:type="dxa"/>
            </w:tcMar>
            <w:vAlign w:val="center"/>
          </w:tcPr>
          <w:p w14:paraId="174A7EB3" w14:textId="77777777" w:rsidR="00D27B2C" w:rsidRDefault="00000000">
            <w:r>
              <w:rPr>
                <w:sz w:val="16"/>
                <w:szCs w:val="16"/>
              </w:rPr>
              <w:t>Dietary supplements</w:t>
            </w:r>
          </w:p>
        </w:tc>
        <w:tc>
          <w:tcPr>
            <w:tcW w:w="600" w:type="pct"/>
            <w:tcMar>
              <w:top w:w="50" w:type="dxa"/>
              <w:left w:w="70" w:type="dxa"/>
              <w:bottom w:w="50" w:type="dxa"/>
              <w:right w:w="70" w:type="dxa"/>
            </w:tcMar>
            <w:vAlign w:val="center"/>
          </w:tcPr>
          <w:p w14:paraId="1FEB5DD0" w14:textId="77777777" w:rsidR="00D27B2C" w:rsidRDefault="00000000">
            <w:pPr>
              <w:jc w:val="center"/>
            </w:pPr>
            <w:r>
              <w:rPr>
                <w:sz w:val="16"/>
                <w:szCs w:val="16"/>
              </w:rPr>
              <w:t>16</w:t>
            </w:r>
          </w:p>
        </w:tc>
        <w:tc>
          <w:tcPr>
            <w:tcW w:w="400" w:type="pct"/>
            <w:tcMar>
              <w:top w:w="50" w:type="dxa"/>
              <w:left w:w="70" w:type="dxa"/>
              <w:bottom w:w="50" w:type="dxa"/>
              <w:right w:w="70" w:type="dxa"/>
            </w:tcMar>
            <w:vAlign w:val="center"/>
          </w:tcPr>
          <w:p w14:paraId="237AC4AA" w14:textId="77777777" w:rsidR="00D27B2C" w:rsidRDefault="00000000">
            <w:pPr>
              <w:jc w:val="center"/>
            </w:pPr>
            <w:r>
              <w:rPr>
                <w:sz w:val="16"/>
                <w:szCs w:val="16"/>
              </w:rPr>
              <w:t>240</w:t>
            </w:r>
          </w:p>
        </w:tc>
        <w:tc>
          <w:tcPr>
            <w:tcW w:w="800" w:type="pct"/>
            <w:tcMar>
              <w:top w:w="50" w:type="dxa"/>
              <w:left w:w="70" w:type="dxa"/>
              <w:bottom w:w="50" w:type="dxa"/>
              <w:right w:w="70" w:type="dxa"/>
            </w:tcMar>
            <w:vAlign w:val="center"/>
          </w:tcPr>
          <w:p w14:paraId="37D767E7" w14:textId="77777777" w:rsidR="00D27B2C" w:rsidRDefault="00000000">
            <w:pPr>
              <w:jc w:val="center"/>
            </w:pPr>
            <w:r>
              <w:rPr>
                <w:sz w:val="16"/>
                <w:szCs w:val="16"/>
              </w:rPr>
              <w:t>40%</w:t>
            </w:r>
          </w:p>
        </w:tc>
        <w:tc>
          <w:tcPr>
            <w:tcW w:w="800" w:type="pct"/>
            <w:tcMar>
              <w:top w:w="50" w:type="dxa"/>
              <w:left w:w="70" w:type="dxa"/>
              <w:bottom w:w="50" w:type="dxa"/>
              <w:right w:w="70" w:type="dxa"/>
            </w:tcMar>
            <w:vAlign w:val="center"/>
          </w:tcPr>
          <w:p w14:paraId="5DB9E0F5" w14:textId="77777777" w:rsidR="00D27B2C" w:rsidRDefault="00000000">
            <w:pPr>
              <w:jc w:val="center"/>
            </w:pPr>
            <w:r>
              <w:rPr>
                <w:sz w:val="16"/>
                <w:szCs w:val="16"/>
              </w:rPr>
              <w:t>27%</w:t>
            </w:r>
          </w:p>
        </w:tc>
        <w:tc>
          <w:tcPr>
            <w:tcW w:w="900" w:type="pct"/>
            <w:tcMar>
              <w:top w:w="50" w:type="dxa"/>
              <w:left w:w="70" w:type="dxa"/>
              <w:bottom w:w="50" w:type="dxa"/>
              <w:right w:w="70" w:type="dxa"/>
            </w:tcMar>
            <w:vAlign w:val="center"/>
          </w:tcPr>
          <w:p w14:paraId="3EF80141" w14:textId="77777777" w:rsidR="00D27B2C" w:rsidRDefault="00000000">
            <w:pPr>
              <w:jc w:val="center"/>
            </w:pPr>
            <w:r>
              <w:rPr>
                <w:sz w:val="16"/>
                <w:szCs w:val="16"/>
              </w:rPr>
              <w:t>−13 [−19, −7]</w:t>
            </w:r>
          </w:p>
        </w:tc>
      </w:tr>
      <w:tr w:rsidR="00D27B2C" w14:paraId="75C011FD" w14:textId="77777777">
        <w:tblPrEx>
          <w:tblCellMar>
            <w:top w:w="0" w:type="dxa"/>
            <w:bottom w:w="0" w:type="dxa"/>
          </w:tblCellMar>
        </w:tblPrEx>
        <w:tc>
          <w:tcPr>
            <w:tcW w:w="1500" w:type="pct"/>
            <w:tcMar>
              <w:top w:w="50" w:type="dxa"/>
              <w:left w:w="70" w:type="dxa"/>
              <w:bottom w:w="50" w:type="dxa"/>
              <w:right w:w="70" w:type="dxa"/>
            </w:tcMar>
            <w:vAlign w:val="center"/>
          </w:tcPr>
          <w:p w14:paraId="12B4B487" w14:textId="77777777" w:rsidR="00D27B2C" w:rsidRDefault="00000000">
            <w:r>
              <w:rPr>
                <w:sz w:val="16"/>
                <w:szCs w:val="16"/>
              </w:rPr>
              <w:t>Children's sleepwear</w:t>
            </w:r>
          </w:p>
        </w:tc>
        <w:tc>
          <w:tcPr>
            <w:tcW w:w="600" w:type="pct"/>
            <w:tcMar>
              <w:top w:w="50" w:type="dxa"/>
              <w:left w:w="70" w:type="dxa"/>
              <w:bottom w:w="50" w:type="dxa"/>
              <w:right w:w="70" w:type="dxa"/>
            </w:tcMar>
            <w:vAlign w:val="center"/>
          </w:tcPr>
          <w:p w14:paraId="397E4C3A" w14:textId="77777777" w:rsidR="00D27B2C" w:rsidRDefault="00000000">
            <w:pPr>
              <w:jc w:val="center"/>
            </w:pPr>
            <w:r>
              <w:rPr>
                <w:sz w:val="16"/>
                <w:szCs w:val="16"/>
              </w:rPr>
              <w:t>18</w:t>
            </w:r>
          </w:p>
        </w:tc>
        <w:tc>
          <w:tcPr>
            <w:tcW w:w="400" w:type="pct"/>
            <w:tcMar>
              <w:top w:w="50" w:type="dxa"/>
              <w:left w:w="70" w:type="dxa"/>
              <w:bottom w:w="50" w:type="dxa"/>
              <w:right w:w="70" w:type="dxa"/>
            </w:tcMar>
            <w:vAlign w:val="center"/>
          </w:tcPr>
          <w:p w14:paraId="3D3F14DA" w14:textId="77777777" w:rsidR="00D27B2C" w:rsidRDefault="00000000">
            <w:pPr>
              <w:jc w:val="center"/>
            </w:pPr>
            <w:r>
              <w:rPr>
                <w:sz w:val="16"/>
                <w:szCs w:val="16"/>
              </w:rPr>
              <w:t>240</w:t>
            </w:r>
          </w:p>
        </w:tc>
        <w:tc>
          <w:tcPr>
            <w:tcW w:w="800" w:type="pct"/>
            <w:tcMar>
              <w:top w:w="50" w:type="dxa"/>
              <w:left w:w="70" w:type="dxa"/>
              <w:bottom w:w="50" w:type="dxa"/>
              <w:right w:w="70" w:type="dxa"/>
            </w:tcMar>
            <w:vAlign w:val="center"/>
          </w:tcPr>
          <w:p w14:paraId="380FC97C" w14:textId="77777777" w:rsidR="00D27B2C" w:rsidRDefault="00000000">
            <w:pPr>
              <w:jc w:val="center"/>
            </w:pPr>
            <w:r>
              <w:rPr>
                <w:sz w:val="16"/>
                <w:szCs w:val="16"/>
              </w:rPr>
              <w:t>27%</w:t>
            </w:r>
          </w:p>
        </w:tc>
        <w:tc>
          <w:tcPr>
            <w:tcW w:w="800" w:type="pct"/>
            <w:tcMar>
              <w:top w:w="50" w:type="dxa"/>
              <w:left w:w="70" w:type="dxa"/>
              <w:bottom w:w="50" w:type="dxa"/>
              <w:right w:w="70" w:type="dxa"/>
            </w:tcMar>
            <w:vAlign w:val="center"/>
          </w:tcPr>
          <w:p w14:paraId="50B16F2A" w14:textId="77777777" w:rsidR="00D27B2C" w:rsidRDefault="00000000">
            <w:pPr>
              <w:jc w:val="center"/>
            </w:pPr>
            <w:r>
              <w:rPr>
                <w:sz w:val="16"/>
                <w:szCs w:val="16"/>
              </w:rPr>
              <w:t>24%</w:t>
            </w:r>
          </w:p>
        </w:tc>
        <w:tc>
          <w:tcPr>
            <w:tcW w:w="900" w:type="pct"/>
            <w:tcMar>
              <w:top w:w="50" w:type="dxa"/>
              <w:left w:w="70" w:type="dxa"/>
              <w:bottom w:w="50" w:type="dxa"/>
              <w:right w:w="70" w:type="dxa"/>
            </w:tcMar>
            <w:vAlign w:val="center"/>
          </w:tcPr>
          <w:p w14:paraId="42028549" w14:textId="77777777" w:rsidR="00D27B2C" w:rsidRDefault="00000000">
            <w:pPr>
              <w:jc w:val="center"/>
            </w:pPr>
            <w:r>
              <w:rPr>
                <w:sz w:val="16"/>
                <w:szCs w:val="16"/>
              </w:rPr>
              <w:t xml:space="preserve">−3 [−9, 3] </w:t>
            </w:r>
            <w:proofErr w:type="spellStart"/>
            <w:r>
              <w:rPr>
                <w:sz w:val="16"/>
                <w:szCs w:val="16"/>
              </w:rPr>
              <w:t>n.s</w:t>
            </w:r>
            <w:proofErr w:type="spellEnd"/>
            <w:r>
              <w:rPr>
                <w:sz w:val="16"/>
                <w:szCs w:val="16"/>
              </w:rPr>
              <w:t>.</w:t>
            </w:r>
          </w:p>
        </w:tc>
      </w:tr>
      <w:tr w:rsidR="00D27B2C" w14:paraId="452BED3C" w14:textId="77777777">
        <w:tblPrEx>
          <w:tblCellMar>
            <w:top w:w="0" w:type="dxa"/>
            <w:bottom w:w="0" w:type="dxa"/>
          </w:tblCellMar>
        </w:tblPrEx>
        <w:tc>
          <w:tcPr>
            <w:tcW w:w="1500" w:type="pct"/>
            <w:shd w:val="clear" w:color="auto" w:fill="F2F2F2"/>
            <w:tcMar>
              <w:top w:w="50" w:type="dxa"/>
              <w:left w:w="70" w:type="dxa"/>
              <w:bottom w:w="50" w:type="dxa"/>
              <w:right w:w="70" w:type="dxa"/>
            </w:tcMar>
            <w:vAlign w:val="center"/>
          </w:tcPr>
          <w:p w14:paraId="647F1A42" w14:textId="77777777" w:rsidR="00D27B2C" w:rsidRDefault="00000000">
            <w:r>
              <w:rPr>
                <w:b/>
                <w:bCs/>
                <w:sz w:val="16"/>
                <w:szCs w:val="16"/>
              </w:rPr>
              <w:t>All treated categories (pooled)</w:t>
            </w:r>
          </w:p>
        </w:tc>
        <w:tc>
          <w:tcPr>
            <w:tcW w:w="600" w:type="pct"/>
            <w:shd w:val="clear" w:color="auto" w:fill="F2F2F2"/>
            <w:tcMar>
              <w:top w:w="50" w:type="dxa"/>
              <w:left w:w="70" w:type="dxa"/>
              <w:bottom w:w="50" w:type="dxa"/>
              <w:right w:w="70" w:type="dxa"/>
            </w:tcMar>
            <w:vAlign w:val="center"/>
          </w:tcPr>
          <w:p w14:paraId="7B1F3FD9" w14:textId="77777777" w:rsidR="00D27B2C" w:rsidRDefault="00000000">
            <w:pPr>
              <w:jc w:val="center"/>
            </w:pPr>
            <w:r>
              <w:rPr>
                <w:b/>
                <w:bCs/>
                <w:sz w:val="16"/>
                <w:szCs w:val="16"/>
              </w:rPr>
              <w:t>—</w:t>
            </w:r>
          </w:p>
        </w:tc>
        <w:tc>
          <w:tcPr>
            <w:tcW w:w="400" w:type="pct"/>
            <w:shd w:val="clear" w:color="auto" w:fill="F2F2F2"/>
            <w:tcMar>
              <w:top w:w="50" w:type="dxa"/>
              <w:left w:w="70" w:type="dxa"/>
              <w:bottom w:w="50" w:type="dxa"/>
              <w:right w:w="70" w:type="dxa"/>
            </w:tcMar>
            <w:vAlign w:val="center"/>
          </w:tcPr>
          <w:p w14:paraId="78E15AEB" w14:textId="77777777" w:rsidR="00D27B2C" w:rsidRDefault="00000000">
            <w:pPr>
              <w:jc w:val="center"/>
            </w:pPr>
            <w:r>
              <w:rPr>
                <w:b/>
                <w:bCs/>
                <w:sz w:val="16"/>
                <w:szCs w:val="16"/>
              </w:rPr>
              <w:t>1,440</w:t>
            </w:r>
          </w:p>
        </w:tc>
        <w:tc>
          <w:tcPr>
            <w:tcW w:w="800" w:type="pct"/>
            <w:shd w:val="clear" w:color="auto" w:fill="F2F2F2"/>
            <w:tcMar>
              <w:top w:w="50" w:type="dxa"/>
              <w:left w:w="70" w:type="dxa"/>
              <w:bottom w:w="50" w:type="dxa"/>
              <w:right w:w="70" w:type="dxa"/>
            </w:tcMar>
            <w:vAlign w:val="center"/>
          </w:tcPr>
          <w:p w14:paraId="7869E992" w14:textId="77777777" w:rsidR="00D27B2C" w:rsidRDefault="00000000">
            <w:pPr>
              <w:jc w:val="center"/>
            </w:pPr>
            <w:r>
              <w:rPr>
                <w:b/>
                <w:bCs/>
                <w:sz w:val="16"/>
                <w:szCs w:val="16"/>
              </w:rPr>
              <w:t>36%</w:t>
            </w:r>
          </w:p>
        </w:tc>
        <w:tc>
          <w:tcPr>
            <w:tcW w:w="800" w:type="pct"/>
            <w:shd w:val="clear" w:color="auto" w:fill="F2F2F2"/>
            <w:tcMar>
              <w:top w:w="50" w:type="dxa"/>
              <w:left w:w="70" w:type="dxa"/>
              <w:bottom w:w="50" w:type="dxa"/>
              <w:right w:w="70" w:type="dxa"/>
            </w:tcMar>
            <w:vAlign w:val="center"/>
          </w:tcPr>
          <w:p w14:paraId="12327E27" w14:textId="77777777" w:rsidR="00D27B2C" w:rsidRDefault="00000000">
            <w:pPr>
              <w:jc w:val="center"/>
            </w:pPr>
            <w:r>
              <w:rPr>
                <w:b/>
                <w:bCs/>
                <w:sz w:val="16"/>
                <w:szCs w:val="16"/>
              </w:rPr>
              <w:t>24%</w:t>
            </w:r>
          </w:p>
        </w:tc>
        <w:tc>
          <w:tcPr>
            <w:tcW w:w="900" w:type="pct"/>
            <w:shd w:val="clear" w:color="auto" w:fill="F2F2F2"/>
            <w:tcMar>
              <w:top w:w="50" w:type="dxa"/>
              <w:left w:w="70" w:type="dxa"/>
              <w:bottom w:w="50" w:type="dxa"/>
              <w:right w:w="70" w:type="dxa"/>
            </w:tcMar>
            <w:vAlign w:val="center"/>
          </w:tcPr>
          <w:p w14:paraId="361E583D" w14:textId="77777777" w:rsidR="00D27B2C" w:rsidRDefault="00000000">
            <w:pPr>
              <w:jc w:val="center"/>
            </w:pPr>
            <w:r>
              <w:rPr>
                <w:b/>
                <w:bCs/>
                <w:sz w:val="16"/>
                <w:szCs w:val="16"/>
              </w:rPr>
              <w:t>−12 [−16, −8]</w:t>
            </w:r>
          </w:p>
        </w:tc>
      </w:tr>
      <w:tr w:rsidR="00D27B2C" w14:paraId="494B6A68" w14:textId="77777777">
        <w:tblPrEx>
          <w:tblCellMar>
            <w:top w:w="0" w:type="dxa"/>
            <w:bottom w:w="0" w:type="dxa"/>
          </w:tblCellMar>
        </w:tblPrEx>
        <w:tc>
          <w:tcPr>
            <w:tcW w:w="1500" w:type="pct"/>
            <w:tcMar>
              <w:top w:w="50" w:type="dxa"/>
              <w:left w:w="70" w:type="dxa"/>
              <w:bottom w:w="50" w:type="dxa"/>
              <w:right w:w="70" w:type="dxa"/>
            </w:tcMar>
            <w:vAlign w:val="center"/>
          </w:tcPr>
          <w:p w14:paraId="4138DECE" w14:textId="77777777" w:rsidR="00D27B2C" w:rsidRDefault="00000000">
            <w:r>
              <w:rPr>
                <w:sz w:val="16"/>
                <w:szCs w:val="16"/>
              </w:rPr>
              <w:t>Decorative home &amp; novelty items (comparison)</w:t>
            </w:r>
          </w:p>
        </w:tc>
        <w:tc>
          <w:tcPr>
            <w:tcW w:w="600" w:type="pct"/>
            <w:tcMar>
              <w:top w:w="50" w:type="dxa"/>
              <w:left w:w="70" w:type="dxa"/>
              <w:bottom w:w="50" w:type="dxa"/>
              <w:right w:w="70" w:type="dxa"/>
            </w:tcMar>
            <w:vAlign w:val="center"/>
          </w:tcPr>
          <w:p w14:paraId="3DC84DAB" w14:textId="77777777" w:rsidR="00D27B2C" w:rsidRDefault="00000000">
            <w:pPr>
              <w:jc w:val="center"/>
            </w:pPr>
            <w:r>
              <w:rPr>
                <w:sz w:val="16"/>
                <w:szCs w:val="16"/>
              </w:rPr>
              <w:t>never</w:t>
            </w:r>
          </w:p>
        </w:tc>
        <w:tc>
          <w:tcPr>
            <w:tcW w:w="400" w:type="pct"/>
            <w:tcMar>
              <w:top w:w="50" w:type="dxa"/>
              <w:left w:w="70" w:type="dxa"/>
              <w:bottom w:w="50" w:type="dxa"/>
              <w:right w:w="70" w:type="dxa"/>
            </w:tcMar>
            <w:vAlign w:val="center"/>
          </w:tcPr>
          <w:p w14:paraId="485861E0" w14:textId="77777777" w:rsidR="00D27B2C" w:rsidRDefault="00000000">
            <w:pPr>
              <w:jc w:val="center"/>
            </w:pPr>
            <w:r>
              <w:rPr>
                <w:sz w:val="16"/>
                <w:szCs w:val="16"/>
              </w:rPr>
              <w:t>240</w:t>
            </w:r>
          </w:p>
        </w:tc>
        <w:tc>
          <w:tcPr>
            <w:tcW w:w="800" w:type="pct"/>
            <w:tcMar>
              <w:top w:w="50" w:type="dxa"/>
              <w:left w:w="70" w:type="dxa"/>
              <w:bottom w:w="50" w:type="dxa"/>
              <w:right w:w="70" w:type="dxa"/>
            </w:tcMar>
            <w:vAlign w:val="center"/>
          </w:tcPr>
          <w:p w14:paraId="01AFB688" w14:textId="77777777" w:rsidR="00D27B2C" w:rsidRDefault="00000000">
            <w:pPr>
              <w:jc w:val="center"/>
            </w:pPr>
            <w:r>
              <w:rPr>
                <w:sz w:val="16"/>
                <w:szCs w:val="16"/>
              </w:rPr>
              <w:t>9%</w:t>
            </w:r>
          </w:p>
        </w:tc>
        <w:tc>
          <w:tcPr>
            <w:tcW w:w="800" w:type="pct"/>
            <w:tcMar>
              <w:top w:w="50" w:type="dxa"/>
              <w:left w:w="70" w:type="dxa"/>
              <w:bottom w:w="50" w:type="dxa"/>
              <w:right w:w="70" w:type="dxa"/>
            </w:tcMar>
            <w:vAlign w:val="center"/>
          </w:tcPr>
          <w:p w14:paraId="4CFA1EF3" w14:textId="77777777" w:rsidR="00D27B2C" w:rsidRDefault="00000000">
            <w:pPr>
              <w:jc w:val="center"/>
            </w:pPr>
            <w:r>
              <w:rPr>
                <w:sz w:val="16"/>
                <w:szCs w:val="16"/>
              </w:rPr>
              <w:t>8%</w:t>
            </w:r>
          </w:p>
        </w:tc>
        <w:tc>
          <w:tcPr>
            <w:tcW w:w="900" w:type="pct"/>
            <w:tcMar>
              <w:top w:w="50" w:type="dxa"/>
              <w:left w:w="70" w:type="dxa"/>
              <w:bottom w:w="50" w:type="dxa"/>
              <w:right w:w="70" w:type="dxa"/>
            </w:tcMar>
            <w:vAlign w:val="center"/>
          </w:tcPr>
          <w:p w14:paraId="32823C2D" w14:textId="77777777" w:rsidR="00D27B2C" w:rsidRDefault="00000000">
            <w:pPr>
              <w:jc w:val="center"/>
            </w:pPr>
            <w:r>
              <w:rPr>
                <w:sz w:val="16"/>
                <w:szCs w:val="16"/>
              </w:rPr>
              <w:t xml:space="preserve">−1 [−4, 2] </w:t>
            </w:r>
            <w:proofErr w:type="spellStart"/>
            <w:r>
              <w:rPr>
                <w:sz w:val="16"/>
                <w:szCs w:val="16"/>
              </w:rPr>
              <w:t>n.s</w:t>
            </w:r>
            <w:proofErr w:type="spellEnd"/>
            <w:r>
              <w:rPr>
                <w:sz w:val="16"/>
                <w:szCs w:val="16"/>
              </w:rPr>
              <w:t>.</w:t>
            </w:r>
          </w:p>
        </w:tc>
      </w:tr>
    </w:tbl>
    <w:p w14:paraId="6D3DEC5F" w14:textId="77777777" w:rsidR="00D27B2C" w:rsidRDefault="00D27B2C">
      <w:pPr>
        <w:spacing w:before="80" w:after="120"/>
      </w:pPr>
    </w:p>
    <w:p w14:paraId="7BA1FB7C" w14:textId="77777777" w:rsidR="00D27B2C" w:rsidRDefault="00000000">
      <w:pPr>
        <w:spacing w:before="180" w:after="80"/>
      </w:pPr>
      <w:r>
        <w:rPr>
          <w:b/>
          <w:bCs/>
          <w:sz w:val="25"/>
          <w:szCs w:val="25"/>
        </w:rPr>
        <w:t>Discussion</w:t>
      </w:r>
    </w:p>
    <w:p w14:paraId="1039B15F" w14:textId="77777777" w:rsidR="00D27B2C" w:rsidRDefault="00000000">
      <w:pPr>
        <w:spacing w:after="100"/>
      </w:pPr>
      <w:r>
        <w:rPr>
          <w:sz w:val="21"/>
          <w:szCs w:val="21"/>
        </w:rPr>
        <w:t xml:space="preserve">These results suggest that requiring sellers to submit safety or quality documentation can cause a real reduction in hazardous and substandard products, not merely add paperwork, and that this holds across very different kinds of goods rather than being specific to electronics. Because the comparison category tracked flat over the same 24 months that six unrelated treated categories each improved sharply around their own distinct deadlines, a general trend toward higher-quality marketplace goods is an unlikely explanation. This is </w:t>
      </w:r>
      <w:proofErr w:type="gramStart"/>
      <w:r>
        <w:rPr>
          <w:sz w:val="21"/>
          <w:szCs w:val="21"/>
        </w:rPr>
        <w:t>fairly direct</w:t>
      </w:r>
      <w:proofErr w:type="gramEnd"/>
      <w:r>
        <w:rPr>
          <w:sz w:val="21"/>
          <w:szCs w:val="21"/>
        </w:rPr>
        <w:t xml:space="preserve"> causal evidence that a platform-level policy, not just consumer vigilance or regulator enforcement, can change what arrives in a buyer's package, whatever that package contains.</w:t>
      </w:r>
    </w:p>
    <w:p w14:paraId="10563D97" w14:textId="77777777" w:rsidR="00D27B2C" w:rsidRDefault="00000000">
      <w:pPr>
        <w:spacing w:after="130"/>
      </w:pPr>
      <w:r>
        <w:rPr>
          <w:sz w:val="21"/>
          <w:szCs w:val="21"/>
        </w:rPr>
        <w:t>The findings complicate a simple before-after summary. Improvement tracked each category's baseline risk, was smallest where failures concentrated in a hazard the requirement screens for less directly, such as sleepwear flammability, and did not fully close the platform-sold/seller-shipped gap. The unverifiable certifications are a concern across every category, not just electronics: a documentation requirement not itself checked against the certifying body's records is, at best, a partial safeguard. Nor can this design separate two mechanisms: unsafe sellers may have stopped listing once documentation was required, or surviving sellers may have genuinely upgraded their products, or both. For platforms and regulators, the implication is that verification mandates are meaningful but incomplete across product types; pairing them with independent certification verification, applied evenly across seller types and categories, would likely close more of the remaining gap.</w:t>
      </w:r>
    </w:p>
    <w:p w14:paraId="5785868C" w14:textId="77777777" w:rsidR="00D27B2C" w:rsidRDefault="00000000">
      <w:pPr>
        <w:spacing w:before="180" w:after="80"/>
      </w:pPr>
      <w:r>
        <w:rPr>
          <w:b/>
          <w:bCs/>
          <w:sz w:val="25"/>
          <w:szCs w:val="25"/>
        </w:rPr>
        <w:t>References</w:t>
      </w:r>
    </w:p>
    <w:p w14:paraId="388787A5" w14:textId="77777777" w:rsidR="00D27B2C" w:rsidRDefault="00000000">
      <w:pPr>
        <w:spacing w:after="70"/>
        <w:ind w:left="220" w:hanging="220"/>
      </w:pPr>
      <w:r>
        <w:rPr>
          <w:sz w:val="17"/>
          <w:szCs w:val="17"/>
        </w:rPr>
        <w:t>Grimm, P. D., &amp; Castellanos, R. (2021). Counterfeit and substandard consumer products in global e-commerce supply chains. Journal of Consumer Policy, 44(3), 311–329.</w:t>
      </w:r>
    </w:p>
    <w:p w14:paraId="426B962A" w14:textId="77777777" w:rsidR="00D27B2C" w:rsidRDefault="00000000">
      <w:pPr>
        <w:spacing w:after="70"/>
        <w:ind w:left="220" w:hanging="220"/>
      </w:pPr>
      <w:r>
        <w:rPr>
          <w:sz w:val="17"/>
          <w:szCs w:val="17"/>
        </w:rPr>
        <w:t>U.S. Consumer Product Safety Commission. (2022). Consumer product safety incidents involving online marketplace purchases: Annual hazard report.</w:t>
      </w:r>
    </w:p>
    <w:p w14:paraId="346C9F34" w14:textId="77777777" w:rsidR="00D27B2C" w:rsidRDefault="00000000">
      <w:pPr>
        <w:spacing w:after="70"/>
        <w:ind w:left="220" w:hanging="220"/>
      </w:pPr>
      <w:r>
        <w:rPr>
          <w:sz w:val="17"/>
          <w:szCs w:val="17"/>
        </w:rPr>
        <w:t>Halvorsen, K., &amp; Mbeki, T. (2019). Platform liability and third-party seller accountability in online marketplaces. Yale Journal on Regulation, 36(2), 455–489.</w:t>
      </w:r>
    </w:p>
    <w:p w14:paraId="46244E7B" w14:textId="77777777" w:rsidR="00D27B2C" w:rsidRDefault="00000000">
      <w:pPr>
        <w:spacing w:after="70"/>
        <w:ind w:left="220" w:hanging="220"/>
      </w:pPr>
      <w:r>
        <w:rPr>
          <w:sz w:val="17"/>
          <w:szCs w:val="17"/>
        </w:rPr>
        <w:t>Reyes, A. M., &amp; Coughlin, J. (2020). Self-certification versus third-party verification in consumer product safety compliance. Regulation &amp; Governance, 14(4), 612–630.</w:t>
      </w:r>
    </w:p>
    <w:p w14:paraId="79E38E2F" w14:textId="77777777" w:rsidR="00D27B2C" w:rsidRDefault="00000000">
      <w:pPr>
        <w:spacing w:after="70"/>
        <w:ind w:left="220" w:hanging="220"/>
      </w:pPr>
      <w:r>
        <w:rPr>
          <w:sz w:val="17"/>
          <w:szCs w:val="17"/>
        </w:rPr>
        <w:t>Ostrander, L., &amp; Petrosyan, V. (2023). Difference-in-differences designs for staggered platform policy rollouts. Journal of Quantitative Marketing and Economics, 21(1), 45–72.</w:t>
      </w:r>
    </w:p>
    <w:sectPr w:rsidR="00D27B2C">
      <w:footerReference w:type="default" r:id="rId11"/>
      <w:pgSz w:w="11906" w:h="16838"/>
      <w:pgMar w:top="680" w:right="900" w:bottom="68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11303" w14:textId="77777777" w:rsidR="002E003D" w:rsidRDefault="002E003D">
      <w:r>
        <w:separator/>
      </w:r>
    </w:p>
  </w:endnote>
  <w:endnote w:type="continuationSeparator" w:id="0">
    <w:p w14:paraId="203AF592" w14:textId="77777777" w:rsidR="002E003D" w:rsidRDefault="002E0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91853" w14:textId="77777777" w:rsidR="00D27B2C" w:rsidRDefault="00000000">
    <w:pPr>
      <w:jc w:val="center"/>
    </w:pPr>
    <w:r>
      <w:rPr>
        <w:sz w:val="18"/>
        <w:szCs w:val="18"/>
      </w:rPr>
      <w:fldChar w:fldCharType="begin"/>
    </w:r>
    <w:r>
      <w:rPr>
        <w:sz w:val="18"/>
        <w:szCs w:val="18"/>
      </w:rPr>
      <w:instrText>PAGE</w:instrText>
    </w:r>
    <w:r>
      <w:rPr>
        <w:sz w:val="18"/>
        <w:szCs w:val="18"/>
      </w:rPr>
      <w:fldChar w:fldCharType="separate"/>
    </w:r>
    <w:r w:rsidR="009F7198">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4D7D" w14:textId="77777777" w:rsidR="00D27B2C" w:rsidRDefault="00000000">
    <w:pPr>
      <w:jc w:val="center"/>
    </w:pPr>
    <w:r>
      <w:rPr>
        <w:sz w:val="18"/>
        <w:szCs w:val="18"/>
      </w:rPr>
      <w:fldChar w:fldCharType="begin"/>
    </w:r>
    <w:r>
      <w:rPr>
        <w:sz w:val="18"/>
        <w:szCs w:val="18"/>
      </w:rPr>
      <w:instrText>PAGE</w:instrText>
    </w:r>
    <w:r>
      <w:rPr>
        <w:sz w:val="18"/>
        <w:szCs w:val="18"/>
      </w:rPr>
      <w:fldChar w:fldCharType="separate"/>
    </w:r>
    <w:r w:rsidR="009F719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ECE9B" w14:textId="77777777" w:rsidR="002E003D" w:rsidRDefault="002E003D">
      <w:r>
        <w:separator/>
      </w:r>
    </w:p>
  </w:footnote>
  <w:footnote w:type="continuationSeparator" w:id="0">
    <w:p w14:paraId="444ECF01" w14:textId="77777777" w:rsidR="002E003D" w:rsidRDefault="002E0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052E"/>
    <w:multiLevelType w:val="hybridMultilevel"/>
    <w:tmpl w:val="E198408C"/>
    <w:lvl w:ilvl="0" w:tplc="93EC3E06">
      <w:start w:val="1"/>
      <w:numFmt w:val="bullet"/>
      <w:lvlText w:val="●"/>
      <w:lvlJc w:val="left"/>
      <w:pPr>
        <w:ind w:left="720" w:hanging="360"/>
      </w:pPr>
    </w:lvl>
    <w:lvl w:ilvl="1" w:tplc="DD86215A">
      <w:start w:val="1"/>
      <w:numFmt w:val="bullet"/>
      <w:lvlText w:val="○"/>
      <w:lvlJc w:val="left"/>
      <w:pPr>
        <w:ind w:left="1440" w:hanging="360"/>
      </w:pPr>
    </w:lvl>
    <w:lvl w:ilvl="2" w:tplc="D2C08DFE">
      <w:start w:val="1"/>
      <w:numFmt w:val="bullet"/>
      <w:lvlText w:val="■"/>
      <w:lvlJc w:val="left"/>
      <w:pPr>
        <w:ind w:left="2160" w:hanging="360"/>
      </w:pPr>
    </w:lvl>
    <w:lvl w:ilvl="3" w:tplc="C36A3214">
      <w:start w:val="1"/>
      <w:numFmt w:val="bullet"/>
      <w:lvlText w:val="●"/>
      <w:lvlJc w:val="left"/>
      <w:pPr>
        <w:ind w:left="2880" w:hanging="360"/>
      </w:pPr>
    </w:lvl>
    <w:lvl w:ilvl="4" w:tplc="B97428C6">
      <w:start w:val="1"/>
      <w:numFmt w:val="bullet"/>
      <w:lvlText w:val="○"/>
      <w:lvlJc w:val="left"/>
      <w:pPr>
        <w:ind w:left="3600" w:hanging="360"/>
      </w:pPr>
    </w:lvl>
    <w:lvl w:ilvl="5" w:tplc="9832343E">
      <w:start w:val="1"/>
      <w:numFmt w:val="bullet"/>
      <w:lvlText w:val="■"/>
      <w:lvlJc w:val="left"/>
      <w:pPr>
        <w:ind w:left="4320" w:hanging="360"/>
      </w:pPr>
    </w:lvl>
    <w:lvl w:ilvl="6" w:tplc="7E808F2A">
      <w:start w:val="1"/>
      <w:numFmt w:val="bullet"/>
      <w:lvlText w:val="●"/>
      <w:lvlJc w:val="left"/>
      <w:pPr>
        <w:ind w:left="5040" w:hanging="360"/>
      </w:pPr>
    </w:lvl>
    <w:lvl w:ilvl="7" w:tplc="B5E20EE8">
      <w:start w:val="1"/>
      <w:numFmt w:val="bullet"/>
      <w:lvlText w:val="●"/>
      <w:lvlJc w:val="left"/>
      <w:pPr>
        <w:ind w:left="5760" w:hanging="360"/>
      </w:pPr>
    </w:lvl>
    <w:lvl w:ilvl="8" w:tplc="1B48F8C6">
      <w:start w:val="1"/>
      <w:numFmt w:val="bullet"/>
      <w:lvlText w:val="●"/>
      <w:lvlJc w:val="left"/>
      <w:pPr>
        <w:ind w:left="6480" w:hanging="360"/>
      </w:pPr>
    </w:lvl>
  </w:abstractNum>
  <w:num w:numId="1" w16cid:durableId="2002730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B2C"/>
    <w:rsid w:val="002E003D"/>
    <w:rsid w:val="00976C7B"/>
    <w:rsid w:val="009F7198"/>
    <w:rsid w:val="00D27B2C"/>
    <w:rsid w:val="00EE6303"/>
    <w:rsid w:val="00F91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CEDBA"/>
  <w15:docId w15:val="{509D77CC-73B0-4A04-8672-890D8B1F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1693</Words>
  <Characters>9655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Le</cp:lastModifiedBy>
  <cp:revision>3</cp:revision>
  <dcterms:created xsi:type="dcterms:W3CDTF">2026-06-18T00:05:00Z</dcterms:created>
  <dcterms:modified xsi:type="dcterms:W3CDTF">2026-06-18T00:43:00Z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02ae5c8e-7d6d-4a5d-a781-26a73d00636f</vt:lpwstr>
  </property>
</Properties>
</file>