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77DB" w14:textId="77777777" w:rsidR="00D54103" w:rsidRDefault="00000000">
      <w:pPr>
        <w:spacing w:after="40"/>
        <w:jc w:val="center"/>
      </w:pPr>
      <w:r>
        <w:rPr>
          <w:b/>
          <w:sz w:val="32"/>
        </w:rPr>
        <w:t>Proposed Scrolling-Based Engagement Measures</w:t>
      </w:r>
    </w:p>
    <w:p w14:paraId="434C01E5" w14:textId="77777777" w:rsidR="00D54103" w:rsidRDefault="00000000">
      <w:pPr>
        <w:spacing w:after="180"/>
        <w:jc w:val="center"/>
      </w:pPr>
      <w:r>
        <w:rPr>
          <w:i/>
          <w:sz w:val="20"/>
        </w:rPr>
        <w:t>Evidence-based adaptation for the Research Scholars Survey</w:t>
      </w:r>
    </w:p>
    <w:p w14:paraId="55F19943" w14:textId="77777777" w:rsidR="00D54103" w:rsidRDefault="00000000">
      <w:pPr>
        <w:spacing w:after="100"/>
      </w:pPr>
      <w:r>
        <w:t>Purpose. These five measures are intended to compare how participants in the AI and No-AI conditions expose and navigate the source PDF while evaluating a paper. The final specification retains exactly five paper-level variables, all exported to the CSV: task duration, fine-grained PDF exposure, six-region exposure breadth, the six-region navigation sequence, and backward transitions. Lagun and Lalmas (2016) provide the viewport-time and AOI-sequence foundations; Biedermann et al. (2023) supports using elapsed task time and timestamped viewport position as trace data. Sustained exposure is defined using a strict greater-than-30-seconds cutoff.</w:t>
      </w:r>
    </w:p>
    <w:p>
      <w:r>
        <w:rPr>
          <w:b/>
        </w:rPr>
        <w:t>Why retain six regions. Page-level measures alone may be too broad because participants in both conditions may eventually reach all three pages. At the same time, the survey viewport displays a large share of a page at once, so dividing each page into thirds would create highly overlapping exposure and make a middle region difficult to interpret as a distinct viewing state. Each page is therefore divided into two non-overlapping halves—Top Half and Bottom Half—producing six ordered regions: P1-Top-Half, P1-Bottom-Half, P2-Top-Half, P2-Bottom-Half, P3-Top-Half, and P3-Bottom-Half. This preserves localized sensitivity while matching the actual viewport scale.</w:t>
      </w:r>
    </w:p>
    <w:p w14:paraId="30918ED6" w14:textId="77777777" w:rsidR="00D54103" w:rsidRDefault="00000000">
      <w:pPr>
        <w:spacing w:after="140"/>
      </w:pPr>
      <w:r>
        <w:rPr>
          <w:b/>
        </w:rPr>
        <w:t xml:space="preserve">Important interpretation limit. </w:t>
      </w:r>
      <w:r>
        <w:t>Because the survey uses a split-screen interface, the PDF can remain visible while a participant is typing, reading an AI response, or looking at the question panel. Therefore, the variables below measure PDF exposure and navigation, not verified attentive reading. They should be interpreted alongside comprehension, response quality, confidence, and AI-use measures.</w:t>
      </w:r>
    </w:p>
    <w:p w14:paraId="5B216602" w14:textId="77777777" w:rsidR="00D54103" w:rsidRDefault="00000000">
      <w:pPr>
        <w:spacing w:before="140" w:after="60"/>
      </w:pPr>
      <w:r>
        <w:rPr>
          <w:b/>
          <w:color w:val="1F4E79"/>
          <w:sz w:val="24"/>
        </w:rPr>
        <w:t>1. &lt;paper&gt;_duration_ms</w:t>
      </w:r>
    </w:p>
    <w:p w14:paraId="2B533265" w14:textId="77777777" w:rsidR="00D54103" w:rsidRDefault="00000000">
      <w:pPr>
        <w:spacing w:after="50"/>
        <w:ind w:left="259" w:hanging="259"/>
      </w:pPr>
      <w:r>
        <w:rPr>
          <w:b/>
        </w:rPr>
        <w:t xml:space="preserve">What it represents: </w:t>
      </w:r>
      <w:r>
        <w:t>Total elapsed time from the moment a paper task is displayed until the participant advances to the next stage.</w:t>
      </w:r>
    </w:p>
    <w:p w14:paraId="31C11419" w14:textId="77777777" w:rsidR="00D54103" w:rsidRDefault="00000000">
      <w:pPr>
        <w:spacing w:after="50"/>
        <w:ind w:left="259" w:hanging="259"/>
      </w:pPr>
      <w:r>
        <w:rPr>
          <w:b/>
        </w:rPr>
        <w:t xml:space="preserve">Calculation: </w:t>
      </w:r>
      <w:r>
        <w:t>paper duration = paper-task end timestamp − paper-task start timestamp. The value includes all activity on that task page: viewing the PDF, answering questions, using the AI assistant, and any idle time while the page remains open.</w:t>
      </w:r>
    </w:p>
    <w:p w14:paraId="572CE0E4" w14:textId="77777777" w:rsidR="00D54103" w:rsidRDefault="00000000">
      <w:pPr>
        <w:spacing w:after="50"/>
        <w:ind w:left="259" w:hanging="259"/>
      </w:pPr>
      <w:r>
        <w:rPr>
          <w:b/>
        </w:rPr>
        <w:t xml:space="preserve">Why include it: </w:t>
      </w:r>
      <w:r>
        <w:t>It provides a simple baseline measure of total task engagement and is directly comparable across the AI and No-AI conditions. However, it should not be treated as reading time because it does not identify what the participant was attending to during that interval.</w:t>
      </w:r>
    </w:p>
    <w:p w14:paraId="6FBC748D" w14:textId="77777777" w:rsidR="00D54103" w:rsidRDefault="00000000">
      <w:pPr>
        <w:spacing w:after="50"/>
        <w:ind w:left="259" w:hanging="259"/>
      </w:pPr>
      <w:r>
        <w:rPr>
          <w:b/>
        </w:rPr>
        <w:t xml:space="preserve">Evidence from Biedermann et al. (2023): </w:t>
      </w:r>
      <w:r>
        <w:t>The authors treat time-on-task as a common trace-based measure and define it explicitly as:</w:t>
      </w:r>
    </w:p>
    <w:p w14:paraId="2BD02A61" w14:textId="77777777" w:rsidR="00D54103" w:rsidRDefault="00000000">
      <w:pPr>
        <w:spacing w:before="20" w:after="60"/>
        <w:ind w:left="504" w:right="360"/>
      </w:pPr>
      <w:r>
        <w:rPr>
          <w:i/>
          <w:color w:val="464646"/>
        </w:rPr>
        <w:t>“the time it takes for a student to work on a text”</w:t>
      </w:r>
    </w:p>
    <w:p w14:paraId="6BF6871B" w14:textId="77777777" w:rsidR="00D54103" w:rsidRDefault="00000000">
      <w:pPr>
        <w:spacing w:after="50"/>
        <w:ind w:left="259" w:hanging="259"/>
      </w:pPr>
      <w:r>
        <w:rPr>
          <w:b/>
        </w:rPr>
        <w:t xml:space="preserve">How the paper qualifies this measure: </w:t>
      </w:r>
      <w:r>
        <w:t>They warn that time-on-task can be distorted by idle periods—for example, a participant may leave a text open without actively working. This is why duration should be retained as a baseline but not used alone as the engagement outcome.</w:t>
      </w:r>
    </w:p>
    <w:p w14:paraId="6BA9F5AA" w14:textId="77777777" w:rsidR="00D54103" w:rsidRDefault="00000000">
      <w:pPr>
        <w:spacing w:before="140" w:after="60"/>
      </w:pPr>
      <w:r>
        <w:t>2. &lt;paper&gt;_pdf_exposure_proportion_30s</w:t>
      </w:r>
    </w:p>
    <w:p w14:paraId="72427975" w14:textId="2872643C" w:rsidR="00D54103" w:rsidRDefault="00000000">
      <w:pPr>
        <w:spacing w:after="50"/>
        <w:ind w:left="259" w:hanging="259"/>
      </w:pPr>
      <w:r>
        <w:t>What it represents: The proportion of the rendered PDF that accumulated more than 30 seconds of visible-and-focused viewport time. In plain language, it estimates how much of the paper remained available for sustained inspection rather than only a brief pass.</w:t>
      </w:r>
    </w:p>
    <w:p w14:paraId="7B3A83B2" w14:textId="77777777" w:rsidR="00D54103" w:rsidRDefault="00000000">
      <w:pPr>
        <w:spacing w:after="50"/>
        <w:ind w:left="259" w:hanging="259"/>
      </w:pPr>
      <w:r>
        <w:rPr>
          <w:b/>
        </w:rPr>
        <w:t xml:space="preserve">Step 1: calculate viewport time: </w:t>
      </w:r>
      <w:r>
        <w:t>At each scroll position i, define the visible PDF interval V_i from the PDF pane's scroll offset and viewport height. Let t_i be the duration for which that viewport position remained in place. For each vertical PDF location y, add t_i whenever y falls inside V_i.</w:t>
      </w:r>
    </w:p>
    <w:p w14:paraId="0EDB5028" w14:textId="77777777" w:rsidR="00D54103" w:rsidRDefault="00000000">
      <w:pPr>
        <w:spacing w:after="50"/>
        <w:ind w:left="259" w:hanging="259"/>
      </w:pPr>
      <w:r>
        <w:rPr>
          <w:b/>
        </w:rPr>
        <w:t xml:space="preserve">Published calculation: </w:t>
      </w:r>
      <w:r>
        <w:t>Lagun and Lalmas define viewport time at vertical position y as:</w:t>
      </w:r>
      <w:r>
        <w:br/>
        <w:t xml:space="preserve">ViewportTime(y) = Σ_i t_i × </w:t>
      </w:r>
      <w:proofErr w:type="gramStart"/>
      <w:r>
        <w:t>I(</w:t>
      </w:r>
      <w:proofErr w:type="gramEnd"/>
      <w:r>
        <w:t>y ∈ V_i),</w:t>
      </w:r>
      <w:r>
        <w:br/>
        <w:t xml:space="preserve">where </w:t>
      </w:r>
      <w:proofErr w:type="gramStart"/>
      <w:r>
        <w:t>I(</w:t>
      </w:r>
      <w:proofErr w:type="gramEnd"/>
      <w:r>
        <w:t xml:space="preserve">y ∈ V_i) equals 1 when location y is visible in viewport </w:t>
      </w:r>
      <w:proofErr w:type="spellStart"/>
      <w:r>
        <w:t>V_i</w:t>
      </w:r>
      <w:proofErr w:type="spellEnd"/>
      <w:r>
        <w:t xml:space="preserve"> and 0 otherwise.</w:t>
      </w:r>
    </w:p>
    <w:p w14:paraId="01DC5B4E" w14:textId="0B644DDA" w:rsidR="00525090" w:rsidRDefault="00525090">
      <w:pPr>
        <w:spacing w:after="50"/>
        <w:ind w:left="259" w:hanging="259"/>
      </w:pPr>
      <w:r w:rsidRPr="00525090">
        <w:drawing>
          <wp:inline distT="0" distB="0" distL="0" distR="0" wp14:anchorId="220B5DAB" wp14:editId="291528D0">
            <wp:extent cx="4273770" cy="1981302"/>
            <wp:effectExtent l="0" t="0" r="0" b="0"/>
            <wp:docPr id="134920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08408" name=""/>
                    <pic:cNvPicPr/>
                  </pic:nvPicPr>
                  <pic:blipFill>
                    <a:blip r:embed="rId6"/>
                    <a:stretch>
                      <a:fillRect/>
                    </a:stretch>
                  </pic:blipFill>
                  <pic:spPr>
                    <a:xfrm>
                      <a:off x="0" y="0"/>
                      <a:ext cx="4273770" cy="1981302"/>
                    </a:xfrm>
                    <a:prstGeom prst="rect">
                      <a:avLst/>
                    </a:prstGeom>
                  </pic:spPr>
                </pic:pic>
              </a:graphicData>
            </a:graphic>
          </wp:inline>
        </w:drawing>
      </w:r>
    </w:p>
    <w:p w14:paraId="0E9ED830" w14:textId="77777777" w:rsidR="00D54103" w:rsidRDefault="00000000">
      <w:pPr>
        <w:spacing w:after="50"/>
        <w:ind w:left="259" w:hanging="259"/>
      </w:pPr>
      <w:r>
        <w:t>Step 2: convert viewport time into one exposure proportion: Count the vertical extent of the PDF for which ViewportTime(y) is greater than thirty seconds, then divide by the total vertical extent of the rendered PDF:</w:t>
      </w:r>
    </w:p>
    <w:p w14:paraId="7ED8721D" w14:textId="77777777" w:rsidR="00D54103" w:rsidRDefault="00000000">
      <w:pPr>
        <w:spacing w:after="50"/>
        <w:ind w:left="259" w:hanging="259"/>
      </w:pPr>
      <w:r>
        <w:t>Example: If the rendered PDF is 2,400 pixels tall and 1,800 vertical pixels accumulate more than thirty seconds of visible-and-focused viewport time, the exposure proportion is 1,800 / 2,400 = 0.75.</w:t>
      </w:r>
    </w:p>
    <w:p w14:paraId="509ECA14" w14:textId="77777777" w:rsidR="00D54103" w:rsidRDefault="00000000">
      <w:pPr>
        <w:spacing w:after="50"/>
        <w:ind w:left="259" w:hanging="259"/>
      </w:pPr>
      <w:r>
        <w:rPr>
          <w:b/>
        </w:rPr>
        <w:t xml:space="preserve">Why include it: </w:t>
      </w:r>
      <w:r>
        <w:t>This is the strongest concise scrolling-based outcome because it combines location and duration. It is more informative than maximum scroll depth: a participant who rapidly jumps to the bottom may reach 100% depth without sustaining exposure to most of the paper.</w:t>
      </w:r>
    </w:p>
    <w:p w14:paraId="76BB51BB" w14:textId="77777777" w:rsidR="00D54103" w:rsidRDefault="00000000">
      <w:pPr>
        <w:spacing w:after="50"/>
        <w:ind w:left="259" w:hanging="259"/>
      </w:pPr>
      <w:r>
        <w:rPr>
          <w:b/>
        </w:rPr>
        <w:t xml:space="preserve">Evidence from Lagun and Lalmas (2016): </w:t>
      </w:r>
      <w:r>
        <w:t>The authors describe the underlying quantity as:</w:t>
      </w:r>
    </w:p>
    <w:p w14:paraId="0B3B656D" w14:textId="77777777" w:rsidR="00D54103" w:rsidRDefault="00000000">
      <w:pPr>
        <w:spacing w:before="20" w:after="60"/>
        <w:ind w:left="504" w:right="360"/>
      </w:pPr>
      <w:r>
        <w:rPr>
          <w:i/>
          <w:color w:val="464646"/>
        </w:rPr>
        <w:t>“the time a user spent viewing an article at a vertical position y”</w:t>
      </w:r>
    </w:p>
    <w:p w14:paraId="00AECF0F" w14:textId="77777777" w:rsidR="00D54103" w:rsidRDefault="00000000">
      <w:pPr>
        <w:spacing w:after="50"/>
        <w:ind w:left="259" w:hanging="259"/>
      </w:pPr>
      <w:r>
        <w:t>Their engagement calculation: Lagun and Lalmas used a five-second threshold for online-news content. This survey retains their cumulative viewport-time logic but uses a stricter, study-specific thirty-second threshold because the stimuli are dense scientific papers displayed in large half-page regions.</w:t>
      </w:r>
    </w:p>
    <w:p w14:paraId="4D4A185D" w14:textId="77777777" w:rsidR="00D54103" w:rsidRDefault="00000000">
      <w:pPr>
        <w:spacing w:before="20" w:after="60"/>
        <w:ind w:left="504" w:right="360"/>
      </w:pPr>
      <w:r>
        <w:t>“the proportion of the article body ... having a viewport time longer than 5 seconds”</w:t>
      </w:r>
    </w:p>
    <w:p w14:paraId="2E957E2E" w14:textId="77777777" w:rsidR="00D54103" w:rsidRDefault="00000000">
      <w:pPr>
        <w:spacing w:after="50"/>
        <w:ind w:left="259" w:hanging="259"/>
      </w:pPr>
      <w:r>
        <w:t>Adaptation for this survey: The cumulative viewport-time calculation is applied to the stacked rendered PDF, but the cutoff is increased to a strict &gt;30 seconds. The variable is called PDF exposure proportion rather than percentage read because visibility does not prove attentive reading.</w:t>
      </w:r>
    </w:p>
    <w:p>
      <w:r>
        <w:t>3. &lt;paper&gt;_region_exposed_30s_count</w:t>
      </w:r>
    </w:p>
    <w:p>
      <w:r>
        <w:t>What it represents: The number of the six within-page regions that accumulated more than 30 seconds of visible-and-focused exposure. Each of the three PDF pages is divided into a Top Half and Bottom Half, producing a score from 0 to 6.</w:t>
      </w:r>
    </w:p>
    <w:p>
      <w:r>
        <w:t>Calculation: Partition each rendered page into two equal-height, non-overlapping regions: Top Half and Bottom Half. At each timestamp, credit every region according to the portion of that region visible in the PDF viewport. When the bottom of one page and the top of the next are visible simultaneously, both regions receive proportional exposure credit. Count the regions whose accumulated exposure is strictly greater than 30 seconds.</w:t>
      </w:r>
    </w:p>
    <w:p>
      <w:r>
        <w:t>Why include it: This compact scalar preserves the sensitivity of the six-region framework while avoiding six separate region-level CSV columns and six separate hypothesis tests. It indicates how broadly sustained exposure was distributed across the paper.</w:t>
      </w:r>
    </w:p>
    <w:p>
      <w:r>
        <w:rPr>
          <w:b/>
          <w:i w:val="0"/>
        </w:rPr>
        <w:t xml:space="preserve">Interpretation limit: </w:t>
      </w:r>
      <w:r>
        <w:rPr>
          <w:b w:val="0"/>
          <w:i w:val="0"/>
        </w:rPr>
        <w:t>The count indicates sustained exposure to spatial regions, not verified reading or comprehension.</w:t>
      </w:r>
    </w:p>
    <w:p>
      <w:r>
        <w:rPr>
          <w:b/>
          <w:sz w:val="24"/>
        </w:rPr>
        <w:t>4. &lt;paper&gt;_navigation_sequence</w:t>
      </w:r>
    </w:p>
    <w:p>
      <w:r>
        <w:rPr>
          <w:b/>
          <w:i w:val="0"/>
        </w:rPr>
        <w:t>What it represents: The ordered route through six within-page areas of interest: P1-Top-Half, P1-Bottom-Half, P2-Top-Half, P2-Bottom-Half, P3-Top-Half, and P3-Bottom-Half. It is stored in the CSV as a single &gt;-delimited string.</w:t>
      </w:r>
    </w:p>
    <w:p>
      <w:r>
        <w:t>State assignment: At each timestamp, compute the visible area contributed by every region. Assign the navigation state to the single region occupying the largest share of the visible PDF area. When two regions are tied or nearly tied, retain the previously assigned state; if there is no previous state, assign the earlier region in document order. This deterministic hysteresis rule prevents unstable switching at page and region boundaries.</w:t>
      </w:r>
    </w:p>
    <w:p>
      <w:r>
        <w:rPr>
          <w:b/>
          <w:i w:val="0"/>
        </w:rPr>
        <w:t xml:space="preserve">Preprocessing: </w:t>
      </w:r>
      <w:r>
        <w:rPr>
          <w:b w:val="0"/>
          <w:i w:val="0"/>
        </w:rPr>
        <w:t>Aggregate consecutive intervals belonging to the same region, discard visits lasting less than one second, and then collapse any newly adjacent duplicates. Do not add Start or Leave markers to the exported sequence because task-entry and task-exit timestamps already represent those boundaries.</w:t>
      </w:r>
    </w:p>
    <w:p>
      <w:r>
        <w:rPr>
          <w:b/>
          <w:i w:val="0"/>
        </w:rPr>
        <w:t>Example: P1-Top-Half &gt; P1-Bottom-Half &gt; P2-Top-Half &gt; P2-Bottom-Half &gt; P3-Top-Half &gt; P2-Bottom-Half.</w:t>
      </w:r>
      <w:r>
        <w:rPr>
          <w:b w:val="0"/>
          <w:i w:val="0"/>
        </w:rPr>
      </w:r>
    </w:p>
    <w:p>
      <w:r>
        <w:t>Why include it: The sequence preserves the order of localized navigation across the six regions and distinguishes linear progression from jumping and backtracking. It is exported as one CSV string, such as P1-Top-Half&gt;P1-Bottom-Half&gt;P2-Top-Half, rather than as separate columns for every state.</w:t>
      </w:r>
    </w:p>
    <w:p>
      <w:r>
        <w:t>Evidence from Lagun and Lalmas (2016): The underlying logic follows their use of broad AOI states, their removal of viewport positions lasting less than one second, and their collapsing of adjacent duplicate states. The present six-region grid is a study-specific extension that divides each of the three rendered pages into two halves; it is not a region structure directly validated in their paper.</w:t>
      </w:r>
    </w:p>
    <w:p>
      <w:r>
        <w:rPr>
          <w:b/>
          <w:sz w:val="24"/>
        </w:rPr>
        <w:t>5. &lt;paper&gt;_backward_transition_count</w:t>
      </w:r>
    </w:p>
    <w:p>
      <w:r>
        <w:rPr>
          <w:b/>
          <w:i w:val="0"/>
        </w:rPr>
        <w:t>What it represents: The number of transitions to an earlier region in the paper’s reading order. The ordered region index is P1-Top-Half = 0, P1-Bottom-Half = 1, P2-Top-Half = 2, P2-Bottom-Half = 3, P3-Top-Half = 4, and P3-Bottom-Half = 5.</w:t>
      </w:r>
      <w:r>
        <w:rPr>
          <w:b w:val="0"/>
          <w:i w:val="0"/>
        </w:rPr>
      </w:r>
    </w:p>
    <w:p>
      <w:r>
        <w:rPr>
          <w:b/>
          <w:i w:val="0"/>
        </w:rPr>
        <w:t>Calculation: Count every transition for which the destination region has a lower ordered index than the source region. This includes within-page returns, such as P2-Bottom-Half &gt; P2-Top-Half, and cross-page returns, such as P3-Top-Half &gt; P2-Bottom-Half.</w:t>
      </w:r>
      <w:r>
        <w:rPr>
          <w:b w:val="0"/>
          <w:i w:val="0"/>
        </w:rPr>
      </w:r>
    </w:p>
    <w:p>
      <w:r>
        <w:rPr>
          <w:b/>
          <w:i w:val="0"/>
        </w:rPr>
        <w:t xml:space="preserve">Why include it: </w:t>
      </w:r>
      <w:r>
        <w:rPr>
          <w:b w:val="0"/>
          <w:i w:val="0"/>
        </w:rPr>
        <w:t>This captures returns to earlier source material and may test whether AI access changes verification or rereading behavior.</w:t>
      </w:r>
    </w:p>
    <w:p>
      <w:r>
        <w:rPr>
          <w:b/>
          <w:i w:val="0"/>
        </w:rPr>
        <w:t xml:space="preserve">Interpretation limit: </w:t>
      </w:r>
      <w:r>
        <w:rPr>
          <w:b w:val="0"/>
          <w:i w:val="0"/>
        </w:rPr>
        <w:t>A backward transition indicates that the viewport moved earlier in the paper; it does not establish why the participant returned or whether the material was carefully reread.</w:t>
      </w:r>
    </w:p>
    <w:p>
      <w:r>
        <w:rPr>
          <w:b/>
          <w:sz w:val="24"/>
        </w:rPr>
        <w:t>Recommended analysis plan</w:t>
      </w:r>
    </w:p>
    <w:p>
      <w:r>
        <w:t>Primary confirmatory outcome: &lt;paper&gt;_pdf_exposure_proportion_30s. This is the most information-dense summary of sustained PDF exposure and is directly adapted from the published viewport-time threshold calculation.</w:t>
      </w:r>
    </w:p>
    <w:p>
      <w:r>
        <w:t>Secondary outcomes: &lt;paper&gt;_region_exposed_30s_count, &lt;paper&gt;_backward_transition_count, and &lt;paper&gt;_duration_ms. The region count retains six-region sensitivity in one scalar; backward transitions capture returns to earlier material; duration provides a broad baseline measure.</w:t>
      </w:r>
    </w:p>
    <w:p>
      <w:r>
        <w:t>Descriptive exported record: &lt;paper&gt;_navigation_sequence. The sequence is retained in the CSV to show the ordered route through the six regions, but it is not treated as an additional confirmatory scalar outcome.</w:t>
      </w:r>
    </w:p>
    <w:p>
      <w:r>
        <w:t>Boundary handling: For exposure calculations, credit all visible regions proportionally, including simultaneous visibility of adjacent pages. For the discrete navigation sequence, assign the region occupying the largest share of visible PDF area. If two regions are tied or nearly tied, retain the previous state to prevent unstable switching at boundaries.</w:t>
      </w:r>
    </w:p>
    <w:p>
      <w:r>
        <w:t>Condition comparison: Analyze the paper-level scalar outcomes with AI condition as the main predictor, paper as a repeated observation, and participant as a random effect. Do not create or test separate region-specific outcome columns.</w:t>
      </w:r>
    </w:p>
    <w:p>
      <w:r>
        <w:rPr>
          <w:b/>
          <w:sz w:val="22"/>
        </w:rPr>
        <w:t>Final five-variable CSV specification</w:t>
      </w:r>
    </w:p>
    <w:p>
      <w:r>
        <w:t>1. &lt;paper&gt;_pdf_exposure_proportion_30s — primary confirmatory outcome.</w:t>
      </w:r>
    </w:p>
    <w:p>
      <w:r>
        <w:t>2. &lt;paper&gt;_region_exposed_30s_count — secondary outcome.</w:t>
        <w:br/>
        <w:t>3. &lt;paper&gt;_backward_transition_count — secondary outcome.</w:t>
        <w:br/>
        <w:t>4. &lt;paper&gt;_duration_ms — secondary baseline outcome.</w:t>
      </w:r>
    </w:p>
    <w:p>
      <w:r>
        <w:rPr>
          <w:b w:val="0"/>
          <w:sz w:val="21"/>
        </w:rPr>
        <w:t>5. &lt;paper&gt;_navigation_sequence — descriptive six-region route exported as one CSV string.</w:t>
      </w:r>
    </w:p>
    <w:p>
      <w:r>
        <w:rPr>
          <w:b w:val="0"/>
          <w:sz w:val="21"/>
        </w:rPr>
        <w:t>No additional page-level, region-level, transition-count, or revisit-count variables are included in the CSV. The five variables above are the complete scrolling-measure export set for each paper.</w:t>
      </w:r>
    </w:p>
    <w:p w14:paraId="7D44FB35" w14:textId="77777777" w:rsidR="00D54103" w:rsidRDefault="00000000">
      <w:pPr>
        <w:spacing w:before="140" w:after="60"/>
      </w:pPr>
      <w:r>
        <w:rPr>
          <w:b/>
          <w:color w:val="1F4E79"/>
          <w:sz w:val="24"/>
        </w:rPr>
        <w:t>Primary methodological sources</w:t>
      </w:r>
    </w:p>
    <w:p w14:paraId="5A660901" w14:textId="77777777" w:rsidR="00D54103" w:rsidRDefault="00000000">
      <w:pPr>
        <w:spacing w:after="40"/>
        <w:ind w:left="317" w:hanging="317"/>
      </w:pPr>
      <w:r>
        <w:t>• Lagun, D., &amp; Lalmas, M. (2016). Understanding and Measuring User Engagement and Attention in Online News Reading. Proceedings of the Ninth ACM International Conference on Web Search and Data Mining (WSDM), 113–122.</w:t>
      </w:r>
    </w:p>
    <w:p w14:paraId="177442CF" w14:textId="77777777" w:rsidR="00D54103" w:rsidRDefault="00000000">
      <w:pPr>
        <w:spacing w:after="40"/>
        <w:ind w:left="317" w:hanging="317"/>
      </w:pPr>
      <w:r>
        <w:t>• Biedermann, D., Schneider, J., Ciordas-Hertel, G.-P., Eichmann, B., Hahnel, C., Goldhammer, F., &amp; Drachsler, H. (2023). Detecting the Disengaged Reader—Using Scrolling Data to Predict Disengagement during Reading. Proceedings of LAK 2023.</w:t>
      </w:r>
    </w:p>
    <w:sectPr w:rsidR="00D54103"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54068">
    <w:abstractNumId w:val="8"/>
  </w:num>
  <w:num w:numId="2" w16cid:durableId="87041668">
    <w:abstractNumId w:val="6"/>
  </w:num>
  <w:num w:numId="3" w16cid:durableId="2037808337">
    <w:abstractNumId w:val="5"/>
  </w:num>
  <w:num w:numId="4" w16cid:durableId="650645788">
    <w:abstractNumId w:val="4"/>
  </w:num>
  <w:num w:numId="5" w16cid:durableId="1755011549">
    <w:abstractNumId w:val="7"/>
  </w:num>
  <w:num w:numId="6" w16cid:durableId="1826779218">
    <w:abstractNumId w:val="3"/>
  </w:num>
  <w:num w:numId="7" w16cid:durableId="584148421">
    <w:abstractNumId w:val="2"/>
  </w:num>
  <w:num w:numId="8" w16cid:durableId="273707121">
    <w:abstractNumId w:val="1"/>
  </w:num>
  <w:num w:numId="9" w16cid:durableId="1442528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741"/>
    <w:rsid w:val="0015074B"/>
    <w:rsid w:val="0029639D"/>
    <w:rsid w:val="00326F90"/>
    <w:rsid w:val="00525090"/>
    <w:rsid w:val="00AA1D8D"/>
    <w:rsid w:val="00B47730"/>
    <w:rsid w:val="00CB0664"/>
    <w:rsid w:val="00D541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DCE57"/>
  <w14:defaultImageDpi w14:val="300"/>
  <w15:docId w15:val="{A6BD06A4-DC33-45F0-975D-94312E72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1394</Words>
  <Characters>7947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Le</cp:lastModifiedBy>
  <cp:revision>2</cp:revision>
  <dcterms:created xsi:type="dcterms:W3CDTF">2013-12-23T23:15:00Z</dcterms:created>
  <dcterms:modified xsi:type="dcterms:W3CDTF">2026-06-26T03:26:00Z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69a8784e-868e-4510-8dc5-ebeb7bbfa645</vt:lpwstr>
  </property>
</Properties>
</file>