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&lt;html lang="en"&gt;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&lt;meta charset="UTF-8"&gt;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&lt;meta name="viewport" content="width=device-width, initial-scale=1.0"&gt;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&lt;title&gt;Preserving the Legacy of the Gutenberg Bible&lt;/title&gt;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&lt;style&gt;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  body { font-family: Arial, sans-serif; line-height: 1.6; margin: 20px; }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h1, h2 { color: #333; }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.content { max-width: 800px; margin: auto; }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&lt;/style&gt;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&lt;div class="content"&gt;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&lt;h1&gt;Preserving the Legacy of the Gutenberg Bible&lt;/h1&gt;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&lt;h2&gt;Introduction&lt;/h2&gt;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&lt;p&gt;The Gutenberg Bible, printed in the 15th century, revolutionized the spread of knowledge. This exhibit explores its historical significance, technology, and preservation.&lt;/p&gt;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&lt;h2&gt;Books&lt;/h2&gt;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&lt;p&gt;&lt;strong&gt;Title:&lt;/strong&gt; The Gutenberg Bible&lt;/p&gt;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&lt;p&gt;&lt;strong&gt;Creator:&lt;/strong&gt; Johannes Gutenberg&lt;/p&gt;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&lt;p&gt;&lt;strong&gt;Date:&lt;/strong&gt; 1454-1455&lt;/p&gt;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&lt;p&gt;&lt;strong&gt;Description:&lt;/strong&gt; The first major book printed using movable type, featuring Latin text and intricate illuminations.&lt;/p&gt;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&lt;h2&gt;Context&lt;/h2&gt;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&lt;p&gt;The Gutenberg Bible was created during the Renaissance and was pivotal in increasing literacy. Though not banned, it disrupted religious and academic institutions.&lt;/p&gt;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&lt;h2&gt;Technology&lt;/h2&gt;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&lt;p&gt;The book was produced using movable type printing, requiring metal type, ink, and a press. This technology led to widespread knowledge dissemination.&lt;/p&gt;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&lt;h2&gt;Conclusions&lt;/h2&gt;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&lt;p&gt;The Gutenberg Bible’s journey highlights the transformation of knowledge-sharing. Digital preservation ensures its legacy remains accessible while posing new challenges.&lt;/p&gt;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