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5F0B2" w14:textId="77777777" w:rsidR="00BE79F9" w:rsidRPr="00BE79F9" w:rsidRDefault="00BE79F9" w:rsidP="00BE79F9">
      <w:pPr>
        <w:rPr>
          <w:rFonts w:ascii="Times New Roman" w:eastAsia="Times New Roman" w:hAnsi="Times New Roman" w:cs="Times New Roman"/>
          <w:color w:val="000000"/>
          <w:kern w:val="0"/>
          <w:sz w:val="20"/>
          <w:szCs w:val="20"/>
          <w14:ligatures w14:val="none"/>
        </w:rPr>
      </w:pPr>
      <w:r w:rsidRPr="00BE79F9">
        <w:rPr>
          <w:rFonts w:ascii="Times New Roman" w:eastAsia="Times New Roman" w:hAnsi="Times New Roman" w:cs="Times New Roman"/>
          <w:b/>
          <w:bCs/>
          <w:i/>
          <w:iCs/>
          <w:color w:val="000000"/>
          <w:kern w:val="0"/>
          <w:sz w:val="20"/>
          <w:szCs w:val="20"/>
          <w14:ligatures w14:val="none"/>
        </w:rPr>
        <w:t>Plan of Reorganization</w:t>
      </w:r>
    </w:p>
    <w:p w14:paraId="12971473" w14:textId="6948E0C0" w:rsidR="002C20AD" w:rsidRDefault="00BE79F9" w:rsidP="00BE79F9">
      <w:pPr>
        <w:rPr>
          <w:rFonts w:ascii="Times New Roman" w:eastAsia="Times New Roman" w:hAnsi="Times New Roman" w:cs="Times New Roman"/>
          <w:color w:val="000000"/>
          <w:kern w:val="0"/>
          <w:sz w:val="20"/>
          <w:szCs w:val="20"/>
          <w14:ligatures w14:val="none"/>
        </w:rPr>
      </w:pPr>
      <w:r w:rsidRPr="00BE79F9">
        <w:rPr>
          <w:rFonts w:ascii="Times New Roman" w:eastAsia="Times New Roman" w:hAnsi="Times New Roman" w:cs="Times New Roman"/>
          <w:color w:val="000000"/>
          <w:kern w:val="0"/>
          <w:sz w:val="20"/>
          <w:szCs w:val="20"/>
          <w14:ligatures w14:val="none"/>
        </w:rPr>
        <w:t>The Plan implements the Merger and incorporates a compromise and settlement of certain intercreditor and intercompany claim issues.</w:t>
      </w:r>
    </w:p>
    <w:p w14:paraId="6F4C3F5D" w14:textId="77777777" w:rsidR="009F5F7F" w:rsidRPr="009F5F7F" w:rsidRDefault="009F5F7F" w:rsidP="009F5F7F">
      <w:pPr>
        <w:rPr>
          <w:rFonts w:ascii="Times New Roman" w:eastAsia="Times New Roman" w:hAnsi="Times New Roman" w:cs="Times New Roman"/>
          <w:color w:val="000000"/>
          <w:kern w:val="0"/>
          <w:sz w:val="20"/>
          <w:szCs w:val="20"/>
          <w14:ligatures w14:val="none"/>
        </w:rPr>
      </w:pPr>
      <w:r w:rsidRPr="009F5F7F">
        <w:rPr>
          <w:rFonts w:ascii="Times New Roman" w:eastAsia="Times New Roman" w:hAnsi="Times New Roman" w:cs="Times New Roman"/>
          <w:color w:val="000000"/>
          <w:kern w:val="0"/>
          <w:sz w:val="20"/>
          <w:szCs w:val="20"/>
          <w14:ligatures w14:val="none"/>
        </w:rPr>
        <w:t>In addition, as of December 31, 2013, the Company made the following cash disbursements under the Plan:</w:t>
      </w:r>
    </w:p>
    <w:tbl>
      <w:tblPr>
        <w:tblW w:w="0" w:type="auto"/>
        <w:tblCellSpacing w:w="0" w:type="dxa"/>
        <w:tblCellMar>
          <w:top w:w="90" w:type="dxa"/>
          <w:left w:w="0" w:type="dxa"/>
          <w:bottom w:w="90" w:type="dxa"/>
          <w:right w:w="0" w:type="dxa"/>
        </w:tblCellMar>
        <w:tblLook w:val="04A0" w:firstRow="1" w:lastRow="0" w:firstColumn="1" w:lastColumn="0" w:noHBand="0" w:noVBand="1"/>
      </w:tblPr>
      <w:tblGrid>
        <w:gridCol w:w="720"/>
        <w:gridCol w:w="8640"/>
      </w:tblGrid>
      <w:tr w:rsidR="009F5F7F" w:rsidRPr="009F5F7F" w14:paraId="602DF809" w14:textId="77777777">
        <w:trPr>
          <w:tblCellSpacing w:w="0" w:type="dxa"/>
        </w:trPr>
        <w:tc>
          <w:tcPr>
            <w:tcW w:w="720" w:type="dxa"/>
            <w:vAlign w:val="center"/>
            <w:hideMark/>
          </w:tcPr>
          <w:p w14:paraId="5B27C426" w14:textId="77777777" w:rsidR="009F5F7F" w:rsidRPr="009F5F7F" w:rsidRDefault="009F5F7F" w:rsidP="009F5F7F">
            <w:pPr>
              <w:rPr>
                <w:rFonts w:ascii="Times New Roman" w:eastAsia="Times New Roman" w:hAnsi="Times New Roman" w:cs="Times New Roman"/>
                <w:color w:val="000000"/>
                <w:kern w:val="0"/>
                <w:sz w:val="20"/>
                <w:szCs w:val="20"/>
                <w14:ligatures w14:val="none"/>
              </w:rPr>
            </w:pPr>
          </w:p>
        </w:tc>
        <w:tc>
          <w:tcPr>
            <w:tcW w:w="0" w:type="auto"/>
            <w:vAlign w:val="center"/>
            <w:hideMark/>
          </w:tcPr>
          <w:p w14:paraId="1F9CDF44" w14:textId="77777777" w:rsidR="009F5F7F" w:rsidRPr="009F5F7F" w:rsidRDefault="009F5F7F" w:rsidP="009F5F7F">
            <w:pPr>
              <w:rPr>
                <w:rFonts w:ascii="Times New Roman" w:eastAsia="Times New Roman" w:hAnsi="Times New Roman" w:cs="Times New Roman"/>
                <w:color w:val="000000"/>
                <w:kern w:val="0"/>
                <w:sz w:val="20"/>
                <w:szCs w:val="20"/>
                <w14:ligatures w14:val="none"/>
              </w:rPr>
            </w:pPr>
          </w:p>
        </w:tc>
      </w:tr>
      <w:tr w:rsidR="009F5F7F" w:rsidRPr="009F5F7F" w14:paraId="2CAB2D1F" w14:textId="77777777">
        <w:trPr>
          <w:tblCellSpacing w:w="0" w:type="dxa"/>
        </w:trPr>
        <w:tc>
          <w:tcPr>
            <w:tcW w:w="0" w:type="auto"/>
            <w:hideMark/>
          </w:tcPr>
          <w:p w14:paraId="5E916448" w14:textId="77777777" w:rsidR="009F5F7F" w:rsidRPr="009F5F7F" w:rsidRDefault="009F5F7F" w:rsidP="009F5F7F">
            <w:pPr>
              <w:rPr>
                <w:rFonts w:ascii="Times New Roman" w:eastAsia="Times New Roman" w:hAnsi="Times New Roman" w:cs="Times New Roman"/>
                <w:color w:val="000000"/>
                <w:kern w:val="0"/>
                <w:sz w:val="20"/>
                <w:szCs w:val="20"/>
                <w14:ligatures w14:val="none"/>
              </w:rPr>
            </w:pPr>
            <w:r w:rsidRPr="009F5F7F">
              <w:rPr>
                <w:rFonts w:ascii="Times New Roman" w:eastAsia="Times New Roman" w:hAnsi="Times New Roman" w:cs="Times New Roman"/>
                <w:color w:val="000000"/>
                <w:kern w:val="0"/>
                <w:sz w:val="20"/>
                <w:szCs w:val="20"/>
                <w14:ligatures w14:val="none"/>
              </w:rPr>
              <w:t>•</w:t>
            </w:r>
          </w:p>
        </w:tc>
        <w:tc>
          <w:tcPr>
            <w:tcW w:w="0" w:type="auto"/>
            <w:hideMark/>
          </w:tcPr>
          <w:p w14:paraId="0AC11765" w14:textId="77777777" w:rsidR="009F5F7F" w:rsidRPr="009F5F7F" w:rsidRDefault="009F5F7F" w:rsidP="009F5F7F">
            <w:pPr>
              <w:rPr>
                <w:rFonts w:ascii="Times New Roman" w:eastAsia="Times New Roman" w:hAnsi="Times New Roman" w:cs="Times New Roman"/>
                <w:color w:val="000000"/>
                <w:kern w:val="0"/>
                <w:sz w:val="20"/>
                <w:szCs w:val="20"/>
                <w14:ligatures w14:val="none"/>
              </w:rPr>
            </w:pPr>
            <w:r w:rsidRPr="009F5F7F">
              <w:rPr>
                <w:rFonts w:ascii="Times New Roman" w:eastAsia="Times New Roman" w:hAnsi="Times New Roman" w:cs="Times New Roman"/>
                <w:color w:val="000000"/>
                <w:kern w:val="0"/>
                <w:sz w:val="20"/>
                <w:szCs w:val="20"/>
                <w14:ligatures w14:val="none"/>
              </w:rPr>
              <w:t>$385 million in cash to the Pension plans in connection with missed contributions to the pension plans during Chapter 11 and interest and penalty interest thereon;</w:t>
            </w:r>
          </w:p>
        </w:tc>
      </w:tr>
    </w:tbl>
    <w:p w14:paraId="3DEED747" w14:textId="77777777" w:rsidR="009F5F7F" w:rsidRPr="009F5F7F" w:rsidRDefault="009F5F7F" w:rsidP="009F5F7F">
      <w:pPr>
        <w:rPr>
          <w:rFonts w:ascii="Times New Roman" w:eastAsia="Times New Roman" w:hAnsi="Times New Roman" w:cs="Times New Roman"/>
          <w:vanish/>
          <w:color w:val="000000"/>
          <w:kern w:val="0"/>
          <w:sz w:val="20"/>
          <w:szCs w:val="20"/>
          <w14:ligatures w14:val="none"/>
        </w:rPr>
      </w:pPr>
    </w:p>
    <w:tbl>
      <w:tblPr>
        <w:tblW w:w="0" w:type="auto"/>
        <w:tblCellSpacing w:w="0" w:type="dxa"/>
        <w:tblCellMar>
          <w:top w:w="90" w:type="dxa"/>
          <w:left w:w="0" w:type="dxa"/>
          <w:bottom w:w="90" w:type="dxa"/>
          <w:right w:w="0" w:type="dxa"/>
        </w:tblCellMar>
        <w:tblLook w:val="04A0" w:firstRow="1" w:lastRow="0" w:firstColumn="1" w:lastColumn="0" w:noHBand="0" w:noVBand="1"/>
      </w:tblPr>
      <w:tblGrid>
        <w:gridCol w:w="720"/>
        <w:gridCol w:w="8640"/>
      </w:tblGrid>
      <w:tr w:rsidR="009F5F7F" w:rsidRPr="009F5F7F" w14:paraId="55D251E0" w14:textId="77777777">
        <w:trPr>
          <w:tblCellSpacing w:w="0" w:type="dxa"/>
        </w:trPr>
        <w:tc>
          <w:tcPr>
            <w:tcW w:w="720" w:type="dxa"/>
            <w:vAlign w:val="center"/>
            <w:hideMark/>
          </w:tcPr>
          <w:p w14:paraId="0EC5908B" w14:textId="77777777" w:rsidR="009F5F7F" w:rsidRPr="009F5F7F" w:rsidRDefault="009F5F7F" w:rsidP="009F5F7F">
            <w:pPr>
              <w:rPr>
                <w:rFonts w:ascii="Times New Roman" w:eastAsia="Times New Roman" w:hAnsi="Times New Roman" w:cs="Times New Roman"/>
                <w:color w:val="000000"/>
                <w:kern w:val="0"/>
                <w:sz w:val="20"/>
                <w:szCs w:val="20"/>
                <w14:ligatures w14:val="none"/>
              </w:rPr>
            </w:pPr>
          </w:p>
        </w:tc>
        <w:tc>
          <w:tcPr>
            <w:tcW w:w="0" w:type="auto"/>
            <w:vAlign w:val="center"/>
            <w:hideMark/>
          </w:tcPr>
          <w:p w14:paraId="4C46DE7D" w14:textId="77777777" w:rsidR="009F5F7F" w:rsidRPr="009F5F7F" w:rsidRDefault="009F5F7F" w:rsidP="009F5F7F">
            <w:pPr>
              <w:rPr>
                <w:rFonts w:ascii="Times New Roman" w:eastAsia="Times New Roman" w:hAnsi="Times New Roman" w:cs="Times New Roman"/>
                <w:color w:val="000000"/>
                <w:kern w:val="0"/>
                <w:sz w:val="20"/>
                <w:szCs w:val="20"/>
                <w14:ligatures w14:val="none"/>
              </w:rPr>
            </w:pPr>
          </w:p>
        </w:tc>
      </w:tr>
      <w:tr w:rsidR="009F5F7F" w:rsidRPr="009F5F7F" w14:paraId="7B590115" w14:textId="77777777">
        <w:trPr>
          <w:tblCellSpacing w:w="0" w:type="dxa"/>
        </w:trPr>
        <w:tc>
          <w:tcPr>
            <w:tcW w:w="0" w:type="auto"/>
            <w:hideMark/>
          </w:tcPr>
          <w:p w14:paraId="009BF0DF" w14:textId="77777777" w:rsidR="009F5F7F" w:rsidRPr="009F5F7F" w:rsidRDefault="009F5F7F" w:rsidP="009F5F7F">
            <w:pPr>
              <w:rPr>
                <w:rFonts w:ascii="Times New Roman" w:eastAsia="Times New Roman" w:hAnsi="Times New Roman" w:cs="Times New Roman"/>
                <w:color w:val="000000"/>
                <w:kern w:val="0"/>
                <w:sz w:val="20"/>
                <w:szCs w:val="20"/>
                <w14:ligatures w14:val="none"/>
              </w:rPr>
            </w:pPr>
            <w:r w:rsidRPr="009F5F7F">
              <w:rPr>
                <w:rFonts w:ascii="Times New Roman" w:eastAsia="Times New Roman" w:hAnsi="Times New Roman" w:cs="Times New Roman"/>
                <w:color w:val="000000"/>
                <w:kern w:val="0"/>
                <w:sz w:val="20"/>
                <w:szCs w:val="20"/>
                <w14:ligatures w14:val="none"/>
              </w:rPr>
              <w:t>•</w:t>
            </w:r>
          </w:p>
        </w:tc>
        <w:tc>
          <w:tcPr>
            <w:tcW w:w="0" w:type="auto"/>
            <w:hideMark/>
          </w:tcPr>
          <w:p w14:paraId="79743D1A" w14:textId="77777777" w:rsidR="009F5F7F" w:rsidRPr="009F5F7F" w:rsidRDefault="009F5F7F" w:rsidP="009F5F7F">
            <w:pPr>
              <w:rPr>
                <w:rFonts w:ascii="Times New Roman" w:eastAsia="Times New Roman" w:hAnsi="Times New Roman" w:cs="Times New Roman"/>
                <w:color w:val="000000"/>
                <w:kern w:val="0"/>
                <w:sz w:val="20"/>
                <w:szCs w:val="20"/>
                <w14:ligatures w14:val="none"/>
              </w:rPr>
            </w:pPr>
            <w:r w:rsidRPr="009F5F7F">
              <w:rPr>
                <w:rFonts w:ascii="Times New Roman" w:eastAsia="Times New Roman" w:hAnsi="Times New Roman" w:cs="Times New Roman"/>
                <w:color w:val="000000"/>
                <w:kern w:val="0"/>
                <w:sz w:val="20"/>
                <w:szCs w:val="20"/>
                <w14:ligatures w14:val="none"/>
              </w:rPr>
              <w:t>$105 million to holders in partial or full satisfaction of their claims, including to holders of administrative claims, and state and local priority tax claims;</w:t>
            </w:r>
          </w:p>
        </w:tc>
      </w:tr>
    </w:tbl>
    <w:p w14:paraId="208B8AED" w14:textId="77777777" w:rsidR="009F5F7F" w:rsidRPr="009F5F7F" w:rsidRDefault="009F5F7F" w:rsidP="009F5F7F">
      <w:pPr>
        <w:rPr>
          <w:rFonts w:ascii="Times New Roman" w:eastAsia="Times New Roman" w:hAnsi="Times New Roman" w:cs="Times New Roman"/>
          <w:vanish/>
          <w:color w:val="000000"/>
          <w:kern w:val="0"/>
          <w:sz w:val="20"/>
          <w:szCs w:val="20"/>
          <w14:ligatures w14:val="none"/>
        </w:rPr>
      </w:pPr>
    </w:p>
    <w:tbl>
      <w:tblPr>
        <w:tblW w:w="0" w:type="auto"/>
        <w:tblCellSpacing w:w="0" w:type="dxa"/>
        <w:tblCellMar>
          <w:top w:w="90" w:type="dxa"/>
          <w:left w:w="0" w:type="dxa"/>
          <w:bottom w:w="90" w:type="dxa"/>
          <w:right w:w="0" w:type="dxa"/>
        </w:tblCellMar>
        <w:tblLook w:val="04A0" w:firstRow="1" w:lastRow="0" w:firstColumn="1" w:lastColumn="0" w:noHBand="0" w:noVBand="1"/>
      </w:tblPr>
      <w:tblGrid>
        <w:gridCol w:w="720"/>
        <w:gridCol w:w="4955"/>
      </w:tblGrid>
      <w:tr w:rsidR="009F5F7F" w:rsidRPr="009F5F7F" w14:paraId="1B24718D" w14:textId="77777777">
        <w:trPr>
          <w:tblCellSpacing w:w="0" w:type="dxa"/>
        </w:trPr>
        <w:tc>
          <w:tcPr>
            <w:tcW w:w="720" w:type="dxa"/>
            <w:vAlign w:val="center"/>
            <w:hideMark/>
          </w:tcPr>
          <w:p w14:paraId="245D6929" w14:textId="77777777" w:rsidR="009F5F7F" w:rsidRPr="009F5F7F" w:rsidRDefault="009F5F7F" w:rsidP="009F5F7F">
            <w:pPr>
              <w:rPr>
                <w:rFonts w:ascii="Times New Roman" w:eastAsia="Times New Roman" w:hAnsi="Times New Roman" w:cs="Times New Roman"/>
                <w:color w:val="000000"/>
                <w:kern w:val="0"/>
                <w:sz w:val="20"/>
                <w:szCs w:val="20"/>
                <w14:ligatures w14:val="none"/>
              </w:rPr>
            </w:pPr>
          </w:p>
        </w:tc>
        <w:tc>
          <w:tcPr>
            <w:tcW w:w="0" w:type="auto"/>
            <w:vAlign w:val="center"/>
            <w:hideMark/>
          </w:tcPr>
          <w:p w14:paraId="2E98132D" w14:textId="77777777" w:rsidR="009F5F7F" w:rsidRPr="009F5F7F" w:rsidRDefault="009F5F7F" w:rsidP="009F5F7F">
            <w:pPr>
              <w:rPr>
                <w:rFonts w:ascii="Times New Roman" w:eastAsia="Times New Roman" w:hAnsi="Times New Roman" w:cs="Times New Roman"/>
                <w:color w:val="000000"/>
                <w:kern w:val="0"/>
                <w:sz w:val="20"/>
                <w:szCs w:val="20"/>
                <w14:ligatures w14:val="none"/>
              </w:rPr>
            </w:pPr>
          </w:p>
        </w:tc>
      </w:tr>
      <w:tr w:rsidR="009F5F7F" w:rsidRPr="009F5F7F" w14:paraId="1D9032A3" w14:textId="77777777">
        <w:trPr>
          <w:tblCellSpacing w:w="0" w:type="dxa"/>
        </w:trPr>
        <w:tc>
          <w:tcPr>
            <w:tcW w:w="0" w:type="auto"/>
            <w:hideMark/>
          </w:tcPr>
          <w:p w14:paraId="6024FDA5" w14:textId="77777777" w:rsidR="009F5F7F" w:rsidRPr="009F5F7F" w:rsidRDefault="009F5F7F" w:rsidP="009F5F7F">
            <w:pPr>
              <w:rPr>
                <w:rFonts w:ascii="Times New Roman" w:eastAsia="Times New Roman" w:hAnsi="Times New Roman" w:cs="Times New Roman"/>
                <w:color w:val="000000"/>
                <w:kern w:val="0"/>
                <w:sz w:val="20"/>
                <w:szCs w:val="20"/>
                <w14:ligatures w14:val="none"/>
              </w:rPr>
            </w:pPr>
            <w:r w:rsidRPr="009F5F7F">
              <w:rPr>
                <w:rFonts w:ascii="Times New Roman" w:eastAsia="Times New Roman" w:hAnsi="Times New Roman" w:cs="Times New Roman"/>
                <w:color w:val="000000"/>
                <w:kern w:val="0"/>
                <w:sz w:val="20"/>
                <w:szCs w:val="20"/>
                <w14:ligatures w14:val="none"/>
              </w:rPr>
              <w:t>•</w:t>
            </w:r>
          </w:p>
        </w:tc>
        <w:tc>
          <w:tcPr>
            <w:tcW w:w="0" w:type="auto"/>
            <w:hideMark/>
          </w:tcPr>
          <w:p w14:paraId="06239177" w14:textId="77777777" w:rsidR="009F5F7F" w:rsidRPr="009F5F7F" w:rsidRDefault="009F5F7F" w:rsidP="009F5F7F">
            <w:pPr>
              <w:rPr>
                <w:rFonts w:ascii="Times New Roman" w:eastAsia="Times New Roman" w:hAnsi="Times New Roman" w:cs="Times New Roman"/>
                <w:color w:val="000000"/>
                <w:kern w:val="0"/>
                <w:sz w:val="20"/>
                <w:szCs w:val="20"/>
                <w14:ligatures w14:val="none"/>
              </w:rPr>
            </w:pPr>
            <w:r w:rsidRPr="009F5F7F">
              <w:rPr>
                <w:rFonts w:ascii="Times New Roman" w:eastAsia="Times New Roman" w:hAnsi="Times New Roman" w:cs="Times New Roman"/>
                <w:color w:val="000000"/>
                <w:kern w:val="0"/>
                <w:sz w:val="20"/>
                <w:szCs w:val="20"/>
                <w14:ligatures w14:val="none"/>
              </w:rPr>
              <w:t>$196 million in cure payments to holders of secured debt; and</w:t>
            </w:r>
          </w:p>
        </w:tc>
      </w:tr>
    </w:tbl>
    <w:p w14:paraId="3FF357BA" w14:textId="77777777" w:rsidR="009F5F7F" w:rsidRPr="009F5F7F" w:rsidRDefault="009F5F7F" w:rsidP="009F5F7F">
      <w:pPr>
        <w:rPr>
          <w:rFonts w:ascii="Times New Roman" w:eastAsia="Times New Roman" w:hAnsi="Times New Roman" w:cs="Times New Roman"/>
          <w:vanish/>
          <w:color w:val="000000"/>
          <w:kern w:val="0"/>
          <w:sz w:val="20"/>
          <w:szCs w:val="20"/>
          <w14:ligatures w14:val="none"/>
        </w:rPr>
      </w:pPr>
    </w:p>
    <w:tbl>
      <w:tblPr>
        <w:tblW w:w="0" w:type="auto"/>
        <w:tblCellSpacing w:w="0" w:type="dxa"/>
        <w:tblCellMar>
          <w:top w:w="90" w:type="dxa"/>
          <w:left w:w="0" w:type="dxa"/>
          <w:bottom w:w="90" w:type="dxa"/>
          <w:right w:w="0" w:type="dxa"/>
        </w:tblCellMar>
        <w:tblLook w:val="04A0" w:firstRow="1" w:lastRow="0" w:firstColumn="1" w:lastColumn="0" w:noHBand="0" w:noVBand="1"/>
      </w:tblPr>
      <w:tblGrid>
        <w:gridCol w:w="720"/>
        <w:gridCol w:w="7688"/>
      </w:tblGrid>
      <w:tr w:rsidR="009F5F7F" w:rsidRPr="009F5F7F" w14:paraId="42097C6A" w14:textId="77777777">
        <w:trPr>
          <w:tblCellSpacing w:w="0" w:type="dxa"/>
        </w:trPr>
        <w:tc>
          <w:tcPr>
            <w:tcW w:w="720" w:type="dxa"/>
            <w:vAlign w:val="center"/>
            <w:hideMark/>
          </w:tcPr>
          <w:p w14:paraId="75796378" w14:textId="77777777" w:rsidR="009F5F7F" w:rsidRPr="009F5F7F" w:rsidRDefault="009F5F7F" w:rsidP="009F5F7F">
            <w:pPr>
              <w:rPr>
                <w:rFonts w:ascii="Times New Roman" w:eastAsia="Times New Roman" w:hAnsi="Times New Roman" w:cs="Times New Roman"/>
                <w:color w:val="000000"/>
                <w:kern w:val="0"/>
                <w:sz w:val="20"/>
                <w:szCs w:val="20"/>
                <w14:ligatures w14:val="none"/>
              </w:rPr>
            </w:pPr>
          </w:p>
        </w:tc>
        <w:tc>
          <w:tcPr>
            <w:tcW w:w="0" w:type="auto"/>
            <w:vAlign w:val="center"/>
            <w:hideMark/>
          </w:tcPr>
          <w:p w14:paraId="4CE9D7D2" w14:textId="77777777" w:rsidR="009F5F7F" w:rsidRPr="009F5F7F" w:rsidRDefault="009F5F7F" w:rsidP="009F5F7F">
            <w:pPr>
              <w:rPr>
                <w:rFonts w:ascii="Times New Roman" w:eastAsia="Times New Roman" w:hAnsi="Times New Roman" w:cs="Times New Roman"/>
                <w:color w:val="000000"/>
                <w:kern w:val="0"/>
                <w:sz w:val="20"/>
                <w:szCs w:val="20"/>
                <w14:ligatures w14:val="none"/>
              </w:rPr>
            </w:pPr>
          </w:p>
        </w:tc>
      </w:tr>
      <w:tr w:rsidR="009F5F7F" w:rsidRPr="009F5F7F" w14:paraId="1CA10E9D" w14:textId="77777777">
        <w:trPr>
          <w:tblCellSpacing w:w="0" w:type="dxa"/>
        </w:trPr>
        <w:tc>
          <w:tcPr>
            <w:tcW w:w="0" w:type="auto"/>
            <w:hideMark/>
          </w:tcPr>
          <w:p w14:paraId="00F6C248" w14:textId="77777777" w:rsidR="009F5F7F" w:rsidRPr="009F5F7F" w:rsidRDefault="009F5F7F" w:rsidP="009F5F7F">
            <w:pPr>
              <w:rPr>
                <w:rFonts w:ascii="Times New Roman" w:eastAsia="Times New Roman" w:hAnsi="Times New Roman" w:cs="Times New Roman"/>
                <w:color w:val="000000"/>
                <w:kern w:val="0"/>
                <w:sz w:val="20"/>
                <w:szCs w:val="20"/>
                <w14:ligatures w14:val="none"/>
              </w:rPr>
            </w:pPr>
            <w:r w:rsidRPr="009F5F7F">
              <w:rPr>
                <w:rFonts w:ascii="Times New Roman" w:eastAsia="Times New Roman" w:hAnsi="Times New Roman" w:cs="Times New Roman"/>
                <w:color w:val="000000"/>
                <w:kern w:val="0"/>
                <w:sz w:val="20"/>
                <w:szCs w:val="20"/>
                <w14:ligatures w14:val="none"/>
              </w:rPr>
              <w:t>•</w:t>
            </w:r>
          </w:p>
        </w:tc>
        <w:tc>
          <w:tcPr>
            <w:tcW w:w="0" w:type="auto"/>
            <w:hideMark/>
          </w:tcPr>
          <w:p w14:paraId="1587FA7B" w14:textId="77777777" w:rsidR="009F5F7F" w:rsidRPr="009F5F7F" w:rsidRDefault="009F5F7F" w:rsidP="009F5F7F">
            <w:pPr>
              <w:rPr>
                <w:rFonts w:ascii="Times New Roman" w:eastAsia="Times New Roman" w:hAnsi="Times New Roman" w:cs="Times New Roman"/>
                <w:color w:val="000000"/>
                <w:kern w:val="0"/>
                <w:sz w:val="20"/>
                <w:szCs w:val="20"/>
                <w14:ligatures w14:val="none"/>
              </w:rPr>
            </w:pPr>
            <w:r w:rsidRPr="009F5F7F">
              <w:rPr>
                <w:rFonts w:ascii="Times New Roman" w:eastAsia="Times New Roman" w:hAnsi="Times New Roman" w:cs="Times New Roman"/>
                <w:color w:val="000000"/>
                <w:kern w:val="0"/>
                <w:sz w:val="20"/>
                <w:szCs w:val="20"/>
                <w14:ligatures w14:val="none"/>
              </w:rPr>
              <w:t>Approximately $300 million for payroll taxes associated with equity distributions to employees.</w:t>
            </w:r>
          </w:p>
        </w:tc>
      </w:tr>
    </w:tbl>
    <w:p w14:paraId="41D9EB3D" w14:textId="1CC3A65B" w:rsidR="009E3302" w:rsidRPr="009E3302" w:rsidRDefault="004206B8" w:rsidP="009E3302">
      <w:pPr>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b/>
          <w:bCs/>
          <w:i/>
          <w:iCs/>
          <w:color w:val="000000"/>
          <w:kern w:val="0"/>
          <w:sz w:val="20"/>
          <w:szCs w:val="20"/>
          <w14:ligatures w14:val="none"/>
        </w:rPr>
        <w:t>R</w:t>
      </w:r>
      <w:r w:rsidR="009E3302" w:rsidRPr="009E3302">
        <w:rPr>
          <w:rFonts w:ascii="Times New Roman" w:eastAsia="Times New Roman" w:hAnsi="Times New Roman" w:cs="Times New Roman"/>
          <w:b/>
          <w:bCs/>
          <w:i/>
          <w:iCs/>
          <w:color w:val="000000"/>
          <w:kern w:val="0"/>
          <w:sz w:val="20"/>
          <w:szCs w:val="20"/>
          <w14:ligatures w14:val="none"/>
        </w:rPr>
        <w:t>eorganization Items, Net</w:t>
      </w:r>
    </w:p>
    <w:p w14:paraId="60226996"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Reorganization items refer to revenues, expenses (including professional fees), realized gains and losses and provisions for losses that are realized or incurred in the Chapter 11 Cases. The following table summarizes the components included in reorganization items, net on the Consolidated Statements of Operations for the years ended December 31, 2013, 2012 and 2011 (in millions):</w:t>
      </w:r>
    </w:p>
    <w:tbl>
      <w:tblPr>
        <w:tblW w:w="0" w:type="auto"/>
        <w:tblCellMar>
          <w:left w:w="0" w:type="dxa"/>
          <w:right w:w="0" w:type="dxa"/>
        </w:tblCellMar>
        <w:tblLook w:val="04A0" w:firstRow="1" w:lastRow="0" w:firstColumn="1" w:lastColumn="0" w:noHBand="0" w:noVBand="1"/>
      </w:tblPr>
      <w:tblGrid>
        <w:gridCol w:w="5872"/>
        <w:gridCol w:w="130"/>
        <w:gridCol w:w="911"/>
        <w:gridCol w:w="69"/>
        <w:gridCol w:w="110"/>
        <w:gridCol w:w="130"/>
        <w:gridCol w:w="818"/>
        <w:gridCol w:w="97"/>
        <w:gridCol w:w="110"/>
        <w:gridCol w:w="131"/>
        <w:gridCol w:w="912"/>
        <w:gridCol w:w="70"/>
      </w:tblGrid>
      <w:tr w:rsidR="009E3302" w:rsidRPr="009E3302" w14:paraId="70AE0F81" w14:textId="77777777" w:rsidTr="00E90FF5">
        <w:tc>
          <w:tcPr>
            <w:tcW w:w="0" w:type="auto"/>
            <w:gridSpan w:val="12"/>
            <w:vAlign w:val="center"/>
            <w:hideMark/>
          </w:tcPr>
          <w:p w14:paraId="233984F2"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r>
      <w:tr w:rsidR="009E3302" w:rsidRPr="009E3302" w14:paraId="1908CFBB" w14:textId="77777777" w:rsidTr="00E90FF5">
        <w:tc>
          <w:tcPr>
            <w:tcW w:w="3150" w:type="pct"/>
            <w:vAlign w:val="center"/>
            <w:hideMark/>
          </w:tcPr>
          <w:p w14:paraId="6095AEAA"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c>
          <w:tcPr>
            <w:tcW w:w="50" w:type="pct"/>
            <w:vAlign w:val="center"/>
            <w:hideMark/>
          </w:tcPr>
          <w:p w14:paraId="695A91B0"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c>
          <w:tcPr>
            <w:tcW w:w="500" w:type="pct"/>
            <w:vAlign w:val="center"/>
            <w:hideMark/>
          </w:tcPr>
          <w:p w14:paraId="5293F649"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c>
          <w:tcPr>
            <w:tcW w:w="50" w:type="pct"/>
            <w:vAlign w:val="center"/>
            <w:hideMark/>
          </w:tcPr>
          <w:p w14:paraId="115C3733"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c>
          <w:tcPr>
            <w:tcW w:w="50" w:type="pct"/>
            <w:vAlign w:val="center"/>
            <w:hideMark/>
          </w:tcPr>
          <w:p w14:paraId="19BE497D"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c>
          <w:tcPr>
            <w:tcW w:w="50" w:type="pct"/>
            <w:vAlign w:val="center"/>
            <w:hideMark/>
          </w:tcPr>
          <w:p w14:paraId="34160F76"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c>
          <w:tcPr>
            <w:tcW w:w="450" w:type="pct"/>
            <w:vAlign w:val="center"/>
            <w:hideMark/>
          </w:tcPr>
          <w:p w14:paraId="4D5BED8B"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c>
          <w:tcPr>
            <w:tcW w:w="50" w:type="pct"/>
            <w:vAlign w:val="center"/>
            <w:hideMark/>
          </w:tcPr>
          <w:p w14:paraId="5AB4D8DE"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c>
          <w:tcPr>
            <w:tcW w:w="50" w:type="pct"/>
            <w:vAlign w:val="center"/>
            <w:hideMark/>
          </w:tcPr>
          <w:p w14:paraId="66F0A1A6"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c>
          <w:tcPr>
            <w:tcW w:w="50" w:type="pct"/>
            <w:vAlign w:val="center"/>
            <w:hideMark/>
          </w:tcPr>
          <w:p w14:paraId="387657D0"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c>
          <w:tcPr>
            <w:tcW w:w="500" w:type="pct"/>
            <w:vAlign w:val="center"/>
            <w:hideMark/>
          </w:tcPr>
          <w:p w14:paraId="2F139FBB"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c>
          <w:tcPr>
            <w:tcW w:w="50" w:type="pct"/>
            <w:vAlign w:val="center"/>
            <w:hideMark/>
          </w:tcPr>
          <w:p w14:paraId="1EE38242"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r>
      <w:tr w:rsidR="009E3302" w:rsidRPr="009E3302" w14:paraId="12AE36D5" w14:textId="77777777" w:rsidTr="00E90FF5">
        <w:tc>
          <w:tcPr>
            <w:tcW w:w="0" w:type="auto"/>
            <w:tcMar>
              <w:top w:w="30" w:type="dxa"/>
              <w:left w:w="30" w:type="dxa"/>
              <w:bottom w:w="30" w:type="dxa"/>
              <w:right w:w="30" w:type="dxa"/>
            </w:tcMar>
            <w:vAlign w:val="bottom"/>
            <w:hideMark/>
          </w:tcPr>
          <w:p w14:paraId="021603CB"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 </w:t>
            </w:r>
          </w:p>
        </w:tc>
        <w:tc>
          <w:tcPr>
            <w:tcW w:w="0" w:type="auto"/>
            <w:gridSpan w:val="3"/>
            <w:tcBorders>
              <w:bottom w:val="single" w:sz="6" w:space="0" w:color="000000"/>
            </w:tcBorders>
            <w:tcMar>
              <w:top w:w="30" w:type="dxa"/>
              <w:left w:w="30" w:type="dxa"/>
              <w:bottom w:w="30" w:type="dxa"/>
              <w:right w:w="30" w:type="dxa"/>
            </w:tcMar>
            <w:vAlign w:val="bottom"/>
            <w:hideMark/>
          </w:tcPr>
          <w:p w14:paraId="219C2178"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2013</w:t>
            </w:r>
          </w:p>
        </w:tc>
        <w:tc>
          <w:tcPr>
            <w:tcW w:w="0" w:type="auto"/>
            <w:tcMar>
              <w:top w:w="30" w:type="dxa"/>
              <w:left w:w="30" w:type="dxa"/>
              <w:bottom w:w="30" w:type="dxa"/>
              <w:right w:w="30" w:type="dxa"/>
            </w:tcMar>
            <w:vAlign w:val="bottom"/>
            <w:hideMark/>
          </w:tcPr>
          <w:p w14:paraId="7DBCBE33"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 </w:t>
            </w:r>
          </w:p>
        </w:tc>
        <w:tc>
          <w:tcPr>
            <w:tcW w:w="0" w:type="auto"/>
            <w:gridSpan w:val="3"/>
            <w:tcBorders>
              <w:bottom w:val="single" w:sz="6" w:space="0" w:color="000000"/>
            </w:tcBorders>
            <w:tcMar>
              <w:top w:w="30" w:type="dxa"/>
              <w:left w:w="30" w:type="dxa"/>
              <w:bottom w:w="30" w:type="dxa"/>
              <w:right w:w="30" w:type="dxa"/>
            </w:tcMar>
            <w:vAlign w:val="bottom"/>
            <w:hideMark/>
          </w:tcPr>
          <w:p w14:paraId="4CD9B7EB"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2012</w:t>
            </w:r>
          </w:p>
        </w:tc>
        <w:tc>
          <w:tcPr>
            <w:tcW w:w="0" w:type="auto"/>
            <w:tcMar>
              <w:top w:w="30" w:type="dxa"/>
              <w:left w:w="30" w:type="dxa"/>
              <w:bottom w:w="30" w:type="dxa"/>
              <w:right w:w="30" w:type="dxa"/>
            </w:tcMar>
            <w:vAlign w:val="bottom"/>
            <w:hideMark/>
          </w:tcPr>
          <w:p w14:paraId="577182EB"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 </w:t>
            </w:r>
          </w:p>
        </w:tc>
        <w:tc>
          <w:tcPr>
            <w:tcW w:w="0" w:type="auto"/>
            <w:gridSpan w:val="3"/>
            <w:tcBorders>
              <w:bottom w:val="single" w:sz="6" w:space="0" w:color="000000"/>
            </w:tcBorders>
            <w:tcMar>
              <w:top w:w="30" w:type="dxa"/>
              <w:left w:w="30" w:type="dxa"/>
              <w:bottom w:w="30" w:type="dxa"/>
              <w:right w:w="30" w:type="dxa"/>
            </w:tcMar>
            <w:vAlign w:val="bottom"/>
            <w:hideMark/>
          </w:tcPr>
          <w:p w14:paraId="38B85554"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2011</w:t>
            </w:r>
          </w:p>
        </w:tc>
      </w:tr>
      <w:tr w:rsidR="009E3302" w:rsidRPr="009E3302" w14:paraId="2F171DF1" w14:textId="77777777" w:rsidTr="00E90FF5">
        <w:tc>
          <w:tcPr>
            <w:tcW w:w="0" w:type="auto"/>
            <w:shd w:val="clear" w:color="auto" w:fill="CCEEFF"/>
            <w:tcMar>
              <w:top w:w="30" w:type="dxa"/>
              <w:left w:w="30" w:type="dxa"/>
              <w:bottom w:w="30" w:type="dxa"/>
              <w:right w:w="30" w:type="dxa"/>
            </w:tcMar>
            <w:vAlign w:val="bottom"/>
            <w:hideMark/>
          </w:tcPr>
          <w:p w14:paraId="407A4F83"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Pension and postretirement benefits</w:t>
            </w:r>
          </w:p>
        </w:tc>
        <w:tc>
          <w:tcPr>
            <w:tcW w:w="0" w:type="auto"/>
            <w:shd w:val="clear" w:color="auto" w:fill="CCEEFF"/>
            <w:tcMar>
              <w:top w:w="30" w:type="dxa"/>
              <w:left w:w="30" w:type="dxa"/>
              <w:bottom w:w="30" w:type="dxa"/>
              <w:right w:w="0" w:type="dxa"/>
            </w:tcMar>
            <w:vAlign w:val="bottom"/>
            <w:hideMark/>
          </w:tcPr>
          <w:p w14:paraId="2F492F08"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w:t>
            </w:r>
          </w:p>
        </w:tc>
        <w:tc>
          <w:tcPr>
            <w:tcW w:w="0" w:type="auto"/>
            <w:shd w:val="clear" w:color="auto" w:fill="CCEEFF"/>
            <w:tcMar>
              <w:top w:w="30" w:type="dxa"/>
              <w:left w:w="0" w:type="dxa"/>
              <w:bottom w:w="30" w:type="dxa"/>
              <w:right w:w="0" w:type="dxa"/>
            </w:tcMar>
            <w:vAlign w:val="bottom"/>
            <w:hideMark/>
          </w:tcPr>
          <w:p w14:paraId="259E029A"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w:t>
            </w:r>
          </w:p>
        </w:tc>
        <w:tc>
          <w:tcPr>
            <w:tcW w:w="0" w:type="auto"/>
            <w:shd w:val="clear" w:color="auto" w:fill="CCEEFF"/>
            <w:vAlign w:val="bottom"/>
            <w:hideMark/>
          </w:tcPr>
          <w:p w14:paraId="39D6865E"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c>
          <w:tcPr>
            <w:tcW w:w="0" w:type="auto"/>
            <w:shd w:val="clear" w:color="auto" w:fill="CCEEFF"/>
            <w:tcMar>
              <w:top w:w="30" w:type="dxa"/>
              <w:left w:w="30" w:type="dxa"/>
              <w:bottom w:w="30" w:type="dxa"/>
              <w:right w:w="30" w:type="dxa"/>
            </w:tcMar>
            <w:vAlign w:val="bottom"/>
            <w:hideMark/>
          </w:tcPr>
          <w:p w14:paraId="75ED955E"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 </w:t>
            </w:r>
          </w:p>
        </w:tc>
        <w:tc>
          <w:tcPr>
            <w:tcW w:w="0" w:type="auto"/>
            <w:shd w:val="clear" w:color="auto" w:fill="CCEEFF"/>
            <w:tcMar>
              <w:top w:w="30" w:type="dxa"/>
              <w:left w:w="30" w:type="dxa"/>
              <w:bottom w:w="30" w:type="dxa"/>
              <w:right w:w="0" w:type="dxa"/>
            </w:tcMar>
            <w:vAlign w:val="bottom"/>
            <w:hideMark/>
          </w:tcPr>
          <w:p w14:paraId="36883375"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w:t>
            </w:r>
          </w:p>
        </w:tc>
        <w:tc>
          <w:tcPr>
            <w:tcW w:w="0" w:type="auto"/>
            <w:shd w:val="clear" w:color="auto" w:fill="CCEEFF"/>
            <w:tcMar>
              <w:top w:w="30" w:type="dxa"/>
              <w:left w:w="0" w:type="dxa"/>
              <w:bottom w:w="30" w:type="dxa"/>
              <w:right w:w="0" w:type="dxa"/>
            </w:tcMar>
            <w:vAlign w:val="bottom"/>
            <w:hideMark/>
          </w:tcPr>
          <w:p w14:paraId="222AD02B"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(66</w:t>
            </w:r>
          </w:p>
        </w:tc>
        <w:tc>
          <w:tcPr>
            <w:tcW w:w="0" w:type="auto"/>
            <w:shd w:val="clear" w:color="auto" w:fill="CCEEFF"/>
            <w:tcMar>
              <w:top w:w="30" w:type="dxa"/>
              <w:left w:w="0" w:type="dxa"/>
              <w:bottom w:w="30" w:type="dxa"/>
              <w:right w:w="30" w:type="dxa"/>
            </w:tcMar>
            <w:vAlign w:val="bottom"/>
            <w:hideMark/>
          </w:tcPr>
          <w:p w14:paraId="5F80D218"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w:t>
            </w:r>
          </w:p>
        </w:tc>
        <w:tc>
          <w:tcPr>
            <w:tcW w:w="0" w:type="auto"/>
            <w:shd w:val="clear" w:color="auto" w:fill="CCEEFF"/>
            <w:tcMar>
              <w:top w:w="30" w:type="dxa"/>
              <w:left w:w="30" w:type="dxa"/>
              <w:bottom w:w="30" w:type="dxa"/>
              <w:right w:w="30" w:type="dxa"/>
            </w:tcMar>
            <w:vAlign w:val="bottom"/>
            <w:hideMark/>
          </w:tcPr>
          <w:p w14:paraId="6C08BFB4"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 </w:t>
            </w:r>
          </w:p>
        </w:tc>
        <w:tc>
          <w:tcPr>
            <w:tcW w:w="0" w:type="auto"/>
            <w:shd w:val="clear" w:color="auto" w:fill="CCEEFF"/>
            <w:tcMar>
              <w:top w:w="30" w:type="dxa"/>
              <w:left w:w="30" w:type="dxa"/>
              <w:bottom w:w="30" w:type="dxa"/>
              <w:right w:w="0" w:type="dxa"/>
            </w:tcMar>
            <w:vAlign w:val="bottom"/>
            <w:hideMark/>
          </w:tcPr>
          <w:p w14:paraId="26AF4631"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w:t>
            </w:r>
          </w:p>
        </w:tc>
        <w:tc>
          <w:tcPr>
            <w:tcW w:w="0" w:type="auto"/>
            <w:shd w:val="clear" w:color="auto" w:fill="CCEEFF"/>
            <w:tcMar>
              <w:top w:w="30" w:type="dxa"/>
              <w:left w:w="0" w:type="dxa"/>
              <w:bottom w:w="30" w:type="dxa"/>
              <w:right w:w="0" w:type="dxa"/>
            </w:tcMar>
            <w:vAlign w:val="bottom"/>
            <w:hideMark/>
          </w:tcPr>
          <w:p w14:paraId="2D248B8F"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w:t>
            </w:r>
          </w:p>
        </w:tc>
        <w:tc>
          <w:tcPr>
            <w:tcW w:w="0" w:type="auto"/>
            <w:shd w:val="clear" w:color="auto" w:fill="CCEEFF"/>
            <w:vAlign w:val="bottom"/>
            <w:hideMark/>
          </w:tcPr>
          <w:p w14:paraId="6E0ACAE8"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r>
      <w:tr w:rsidR="009E3302" w:rsidRPr="009E3302" w14:paraId="4E5CB1C6" w14:textId="77777777" w:rsidTr="00E90FF5">
        <w:tc>
          <w:tcPr>
            <w:tcW w:w="0" w:type="auto"/>
            <w:tcMar>
              <w:top w:w="30" w:type="dxa"/>
              <w:left w:w="30" w:type="dxa"/>
              <w:bottom w:w="30" w:type="dxa"/>
              <w:right w:w="30" w:type="dxa"/>
            </w:tcMar>
            <w:vAlign w:val="bottom"/>
            <w:hideMark/>
          </w:tcPr>
          <w:p w14:paraId="24E4838A"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Labor-related deemed claim</w:t>
            </w:r>
          </w:p>
        </w:tc>
        <w:tc>
          <w:tcPr>
            <w:tcW w:w="0" w:type="auto"/>
            <w:gridSpan w:val="2"/>
            <w:tcMar>
              <w:top w:w="30" w:type="dxa"/>
              <w:left w:w="30" w:type="dxa"/>
              <w:bottom w:w="30" w:type="dxa"/>
              <w:right w:w="0" w:type="dxa"/>
            </w:tcMar>
            <w:vAlign w:val="bottom"/>
            <w:hideMark/>
          </w:tcPr>
          <w:p w14:paraId="6D970891"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1,733</w:t>
            </w:r>
          </w:p>
        </w:tc>
        <w:tc>
          <w:tcPr>
            <w:tcW w:w="0" w:type="auto"/>
            <w:vAlign w:val="bottom"/>
            <w:hideMark/>
          </w:tcPr>
          <w:p w14:paraId="56308ECC"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c>
          <w:tcPr>
            <w:tcW w:w="0" w:type="auto"/>
            <w:tcMar>
              <w:top w:w="30" w:type="dxa"/>
              <w:left w:w="30" w:type="dxa"/>
              <w:bottom w:w="30" w:type="dxa"/>
              <w:right w:w="30" w:type="dxa"/>
            </w:tcMar>
            <w:vAlign w:val="bottom"/>
            <w:hideMark/>
          </w:tcPr>
          <w:p w14:paraId="1FE30626"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 </w:t>
            </w:r>
          </w:p>
        </w:tc>
        <w:tc>
          <w:tcPr>
            <w:tcW w:w="0" w:type="auto"/>
            <w:gridSpan w:val="2"/>
            <w:tcMar>
              <w:top w:w="30" w:type="dxa"/>
              <w:left w:w="30" w:type="dxa"/>
              <w:bottom w:w="30" w:type="dxa"/>
              <w:right w:w="0" w:type="dxa"/>
            </w:tcMar>
            <w:vAlign w:val="bottom"/>
            <w:hideMark/>
          </w:tcPr>
          <w:p w14:paraId="636F91B5"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w:t>
            </w:r>
          </w:p>
        </w:tc>
        <w:tc>
          <w:tcPr>
            <w:tcW w:w="0" w:type="auto"/>
            <w:vAlign w:val="bottom"/>
            <w:hideMark/>
          </w:tcPr>
          <w:p w14:paraId="4A35A58B"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c>
          <w:tcPr>
            <w:tcW w:w="0" w:type="auto"/>
            <w:tcMar>
              <w:top w:w="30" w:type="dxa"/>
              <w:left w:w="30" w:type="dxa"/>
              <w:bottom w:w="30" w:type="dxa"/>
              <w:right w:w="30" w:type="dxa"/>
            </w:tcMar>
            <w:vAlign w:val="bottom"/>
            <w:hideMark/>
          </w:tcPr>
          <w:p w14:paraId="071CA8B4"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 </w:t>
            </w:r>
          </w:p>
        </w:tc>
        <w:tc>
          <w:tcPr>
            <w:tcW w:w="0" w:type="auto"/>
            <w:gridSpan w:val="2"/>
            <w:tcMar>
              <w:top w:w="30" w:type="dxa"/>
              <w:left w:w="30" w:type="dxa"/>
              <w:bottom w:w="30" w:type="dxa"/>
              <w:right w:w="0" w:type="dxa"/>
            </w:tcMar>
            <w:vAlign w:val="bottom"/>
            <w:hideMark/>
          </w:tcPr>
          <w:p w14:paraId="7180C7BF"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w:t>
            </w:r>
          </w:p>
        </w:tc>
        <w:tc>
          <w:tcPr>
            <w:tcW w:w="0" w:type="auto"/>
            <w:vAlign w:val="bottom"/>
            <w:hideMark/>
          </w:tcPr>
          <w:p w14:paraId="747BD9BA"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r>
      <w:tr w:rsidR="009E3302" w:rsidRPr="009E3302" w14:paraId="6A481DA5" w14:textId="77777777" w:rsidTr="00E90FF5">
        <w:tc>
          <w:tcPr>
            <w:tcW w:w="0" w:type="auto"/>
            <w:shd w:val="clear" w:color="auto" w:fill="CCEEFF"/>
            <w:tcMar>
              <w:top w:w="30" w:type="dxa"/>
              <w:left w:w="30" w:type="dxa"/>
              <w:bottom w:w="30" w:type="dxa"/>
              <w:right w:w="30" w:type="dxa"/>
            </w:tcMar>
            <w:vAlign w:val="bottom"/>
            <w:hideMark/>
          </w:tcPr>
          <w:p w14:paraId="551CE6D9"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Aircraft and facility financing renegotiations and rejections </w:t>
            </w:r>
            <w:r w:rsidRPr="009E3302">
              <w:rPr>
                <w:rFonts w:ascii="Times New Roman" w:eastAsia="Times New Roman" w:hAnsi="Times New Roman" w:cs="Times New Roman"/>
                <w:color w:val="000000"/>
                <w:kern w:val="0"/>
                <w:sz w:val="20"/>
                <w:szCs w:val="20"/>
                <w:vertAlign w:val="superscript"/>
                <w14:ligatures w14:val="none"/>
              </w:rPr>
              <w:t>1, 2</w:t>
            </w:r>
          </w:p>
        </w:tc>
        <w:tc>
          <w:tcPr>
            <w:tcW w:w="0" w:type="auto"/>
            <w:gridSpan w:val="2"/>
            <w:shd w:val="clear" w:color="auto" w:fill="CCEEFF"/>
            <w:tcMar>
              <w:top w:w="30" w:type="dxa"/>
              <w:left w:w="30" w:type="dxa"/>
              <w:bottom w:w="30" w:type="dxa"/>
              <w:right w:w="0" w:type="dxa"/>
            </w:tcMar>
            <w:vAlign w:val="bottom"/>
            <w:hideMark/>
          </w:tcPr>
          <w:p w14:paraId="50D0FE94"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325</w:t>
            </w:r>
          </w:p>
        </w:tc>
        <w:tc>
          <w:tcPr>
            <w:tcW w:w="0" w:type="auto"/>
            <w:shd w:val="clear" w:color="auto" w:fill="CCEEFF"/>
            <w:vAlign w:val="bottom"/>
            <w:hideMark/>
          </w:tcPr>
          <w:p w14:paraId="7CC3553E"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c>
          <w:tcPr>
            <w:tcW w:w="0" w:type="auto"/>
            <w:shd w:val="clear" w:color="auto" w:fill="CCEEFF"/>
            <w:tcMar>
              <w:top w:w="30" w:type="dxa"/>
              <w:left w:w="30" w:type="dxa"/>
              <w:bottom w:w="30" w:type="dxa"/>
              <w:right w:w="30" w:type="dxa"/>
            </w:tcMar>
            <w:vAlign w:val="bottom"/>
            <w:hideMark/>
          </w:tcPr>
          <w:p w14:paraId="6CAA37C9"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 </w:t>
            </w:r>
          </w:p>
        </w:tc>
        <w:tc>
          <w:tcPr>
            <w:tcW w:w="0" w:type="auto"/>
            <w:gridSpan w:val="2"/>
            <w:shd w:val="clear" w:color="auto" w:fill="CCEEFF"/>
            <w:tcMar>
              <w:top w:w="30" w:type="dxa"/>
              <w:left w:w="30" w:type="dxa"/>
              <w:bottom w:w="30" w:type="dxa"/>
              <w:right w:w="0" w:type="dxa"/>
            </w:tcMar>
            <w:vAlign w:val="bottom"/>
            <w:hideMark/>
          </w:tcPr>
          <w:p w14:paraId="592B1B6B"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1,950</w:t>
            </w:r>
          </w:p>
        </w:tc>
        <w:tc>
          <w:tcPr>
            <w:tcW w:w="0" w:type="auto"/>
            <w:shd w:val="clear" w:color="auto" w:fill="CCEEFF"/>
            <w:vAlign w:val="bottom"/>
            <w:hideMark/>
          </w:tcPr>
          <w:p w14:paraId="65C7CC62"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c>
          <w:tcPr>
            <w:tcW w:w="0" w:type="auto"/>
            <w:shd w:val="clear" w:color="auto" w:fill="CCEEFF"/>
            <w:tcMar>
              <w:top w:w="30" w:type="dxa"/>
              <w:left w:w="30" w:type="dxa"/>
              <w:bottom w:w="30" w:type="dxa"/>
              <w:right w:w="30" w:type="dxa"/>
            </w:tcMar>
            <w:vAlign w:val="bottom"/>
            <w:hideMark/>
          </w:tcPr>
          <w:p w14:paraId="3CF8B6C0"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 </w:t>
            </w:r>
          </w:p>
        </w:tc>
        <w:tc>
          <w:tcPr>
            <w:tcW w:w="0" w:type="auto"/>
            <w:gridSpan w:val="2"/>
            <w:shd w:val="clear" w:color="auto" w:fill="CCEEFF"/>
            <w:tcMar>
              <w:top w:w="30" w:type="dxa"/>
              <w:left w:w="30" w:type="dxa"/>
              <w:bottom w:w="30" w:type="dxa"/>
              <w:right w:w="0" w:type="dxa"/>
            </w:tcMar>
            <w:vAlign w:val="bottom"/>
            <w:hideMark/>
          </w:tcPr>
          <w:p w14:paraId="2C87B3DA"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102</w:t>
            </w:r>
          </w:p>
        </w:tc>
        <w:tc>
          <w:tcPr>
            <w:tcW w:w="0" w:type="auto"/>
            <w:shd w:val="clear" w:color="auto" w:fill="CCEEFF"/>
            <w:vAlign w:val="bottom"/>
            <w:hideMark/>
          </w:tcPr>
          <w:p w14:paraId="6D0B6C56"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r>
      <w:tr w:rsidR="009E3302" w:rsidRPr="009E3302" w14:paraId="20EC34D9" w14:textId="77777777" w:rsidTr="00E90FF5">
        <w:tc>
          <w:tcPr>
            <w:tcW w:w="0" w:type="auto"/>
            <w:tcMar>
              <w:top w:w="30" w:type="dxa"/>
              <w:left w:w="30" w:type="dxa"/>
              <w:bottom w:w="30" w:type="dxa"/>
              <w:right w:w="30" w:type="dxa"/>
            </w:tcMar>
            <w:vAlign w:val="bottom"/>
            <w:hideMark/>
          </w:tcPr>
          <w:p w14:paraId="6BA62D43"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Fair value of conversion discount </w:t>
            </w:r>
            <w:r w:rsidRPr="009E3302">
              <w:rPr>
                <w:rFonts w:ascii="Times New Roman" w:eastAsia="Times New Roman" w:hAnsi="Times New Roman" w:cs="Times New Roman"/>
                <w:color w:val="000000"/>
                <w:kern w:val="0"/>
                <w:sz w:val="20"/>
                <w:szCs w:val="20"/>
                <w:vertAlign w:val="superscript"/>
                <w14:ligatures w14:val="none"/>
              </w:rPr>
              <w:t>3</w:t>
            </w:r>
          </w:p>
        </w:tc>
        <w:tc>
          <w:tcPr>
            <w:tcW w:w="0" w:type="auto"/>
            <w:gridSpan w:val="2"/>
            <w:tcMar>
              <w:top w:w="30" w:type="dxa"/>
              <w:left w:w="30" w:type="dxa"/>
              <w:bottom w:w="30" w:type="dxa"/>
              <w:right w:w="0" w:type="dxa"/>
            </w:tcMar>
            <w:vAlign w:val="bottom"/>
            <w:hideMark/>
          </w:tcPr>
          <w:p w14:paraId="612359E0"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218</w:t>
            </w:r>
          </w:p>
        </w:tc>
        <w:tc>
          <w:tcPr>
            <w:tcW w:w="0" w:type="auto"/>
            <w:vAlign w:val="bottom"/>
            <w:hideMark/>
          </w:tcPr>
          <w:p w14:paraId="243BCE01"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c>
          <w:tcPr>
            <w:tcW w:w="0" w:type="auto"/>
            <w:tcMar>
              <w:top w:w="30" w:type="dxa"/>
              <w:left w:w="30" w:type="dxa"/>
              <w:bottom w:w="30" w:type="dxa"/>
              <w:right w:w="30" w:type="dxa"/>
            </w:tcMar>
            <w:vAlign w:val="bottom"/>
            <w:hideMark/>
          </w:tcPr>
          <w:p w14:paraId="255AB7DC"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 </w:t>
            </w:r>
          </w:p>
        </w:tc>
        <w:tc>
          <w:tcPr>
            <w:tcW w:w="0" w:type="auto"/>
            <w:gridSpan w:val="2"/>
            <w:tcMar>
              <w:top w:w="30" w:type="dxa"/>
              <w:left w:w="30" w:type="dxa"/>
              <w:bottom w:w="30" w:type="dxa"/>
              <w:right w:w="0" w:type="dxa"/>
            </w:tcMar>
            <w:vAlign w:val="bottom"/>
            <w:hideMark/>
          </w:tcPr>
          <w:p w14:paraId="244C2EF1"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w:t>
            </w:r>
          </w:p>
        </w:tc>
        <w:tc>
          <w:tcPr>
            <w:tcW w:w="0" w:type="auto"/>
            <w:vAlign w:val="bottom"/>
            <w:hideMark/>
          </w:tcPr>
          <w:p w14:paraId="19B199FC"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c>
          <w:tcPr>
            <w:tcW w:w="0" w:type="auto"/>
            <w:tcMar>
              <w:top w:w="30" w:type="dxa"/>
              <w:left w:w="30" w:type="dxa"/>
              <w:bottom w:w="30" w:type="dxa"/>
              <w:right w:w="30" w:type="dxa"/>
            </w:tcMar>
            <w:vAlign w:val="bottom"/>
            <w:hideMark/>
          </w:tcPr>
          <w:p w14:paraId="4D6D287F"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 </w:t>
            </w:r>
          </w:p>
        </w:tc>
        <w:tc>
          <w:tcPr>
            <w:tcW w:w="0" w:type="auto"/>
            <w:gridSpan w:val="2"/>
            <w:tcMar>
              <w:top w:w="30" w:type="dxa"/>
              <w:left w:w="30" w:type="dxa"/>
              <w:bottom w:w="30" w:type="dxa"/>
              <w:right w:w="0" w:type="dxa"/>
            </w:tcMar>
            <w:vAlign w:val="bottom"/>
            <w:hideMark/>
          </w:tcPr>
          <w:p w14:paraId="6FB762B5"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w:t>
            </w:r>
          </w:p>
        </w:tc>
        <w:tc>
          <w:tcPr>
            <w:tcW w:w="0" w:type="auto"/>
            <w:vAlign w:val="bottom"/>
            <w:hideMark/>
          </w:tcPr>
          <w:p w14:paraId="69529A09"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r>
      <w:tr w:rsidR="009E3302" w:rsidRPr="009E3302" w14:paraId="3CC36AD0" w14:textId="77777777" w:rsidTr="00E90FF5">
        <w:tc>
          <w:tcPr>
            <w:tcW w:w="0" w:type="auto"/>
            <w:shd w:val="clear" w:color="auto" w:fill="CCEEFF"/>
            <w:tcMar>
              <w:top w:w="30" w:type="dxa"/>
              <w:left w:w="30" w:type="dxa"/>
              <w:bottom w:w="30" w:type="dxa"/>
              <w:right w:w="30" w:type="dxa"/>
            </w:tcMar>
            <w:vAlign w:val="bottom"/>
            <w:hideMark/>
          </w:tcPr>
          <w:p w14:paraId="20B419B0"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Professional fees</w:t>
            </w:r>
          </w:p>
        </w:tc>
        <w:tc>
          <w:tcPr>
            <w:tcW w:w="0" w:type="auto"/>
            <w:gridSpan w:val="2"/>
            <w:shd w:val="clear" w:color="auto" w:fill="CCEEFF"/>
            <w:tcMar>
              <w:top w:w="30" w:type="dxa"/>
              <w:left w:w="30" w:type="dxa"/>
              <w:bottom w:w="30" w:type="dxa"/>
              <w:right w:w="0" w:type="dxa"/>
            </w:tcMar>
            <w:vAlign w:val="bottom"/>
            <w:hideMark/>
          </w:tcPr>
          <w:p w14:paraId="384A38E6"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199</w:t>
            </w:r>
          </w:p>
        </w:tc>
        <w:tc>
          <w:tcPr>
            <w:tcW w:w="0" w:type="auto"/>
            <w:shd w:val="clear" w:color="auto" w:fill="CCEEFF"/>
            <w:vAlign w:val="bottom"/>
            <w:hideMark/>
          </w:tcPr>
          <w:p w14:paraId="12759FBB"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c>
          <w:tcPr>
            <w:tcW w:w="0" w:type="auto"/>
            <w:shd w:val="clear" w:color="auto" w:fill="CCEEFF"/>
            <w:tcMar>
              <w:top w:w="30" w:type="dxa"/>
              <w:left w:w="30" w:type="dxa"/>
              <w:bottom w:w="30" w:type="dxa"/>
              <w:right w:w="30" w:type="dxa"/>
            </w:tcMar>
            <w:vAlign w:val="bottom"/>
            <w:hideMark/>
          </w:tcPr>
          <w:p w14:paraId="457D8A0C"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 </w:t>
            </w:r>
          </w:p>
        </w:tc>
        <w:tc>
          <w:tcPr>
            <w:tcW w:w="0" w:type="auto"/>
            <w:gridSpan w:val="2"/>
            <w:shd w:val="clear" w:color="auto" w:fill="CCEEFF"/>
            <w:tcMar>
              <w:top w:w="30" w:type="dxa"/>
              <w:left w:w="30" w:type="dxa"/>
              <w:bottom w:w="30" w:type="dxa"/>
              <w:right w:w="0" w:type="dxa"/>
            </w:tcMar>
            <w:vAlign w:val="bottom"/>
            <w:hideMark/>
          </w:tcPr>
          <w:p w14:paraId="7C25C247"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229</w:t>
            </w:r>
          </w:p>
        </w:tc>
        <w:tc>
          <w:tcPr>
            <w:tcW w:w="0" w:type="auto"/>
            <w:shd w:val="clear" w:color="auto" w:fill="CCEEFF"/>
            <w:vAlign w:val="bottom"/>
            <w:hideMark/>
          </w:tcPr>
          <w:p w14:paraId="4F9B086A"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c>
          <w:tcPr>
            <w:tcW w:w="0" w:type="auto"/>
            <w:shd w:val="clear" w:color="auto" w:fill="CCEEFF"/>
            <w:tcMar>
              <w:top w:w="30" w:type="dxa"/>
              <w:left w:w="30" w:type="dxa"/>
              <w:bottom w:w="30" w:type="dxa"/>
              <w:right w:w="30" w:type="dxa"/>
            </w:tcMar>
            <w:vAlign w:val="bottom"/>
            <w:hideMark/>
          </w:tcPr>
          <w:p w14:paraId="099EB6A2"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 </w:t>
            </w:r>
          </w:p>
        </w:tc>
        <w:tc>
          <w:tcPr>
            <w:tcW w:w="0" w:type="auto"/>
            <w:gridSpan w:val="2"/>
            <w:shd w:val="clear" w:color="auto" w:fill="CCEEFF"/>
            <w:tcMar>
              <w:top w:w="30" w:type="dxa"/>
              <w:left w:w="30" w:type="dxa"/>
              <w:bottom w:w="30" w:type="dxa"/>
              <w:right w:w="0" w:type="dxa"/>
            </w:tcMar>
            <w:vAlign w:val="bottom"/>
            <w:hideMark/>
          </w:tcPr>
          <w:p w14:paraId="28D11C73"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14</w:t>
            </w:r>
          </w:p>
        </w:tc>
        <w:tc>
          <w:tcPr>
            <w:tcW w:w="0" w:type="auto"/>
            <w:shd w:val="clear" w:color="auto" w:fill="CCEEFF"/>
            <w:vAlign w:val="bottom"/>
            <w:hideMark/>
          </w:tcPr>
          <w:p w14:paraId="793D3912"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r>
      <w:tr w:rsidR="009E3302" w:rsidRPr="009E3302" w14:paraId="7CE9D33D" w14:textId="77777777" w:rsidTr="00E90FF5">
        <w:tc>
          <w:tcPr>
            <w:tcW w:w="0" w:type="auto"/>
            <w:tcMar>
              <w:top w:w="30" w:type="dxa"/>
              <w:left w:w="30" w:type="dxa"/>
              <w:bottom w:w="30" w:type="dxa"/>
              <w:right w:w="30" w:type="dxa"/>
            </w:tcMar>
            <w:vAlign w:val="bottom"/>
            <w:hideMark/>
          </w:tcPr>
          <w:p w14:paraId="2FE59065"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Other</w:t>
            </w:r>
          </w:p>
        </w:tc>
        <w:tc>
          <w:tcPr>
            <w:tcW w:w="0" w:type="auto"/>
            <w:gridSpan w:val="2"/>
            <w:tcBorders>
              <w:bottom w:val="single" w:sz="6" w:space="0" w:color="000000"/>
            </w:tcBorders>
            <w:tcMar>
              <w:top w:w="30" w:type="dxa"/>
              <w:left w:w="30" w:type="dxa"/>
              <w:bottom w:w="30" w:type="dxa"/>
              <w:right w:w="0" w:type="dxa"/>
            </w:tcMar>
            <w:vAlign w:val="bottom"/>
            <w:hideMark/>
          </w:tcPr>
          <w:p w14:paraId="14E13C93"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180</w:t>
            </w:r>
          </w:p>
        </w:tc>
        <w:tc>
          <w:tcPr>
            <w:tcW w:w="0" w:type="auto"/>
            <w:tcBorders>
              <w:bottom w:val="single" w:sz="6" w:space="0" w:color="000000"/>
            </w:tcBorders>
            <w:vAlign w:val="bottom"/>
            <w:hideMark/>
          </w:tcPr>
          <w:p w14:paraId="1FDD8AA0"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c>
          <w:tcPr>
            <w:tcW w:w="0" w:type="auto"/>
            <w:tcMar>
              <w:top w:w="30" w:type="dxa"/>
              <w:left w:w="30" w:type="dxa"/>
              <w:bottom w:w="30" w:type="dxa"/>
              <w:right w:w="30" w:type="dxa"/>
            </w:tcMar>
            <w:vAlign w:val="bottom"/>
            <w:hideMark/>
          </w:tcPr>
          <w:p w14:paraId="111BF0F2"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 </w:t>
            </w:r>
          </w:p>
        </w:tc>
        <w:tc>
          <w:tcPr>
            <w:tcW w:w="0" w:type="auto"/>
            <w:gridSpan w:val="2"/>
            <w:tcBorders>
              <w:bottom w:val="single" w:sz="6" w:space="0" w:color="000000"/>
            </w:tcBorders>
            <w:tcMar>
              <w:top w:w="30" w:type="dxa"/>
              <w:left w:w="30" w:type="dxa"/>
              <w:bottom w:w="30" w:type="dxa"/>
              <w:right w:w="0" w:type="dxa"/>
            </w:tcMar>
            <w:vAlign w:val="bottom"/>
            <w:hideMark/>
          </w:tcPr>
          <w:p w14:paraId="77F73F10"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95</w:t>
            </w:r>
          </w:p>
        </w:tc>
        <w:tc>
          <w:tcPr>
            <w:tcW w:w="0" w:type="auto"/>
            <w:tcBorders>
              <w:bottom w:val="single" w:sz="6" w:space="0" w:color="000000"/>
            </w:tcBorders>
            <w:vAlign w:val="bottom"/>
            <w:hideMark/>
          </w:tcPr>
          <w:p w14:paraId="633B5022"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c>
          <w:tcPr>
            <w:tcW w:w="0" w:type="auto"/>
            <w:tcMar>
              <w:top w:w="30" w:type="dxa"/>
              <w:left w:w="30" w:type="dxa"/>
              <w:bottom w:w="30" w:type="dxa"/>
              <w:right w:w="30" w:type="dxa"/>
            </w:tcMar>
            <w:vAlign w:val="bottom"/>
            <w:hideMark/>
          </w:tcPr>
          <w:p w14:paraId="757E03FC"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 </w:t>
            </w:r>
          </w:p>
        </w:tc>
        <w:tc>
          <w:tcPr>
            <w:tcW w:w="0" w:type="auto"/>
            <w:gridSpan w:val="2"/>
            <w:tcBorders>
              <w:bottom w:val="single" w:sz="6" w:space="0" w:color="000000"/>
            </w:tcBorders>
            <w:tcMar>
              <w:top w:w="30" w:type="dxa"/>
              <w:left w:w="30" w:type="dxa"/>
              <w:bottom w:w="30" w:type="dxa"/>
              <w:right w:w="0" w:type="dxa"/>
            </w:tcMar>
            <w:vAlign w:val="bottom"/>
            <w:hideMark/>
          </w:tcPr>
          <w:p w14:paraId="7E6BE05E"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2</w:t>
            </w:r>
          </w:p>
        </w:tc>
        <w:tc>
          <w:tcPr>
            <w:tcW w:w="0" w:type="auto"/>
            <w:tcBorders>
              <w:bottom w:val="single" w:sz="6" w:space="0" w:color="000000"/>
            </w:tcBorders>
            <w:vAlign w:val="bottom"/>
            <w:hideMark/>
          </w:tcPr>
          <w:p w14:paraId="0B8B5FE0"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r>
      <w:tr w:rsidR="009E3302" w:rsidRPr="009E3302" w14:paraId="4A1F6F81" w14:textId="77777777" w:rsidTr="00E90FF5">
        <w:tc>
          <w:tcPr>
            <w:tcW w:w="0" w:type="auto"/>
            <w:shd w:val="clear" w:color="auto" w:fill="CCEEFF"/>
            <w:tcMar>
              <w:top w:w="30" w:type="dxa"/>
              <w:left w:w="30" w:type="dxa"/>
              <w:bottom w:w="30" w:type="dxa"/>
              <w:right w:w="30" w:type="dxa"/>
            </w:tcMar>
            <w:vAlign w:val="bottom"/>
            <w:hideMark/>
          </w:tcPr>
          <w:p w14:paraId="3159B436"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Total reorganization items, net</w:t>
            </w:r>
          </w:p>
        </w:tc>
        <w:tc>
          <w:tcPr>
            <w:tcW w:w="0" w:type="auto"/>
            <w:tcBorders>
              <w:top w:val="single" w:sz="6" w:space="0" w:color="000000"/>
              <w:bottom w:val="double" w:sz="6" w:space="0" w:color="000000"/>
            </w:tcBorders>
            <w:shd w:val="clear" w:color="auto" w:fill="CCEEFF"/>
            <w:tcMar>
              <w:top w:w="30" w:type="dxa"/>
              <w:left w:w="30" w:type="dxa"/>
              <w:bottom w:w="30" w:type="dxa"/>
              <w:right w:w="0" w:type="dxa"/>
            </w:tcMar>
            <w:vAlign w:val="bottom"/>
            <w:hideMark/>
          </w:tcPr>
          <w:p w14:paraId="59634891"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w:t>
            </w:r>
          </w:p>
        </w:tc>
        <w:tc>
          <w:tcPr>
            <w:tcW w:w="0" w:type="auto"/>
            <w:tcBorders>
              <w:top w:val="single" w:sz="6" w:space="0" w:color="000000"/>
              <w:bottom w:val="double" w:sz="6" w:space="0" w:color="000000"/>
            </w:tcBorders>
            <w:shd w:val="clear" w:color="auto" w:fill="CCEEFF"/>
            <w:tcMar>
              <w:top w:w="30" w:type="dxa"/>
              <w:left w:w="0" w:type="dxa"/>
              <w:bottom w:w="30" w:type="dxa"/>
              <w:right w:w="0" w:type="dxa"/>
            </w:tcMar>
            <w:vAlign w:val="bottom"/>
            <w:hideMark/>
          </w:tcPr>
          <w:p w14:paraId="50E3D16B"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2,655</w:t>
            </w:r>
          </w:p>
        </w:tc>
        <w:tc>
          <w:tcPr>
            <w:tcW w:w="0" w:type="auto"/>
            <w:tcBorders>
              <w:top w:val="single" w:sz="6" w:space="0" w:color="000000"/>
              <w:bottom w:val="double" w:sz="6" w:space="0" w:color="000000"/>
            </w:tcBorders>
            <w:shd w:val="clear" w:color="auto" w:fill="CCEEFF"/>
            <w:vAlign w:val="bottom"/>
            <w:hideMark/>
          </w:tcPr>
          <w:p w14:paraId="4EE5E18B"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c>
          <w:tcPr>
            <w:tcW w:w="0" w:type="auto"/>
            <w:shd w:val="clear" w:color="auto" w:fill="CCEEFF"/>
            <w:tcMar>
              <w:top w:w="30" w:type="dxa"/>
              <w:left w:w="30" w:type="dxa"/>
              <w:bottom w:w="30" w:type="dxa"/>
              <w:right w:w="30" w:type="dxa"/>
            </w:tcMar>
            <w:vAlign w:val="bottom"/>
            <w:hideMark/>
          </w:tcPr>
          <w:p w14:paraId="640A6C02"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 </w:t>
            </w:r>
          </w:p>
        </w:tc>
        <w:tc>
          <w:tcPr>
            <w:tcW w:w="0" w:type="auto"/>
            <w:tcBorders>
              <w:top w:val="single" w:sz="6" w:space="0" w:color="000000"/>
              <w:bottom w:val="double" w:sz="6" w:space="0" w:color="000000"/>
            </w:tcBorders>
            <w:shd w:val="clear" w:color="auto" w:fill="CCEEFF"/>
            <w:tcMar>
              <w:top w:w="30" w:type="dxa"/>
              <w:left w:w="30" w:type="dxa"/>
              <w:bottom w:w="30" w:type="dxa"/>
              <w:right w:w="0" w:type="dxa"/>
            </w:tcMar>
            <w:vAlign w:val="bottom"/>
            <w:hideMark/>
          </w:tcPr>
          <w:p w14:paraId="7EDE72BF"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w:t>
            </w:r>
          </w:p>
        </w:tc>
        <w:tc>
          <w:tcPr>
            <w:tcW w:w="0" w:type="auto"/>
            <w:tcBorders>
              <w:top w:val="single" w:sz="6" w:space="0" w:color="000000"/>
              <w:bottom w:val="double" w:sz="6" w:space="0" w:color="000000"/>
            </w:tcBorders>
            <w:shd w:val="clear" w:color="auto" w:fill="CCEEFF"/>
            <w:tcMar>
              <w:top w:w="30" w:type="dxa"/>
              <w:left w:w="0" w:type="dxa"/>
              <w:bottom w:w="30" w:type="dxa"/>
              <w:right w:w="0" w:type="dxa"/>
            </w:tcMar>
            <w:vAlign w:val="bottom"/>
            <w:hideMark/>
          </w:tcPr>
          <w:p w14:paraId="36E50A6A"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2,208</w:t>
            </w:r>
          </w:p>
        </w:tc>
        <w:tc>
          <w:tcPr>
            <w:tcW w:w="0" w:type="auto"/>
            <w:tcBorders>
              <w:top w:val="single" w:sz="6" w:space="0" w:color="000000"/>
              <w:bottom w:val="double" w:sz="6" w:space="0" w:color="000000"/>
            </w:tcBorders>
            <w:shd w:val="clear" w:color="auto" w:fill="CCEEFF"/>
            <w:vAlign w:val="bottom"/>
            <w:hideMark/>
          </w:tcPr>
          <w:p w14:paraId="0BCD5642"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c>
          <w:tcPr>
            <w:tcW w:w="0" w:type="auto"/>
            <w:shd w:val="clear" w:color="auto" w:fill="CCEEFF"/>
            <w:tcMar>
              <w:top w:w="30" w:type="dxa"/>
              <w:left w:w="30" w:type="dxa"/>
              <w:bottom w:w="30" w:type="dxa"/>
              <w:right w:w="30" w:type="dxa"/>
            </w:tcMar>
            <w:vAlign w:val="bottom"/>
            <w:hideMark/>
          </w:tcPr>
          <w:p w14:paraId="5F72DBF8"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 </w:t>
            </w:r>
          </w:p>
        </w:tc>
        <w:tc>
          <w:tcPr>
            <w:tcW w:w="0" w:type="auto"/>
            <w:tcBorders>
              <w:top w:val="single" w:sz="6" w:space="0" w:color="000000"/>
              <w:bottom w:val="double" w:sz="6" w:space="0" w:color="000000"/>
            </w:tcBorders>
            <w:shd w:val="clear" w:color="auto" w:fill="CCEEFF"/>
            <w:tcMar>
              <w:top w:w="30" w:type="dxa"/>
              <w:left w:w="30" w:type="dxa"/>
              <w:bottom w:w="30" w:type="dxa"/>
              <w:right w:w="0" w:type="dxa"/>
            </w:tcMar>
            <w:vAlign w:val="bottom"/>
            <w:hideMark/>
          </w:tcPr>
          <w:p w14:paraId="546DA98F"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w:t>
            </w:r>
          </w:p>
        </w:tc>
        <w:tc>
          <w:tcPr>
            <w:tcW w:w="0" w:type="auto"/>
            <w:tcBorders>
              <w:top w:val="single" w:sz="6" w:space="0" w:color="000000"/>
              <w:bottom w:val="double" w:sz="6" w:space="0" w:color="000000"/>
            </w:tcBorders>
            <w:shd w:val="clear" w:color="auto" w:fill="CCEEFF"/>
            <w:tcMar>
              <w:top w:w="30" w:type="dxa"/>
              <w:left w:w="0" w:type="dxa"/>
              <w:bottom w:w="30" w:type="dxa"/>
              <w:right w:w="0" w:type="dxa"/>
            </w:tcMar>
            <w:vAlign w:val="bottom"/>
            <w:hideMark/>
          </w:tcPr>
          <w:p w14:paraId="0E0EC571"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r w:rsidRPr="009E3302">
              <w:rPr>
                <w:rFonts w:ascii="Times New Roman" w:eastAsia="Times New Roman" w:hAnsi="Times New Roman" w:cs="Times New Roman"/>
                <w:color w:val="000000"/>
                <w:kern w:val="0"/>
                <w:sz w:val="20"/>
                <w:szCs w:val="20"/>
                <w14:ligatures w14:val="none"/>
              </w:rPr>
              <w:t>118</w:t>
            </w:r>
          </w:p>
        </w:tc>
        <w:tc>
          <w:tcPr>
            <w:tcW w:w="0" w:type="auto"/>
            <w:tcBorders>
              <w:top w:val="single" w:sz="6" w:space="0" w:color="000000"/>
              <w:bottom w:val="double" w:sz="6" w:space="0" w:color="000000"/>
            </w:tcBorders>
            <w:shd w:val="clear" w:color="auto" w:fill="CCEEFF"/>
            <w:vAlign w:val="bottom"/>
            <w:hideMark/>
          </w:tcPr>
          <w:p w14:paraId="67B94881" w14:textId="77777777" w:rsidR="009E3302" w:rsidRPr="009E3302" w:rsidRDefault="009E3302" w:rsidP="009E3302">
            <w:pPr>
              <w:rPr>
                <w:rFonts w:ascii="Times New Roman" w:eastAsia="Times New Roman" w:hAnsi="Times New Roman" w:cs="Times New Roman"/>
                <w:color w:val="000000"/>
                <w:kern w:val="0"/>
                <w:sz w:val="20"/>
                <w:szCs w:val="20"/>
                <w14:ligatures w14:val="none"/>
              </w:rPr>
            </w:pPr>
          </w:p>
        </w:tc>
      </w:tr>
    </w:tbl>
    <w:p w14:paraId="40907D37" w14:textId="77777777" w:rsidR="00BE79F9" w:rsidRDefault="00BE79F9" w:rsidP="00BE79F9">
      <w:pPr>
        <w:rPr>
          <w:rFonts w:ascii="Times New Roman" w:eastAsia="Times New Roman" w:hAnsi="Times New Roman" w:cs="Times New Roman"/>
          <w:color w:val="000000"/>
          <w:kern w:val="0"/>
          <w:sz w:val="20"/>
          <w:szCs w:val="20"/>
          <w14:ligatures w14:val="none"/>
        </w:rPr>
      </w:pPr>
    </w:p>
    <w:p w14:paraId="1012539D" w14:textId="77777777" w:rsidR="00C85B21" w:rsidRPr="00C85B21" w:rsidRDefault="00C85B21" w:rsidP="00C85B21">
      <w:pPr>
        <w:rPr>
          <w:rFonts w:ascii="Times New Roman" w:eastAsia="Times New Roman" w:hAnsi="Times New Roman" w:cs="Times New Roman"/>
          <w:color w:val="000000"/>
          <w:kern w:val="0"/>
          <w:sz w:val="20"/>
          <w:szCs w:val="20"/>
          <w14:ligatures w14:val="none"/>
        </w:rPr>
      </w:pPr>
      <w:r w:rsidRPr="00C85B21">
        <w:rPr>
          <w:rFonts w:ascii="Times New Roman" w:eastAsia="Times New Roman" w:hAnsi="Times New Roman" w:cs="Times New Roman"/>
          <w:i/>
          <w:iCs/>
          <w:color w:val="000000"/>
          <w:kern w:val="0"/>
          <w:sz w:val="20"/>
          <w:szCs w:val="20"/>
          <w:u w:val="single"/>
          <w14:ligatures w14:val="none"/>
        </w:rPr>
        <w:t>Chapter 11 Matters</w:t>
      </w:r>
      <w:r w:rsidRPr="00C85B21">
        <w:rPr>
          <w:rFonts w:ascii="Times New Roman" w:eastAsia="Times New Roman" w:hAnsi="Times New Roman" w:cs="Times New Roman"/>
          <w:color w:val="000000"/>
          <w:kern w:val="0"/>
          <w:sz w:val="20"/>
          <w:szCs w:val="20"/>
          <w14:ligatures w14:val="none"/>
        </w:rPr>
        <w:t>    </w:t>
      </w:r>
    </w:p>
    <w:p w14:paraId="2A1E6B07" w14:textId="77777777" w:rsidR="00C85B21" w:rsidRPr="00C85B21" w:rsidRDefault="00C85B21" w:rsidP="00C85B21">
      <w:pPr>
        <w:rPr>
          <w:rFonts w:ascii="Times New Roman" w:eastAsia="Times New Roman" w:hAnsi="Times New Roman" w:cs="Times New Roman"/>
          <w:color w:val="000000"/>
          <w:kern w:val="0"/>
          <w:sz w:val="20"/>
          <w:szCs w:val="20"/>
          <w14:ligatures w14:val="none"/>
        </w:rPr>
      </w:pPr>
      <w:r w:rsidRPr="00C85B21">
        <w:rPr>
          <w:rFonts w:ascii="Times New Roman" w:eastAsia="Times New Roman" w:hAnsi="Times New Roman" w:cs="Times New Roman"/>
          <w:color w:val="000000"/>
          <w:kern w:val="0"/>
          <w:sz w:val="20"/>
          <w:szCs w:val="20"/>
          <w14:ligatures w14:val="none"/>
        </w:rPr>
        <w:t xml:space="preserve">In accordance with GAAP, the Debtors applied ASC 852 "Reorganizations" (ASC 852), in </w:t>
      </w:r>
      <w:proofErr w:type="gramStart"/>
      <w:r w:rsidRPr="00C85B21">
        <w:rPr>
          <w:rFonts w:ascii="Times New Roman" w:eastAsia="Times New Roman" w:hAnsi="Times New Roman" w:cs="Times New Roman"/>
          <w:color w:val="000000"/>
          <w:kern w:val="0"/>
          <w:sz w:val="20"/>
          <w:szCs w:val="20"/>
          <w14:ligatures w14:val="none"/>
        </w:rPr>
        <w:t>preparing</w:t>
      </w:r>
      <w:proofErr w:type="gramEnd"/>
      <w:r w:rsidRPr="00C85B21">
        <w:rPr>
          <w:rFonts w:ascii="Times New Roman" w:eastAsia="Times New Roman" w:hAnsi="Times New Roman" w:cs="Times New Roman"/>
          <w:color w:val="000000"/>
          <w:kern w:val="0"/>
          <w:sz w:val="20"/>
          <w:szCs w:val="20"/>
          <w14:ligatures w14:val="none"/>
        </w:rPr>
        <w:t xml:space="preserve"> the Consolidated Financial Statements. ASC 852 requires that the financial statements, for periods </w:t>
      </w:r>
      <w:proofErr w:type="gramStart"/>
      <w:r w:rsidRPr="00C85B21">
        <w:rPr>
          <w:rFonts w:ascii="Times New Roman" w:eastAsia="Times New Roman" w:hAnsi="Times New Roman" w:cs="Times New Roman"/>
          <w:color w:val="000000"/>
          <w:kern w:val="0"/>
          <w:sz w:val="20"/>
          <w:szCs w:val="20"/>
          <w14:ligatures w14:val="none"/>
        </w:rPr>
        <w:t>subsequent to</w:t>
      </w:r>
      <w:proofErr w:type="gramEnd"/>
      <w:r w:rsidRPr="00C85B21">
        <w:rPr>
          <w:rFonts w:ascii="Times New Roman" w:eastAsia="Times New Roman" w:hAnsi="Times New Roman" w:cs="Times New Roman"/>
          <w:color w:val="000000"/>
          <w:kern w:val="0"/>
          <w:sz w:val="20"/>
          <w:szCs w:val="20"/>
          <w14:ligatures w14:val="none"/>
        </w:rPr>
        <w:t xml:space="preserve"> the Chapter 11 Cases, distinguish transactions and events that are directly associated with the reorganization from the ongoing operations of the business. Accordingly, certain revenues, expenses (including professional fees), realized </w:t>
      </w:r>
      <w:r w:rsidRPr="00C85B21">
        <w:rPr>
          <w:rFonts w:ascii="Times New Roman" w:eastAsia="Times New Roman" w:hAnsi="Times New Roman" w:cs="Times New Roman"/>
          <w:color w:val="000000"/>
          <w:kern w:val="0"/>
          <w:sz w:val="20"/>
          <w:szCs w:val="20"/>
          <w14:ligatures w14:val="none"/>
        </w:rPr>
        <w:lastRenderedPageBreak/>
        <w:t xml:space="preserve">gains and losses and provisions for losses that are realized or incurred in the Chapter 11 Cases are recorded in Reorganization Items, Net on the accompanying Consolidated Statement of Operations. In addition, pre-petition obligations that may be impacted by the Chapter 11 reorganization process as of December 31, </w:t>
      </w:r>
      <w:proofErr w:type="gramStart"/>
      <w:r w:rsidRPr="00C85B21">
        <w:rPr>
          <w:rFonts w:ascii="Times New Roman" w:eastAsia="Times New Roman" w:hAnsi="Times New Roman" w:cs="Times New Roman"/>
          <w:color w:val="000000"/>
          <w:kern w:val="0"/>
          <w:sz w:val="20"/>
          <w:szCs w:val="20"/>
          <w14:ligatures w14:val="none"/>
        </w:rPr>
        <w:t>2012</w:t>
      </w:r>
      <w:proofErr w:type="gramEnd"/>
      <w:r w:rsidRPr="00C85B21">
        <w:rPr>
          <w:rFonts w:ascii="Times New Roman" w:eastAsia="Times New Roman" w:hAnsi="Times New Roman" w:cs="Times New Roman"/>
          <w:color w:val="000000"/>
          <w:kern w:val="0"/>
          <w:sz w:val="20"/>
          <w:szCs w:val="20"/>
          <w14:ligatures w14:val="none"/>
        </w:rPr>
        <w:t xml:space="preserve"> were classified on the Consolidated Balance Sheet in Liabilities Subject to Compromise.</w:t>
      </w:r>
    </w:p>
    <w:p w14:paraId="6BFCBFD6" w14:textId="77777777" w:rsidR="00C85B21" w:rsidRPr="00C85B21" w:rsidRDefault="00C85B21" w:rsidP="00C85B21">
      <w:pPr>
        <w:rPr>
          <w:rFonts w:ascii="Times New Roman" w:eastAsia="Times New Roman" w:hAnsi="Times New Roman" w:cs="Times New Roman"/>
          <w:color w:val="000000"/>
          <w:kern w:val="0"/>
          <w:sz w:val="20"/>
          <w:szCs w:val="20"/>
          <w14:ligatures w14:val="none"/>
        </w:rPr>
      </w:pPr>
      <w:r w:rsidRPr="00C85B21">
        <w:rPr>
          <w:rFonts w:ascii="Times New Roman" w:eastAsia="Times New Roman" w:hAnsi="Times New Roman" w:cs="Times New Roman"/>
          <w:color w:val="000000"/>
          <w:kern w:val="0"/>
          <w:sz w:val="20"/>
          <w:szCs w:val="20"/>
          <w14:ligatures w14:val="none"/>
        </w:rPr>
        <w:t>Certain of AMR's non-U.S. subsidiaries were not part of the Chapter 11 Cases. Since these non-US subsidiaries do not have significant transactions, AAG does not separately disclose the combined financial statements of such non-U.S. subsidiaries in accordance with the requirements of reorganization accounting.</w:t>
      </w:r>
    </w:p>
    <w:p w14:paraId="5A585BD8" w14:textId="77777777" w:rsidR="00C85B21" w:rsidRPr="00C85B21" w:rsidRDefault="00C85B21" w:rsidP="00C85B21">
      <w:pPr>
        <w:rPr>
          <w:rFonts w:ascii="Times New Roman" w:eastAsia="Times New Roman" w:hAnsi="Times New Roman" w:cs="Times New Roman"/>
          <w:color w:val="000000"/>
          <w:kern w:val="0"/>
          <w:sz w:val="20"/>
          <w:szCs w:val="20"/>
          <w14:ligatures w14:val="none"/>
        </w:rPr>
      </w:pPr>
      <w:r w:rsidRPr="00C85B21">
        <w:rPr>
          <w:rFonts w:ascii="Times New Roman" w:eastAsia="Times New Roman" w:hAnsi="Times New Roman" w:cs="Times New Roman"/>
          <w:color w:val="000000"/>
          <w:kern w:val="0"/>
          <w:sz w:val="20"/>
          <w:szCs w:val="20"/>
          <w14:ligatures w14:val="none"/>
        </w:rPr>
        <w:t>In accordance with ASC 852, AAG did not meet the criteria for and will not adopt "fresh start" accounting as the reorganization value of AMR's assets, as determined based upon an estimate of the fair value of AMR's equity using the trading market price of US Airways Group and the amount of post-petition liabilities as of the Effective Date was greater than total pre-petition liabilities and expected allowed claims. As a result, AAG's assets and liabilities were not adjusted to fair value.</w:t>
      </w:r>
    </w:p>
    <w:p w14:paraId="283C3DB0" w14:textId="03EB7669" w:rsidR="00B542B8" w:rsidRPr="00BE79F9" w:rsidRDefault="00B542B8" w:rsidP="00BE79F9">
      <w:pPr>
        <w:rPr>
          <w:rFonts w:ascii="Times New Roman" w:eastAsia="Times New Roman" w:hAnsi="Times New Roman" w:cs="Times New Roman"/>
          <w:color w:val="000000"/>
          <w:kern w:val="0"/>
          <w:sz w:val="20"/>
          <w:szCs w:val="20"/>
          <w14:ligatures w14:val="none"/>
        </w:rPr>
      </w:pPr>
    </w:p>
    <w:sectPr w:rsidR="00B542B8" w:rsidRPr="00BE79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CCD"/>
    <w:rsid w:val="000417E7"/>
    <w:rsid w:val="00055FF7"/>
    <w:rsid w:val="0006368A"/>
    <w:rsid w:val="000F2C5E"/>
    <w:rsid w:val="00100A9E"/>
    <w:rsid w:val="00183007"/>
    <w:rsid w:val="00191EB0"/>
    <w:rsid w:val="001A224B"/>
    <w:rsid w:val="001E221B"/>
    <w:rsid w:val="001F7A3A"/>
    <w:rsid w:val="0021301A"/>
    <w:rsid w:val="00260FDB"/>
    <w:rsid w:val="002725F3"/>
    <w:rsid w:val="002B235A"/>
    <w:rsid w:val="002B5930"/>
    <w:rsid w:val="002C20AD"/>
    <w:rsid w:val="002F43DB"/>
    <w:rsid w:val="00316A34"/>
    <w:rsid w:val="00323AC6"/>
    <w:rsid w:val="0033533B"/>
    <w:rsid w:val="003820D4"/>
    <w:rsid w:val="003B4851"/>
    <w:rsid w:val="004046C3"/>
    <w:rsid w:val="004206B8"/>
    <w:rsid w:val="00460FD0"/>
    <w:rsid w:val="00490590"/>
    <w:rsid w:val="004B1573"/>
    <w:rsid w:val="004C36DF"/>
    <w:rsid w:val="004D63D0"/>
    <w:rsid w:val="004F1F01"/>
    <w:rsid w:val="00541227"/>
    <w:rsid w:val="00542803"/>
    <w:rsid w:val="005505EC"/>
    <w:rsid w:val="00577F13"/>
    <w:rsid w:val="005864F9"/>
    <w:rsid w:val="005E3D89"/>
    <w:rsid w:val="005E3D8C"/>
    <w:rsid w:val="005E63D3"/>
    <w:rsid w:val="00611821"/>
    <w:rsid w:val="006258C5"/>
    <w:rsid w:val="00662418"/>
    <w:rsid w:val="0069098E"/>
    <w:rsid w:val="006B1E35"/>
    <w:rsid w:val="006C2223"/>
    <w:rsid w:val="00721E64"/>
    <w:rsid w:val="007A1B87"/>
    <w:rsid w:val="007A2C29"/>
    <w:rsid w:val="007B0CA0"/>
    <w:rsid w:val="007B6FAC"/>
    <w:rsid w:val="007C1679"/>
    <w:rsid w:val="008071BA"/>
    <w:rsid w:val="00817DFA"/>
    <w:rsid w:val="00845265"/>
    <w:rsid w:val="0087304A"/>
    <w:rsid w:val="008C56E5"/>
    <w:rsid w:val="008E38A8"/>
    <w:rsid w:val="00905D76"/>
    <w:rsid w:val="00906782"/>
    <w:rsid w:val="00951E91"/>
    <w:rsid w:val="00963B00"/>
    <w:rsid w:val="00984FA3"/>
    <w:rsid w:val="009B75A8"/>
    <w:rsid w:val="009C3D87"/>
    <w:rsid w:val="009E3302"/>
    <w:rsid w:val="009E6F92"/>
    <w:rsid w:val="009F5F7F"/>
    <w:rsid w:val="00A01CB8"/>
    <w:rsid w:val="00A23C44"/>
    <w:rsid w:val="00A24452"/>
    <w:rsid w:val="00A72F7B"/>
    <w:rsid w:val="00A770A8"/>
    <w:rsid w:val="00AB0BD4"/>
    <w:rsid w:val="00AE7278"/>
    <w:rsid w:val="00AF6BE1"/>
    <w:rsid w:val="00B02A64"/>
    <w:rsid w:val="00B542B8"/>
    <w:rsid w:val="00B86229"/>
    <w:rsid w:val="00BC7BAC"/>
    <w:rsid w:val="00BE79F9"/>
    <w:rsid w:val="00BF36A7"/>
    <w:rsid w:val="00C5001D"/>
    <w:rsid w:val="00C71C49"/>
    <w:rsid w:val="00C77795"/>
    <w:rsid w:val="00C85B21"/>
    <w:rsid w:val="00C97746"/>
    <w:rsid w:val="00CA373F"/>
    <w:rsid w:val="00CB3778"/>
    <w:rsid w:val="00D05C1E"/>
    <w:rsid w:val="00D30CCD"/>
    <w:rsid w:val="00D42711"/>
    <w:rsid w:val="00D65581"/>
    <w:rsid w:val="00E11720"/>
    <w:rsid w:val="00E2053F"/>
    <w:rsid w:val="00E36779"/>
    <w:rsid w:val="00E503F5"/>
    <w:rsid w:val="00E5268E"/>
    <w:rsid w:val="00E90FF5"/>
    <w:rsid w:val="00EA2677"/>
    <w:rsid w:val="00EE2DD0"/>
    <w:rsid w:val="00EF23C8"/>
    <w:rsid w:val="00EF5EC9"/>
    <w:rsid w:val="00F25F23"/>
    <w:rsid w:val="00F847A1"/>
    <w:rsid w:val="00F910A1"/>
    <w:rsid w:val="00FA5CC9"/>
    <w:rsid w:val="00FA6818"/>
    <w:rsid w:val="00FF4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21E4F"/>
  <w15:chartTrackingRefBased/>
  <w15:docId w15:val="{C26468F8-3873-4764-B188-998B714D7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35A"/>
  </w:style>
  <w:style w:type="paragraph" w:styleId="Heading1">
    <w:name w:val="heading 1"/>
    <w:basedOn w:val="Normal"/>
    <w:next w:val="Normal"/>
    <w:link w:val="Heading1Char"/>
    <w:uiPriority w:val="9"/>
    <w:qFormat/>
    <w:rsid w:val="00D30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C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C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C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CCD"/>
    <w:rPr>
      <w:rFonts w:eastAsiaTheme="majorEastAsia" w:cstheme="majorBidi"/>
      <w:color w:val="272727" w:themeColor="text1" w:themeTint="D8"/>
    </w:rPr>
  </w:style>
  <w:style w:type="paragraph" w:styleId="Title">
    <w:name w:val="Title"/>
    <w:basedOn w:val="Normal"/>
    <w:next w:val="Normal"/>
    <w:link w:val="TitleChar"/>
    <w:uiPriority w:val="10"/>
    <w:qFormat/>
    <w:rsid w:val="00D30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CCD"/>
    <w:pPr>
      <w:spacing w:before="160"/>
      <w:jc w:val="center"/>
    </w:pPr>
    <w:rPr>
      <w:i/>
      <w:iCs/>
      <w:color w:val="404040" w:themeColor="text1" w:themeTint="BF"/>
    </w:rPr>
  </w:style>
  <w:style w:type="character" w:customStyle="1" w:styleId="QuoteChar">
    <w:name w:val="Quote Char"/>
    <w:basedOn w:val="DefaultParagraphFont"/>
    <w:link w:val="Quote"/>
    <w:uiPriority w:val="29"/>
    <w:rsid w:val="00D30CCD"/>
    <w:rPr>
      <w:i/>
      <w:iCs/>
      <w:color w:val="404040" w:themeColor="text1" w:themeTint="BF"/>
    </w:rPr>
  </w:style>
  <w:style w:type="paragraph" w:styleId="ListParagraph">
    <w:name w:val="List Paragraph"/>
    <w:basedOn w:val="Normal"/>
    <w:uiPriority w:val="34"/>
    <w:qFormat/>
    <w:rsid w:val="00D30CCD"/>
    <w:pPr>
      <w:ind w:left="720"/>
      <w:contextualSpacing/>
    </w:pPr>
  </w:style>
  <w:style w:type="character" w:styleId="IntenseEmphasis">
    <w:name w:val="Intense Emphasis"/>
    <w:basedOn w:val="DefaultParagraphFont"/>
    <w:uiPriority w:val="21"/>
    <w:qFormat/>
    <w:rsid w:val="00D30CCD"/>
    <w:rPr>
      <w:i/>
      <w:iCs/>
      <w:color w:val="0F4761" w:themeColor="accent1" w:themeShade="BF"/>
    </w:rPr>
  </w:style>
  <w:style w:type="paragraph" w:styleId="IntenseQuote">
    <w:name w:val="Intense Quote"/>
    <w:basedOn w:val="Normal"/>
    <w:next w:val="Normal"/>
    <w:link w:val="IntenseQuoteChar"/>
    <w:uiPriority w:val="30"/>
    <w:qFormat/>
    <w:rsid w:val="00D30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CCD"/>
    <w:rPr>
      <w:i/>
      <w:iCs/>
      <w:color w:val="0F4761" w:themeColor="accent1" w:themeShade="BF"/>
    </w:rPr>
  </w:style>
  <w:style w:type="character" w:styleId="IntenseReference">
    <w:name w:val="Intense Reference"/>
    <w:basedOn w:val="DefaultParagraphFont"/>
    <w:uiPriority w:val="32"/>
    <w:qFormat/>
    <w:rsid w:val="00D30C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365</TotalTime>
  <Pages>2</Pages>
  <Words>487</Words>
  <Characters>2779</Characters>
  <Application>Microsoft Office Word</Application>
  <DocSecurity>0</DocSecurity>
  <Lines>23</Lines>
  <Paragraphs>6</Paragraphs>
  <ScaleCrop>false</ScaleCrop>
  <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Tan</dc:creator>
  <cp:keywords/>
  <dc:description/>
  <cp:lastModifiedBy>Bruce Tan</cp:lastModifiedBy>
  <cp:revision>92</cp:revision>
  <dcterms:created xsi:type="dcterms:W3CDTF">2025-09-26T22:30:00Z</dcterms:created>
  <dcterms:modified xsi:type="dcterms:W3CDTF">2026-02-06T05:11:00Z</dcterms:modified>
</cp:coreProperties>
</file>