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D559" w14:textId="701E3EB5" w:rsidR="00131255" w:rsidRDefault="009B1F57" w:rsidP="00EE1B05">
      <w:pPr>
        <w:rPr>
          <w:rFonts w:ascii="Times New Roman" w:hAnsi="Times New Roman" w:cs="Times New Roman"/>
          <w:sz w:val="20"/>
          <w:szCs w:val="20"/>
        </w:rPr>
      </w:pPr>
      <w:r w:rsidRPr="009B1F57">
        <w:rPr>
          <w:rFonts w:ascii="Times New Roman" w:hAnsi="Times New Roman" w:cs="Times New Roman"/>
          <w:sz w:val="20"/>
          <w:szCs w:val="20"/>
        </w:rPr>
        <w:t>In 2011, Abbott announced a plan to separate into two publicly traded companies, one in diversified medical products and the other in research-based pharmaceuticals. To accomplish the separation, Abbott plans to create a new company for its research-based pharmaceuticals business which will include Abbott's Proprietary Pharmaceutical Products segment.</w:t>
      </w:r>
    </w:p>
    <w:p w14:paraId="09D8EB6C" w14:textId="54F13610" w:rsidR="00BD3271" w:rsidRDefault="00BD3271" w:rsidP="00BD3271">
      <w:pPr>
        <w:rPr>
          <w:rFonts w:ascii="Times New Roman" w:hAnsi="Times New Roman" w:cs="Times New Roman"/>
          <w:sz w:val="20"/>
          <w:szCs w:val="20"/>
        </w:rPr>
      </w:pPr>
      <w:r w:rsidRPr="00BD3271">
        <w:rPr>
          <w:rFonts w:ascii="Times New Roman" w:hAnsi="Times New Roman" w:cs="Times New Roman"/>
          <w:sz w:val="20"/>
          <w:szCs w:val="20"/>
        </w:rPr>
        <w:t>In February 2010, Abbott acquired Solvay Pharmaceuticals which provided Abbott with a large and complementary portfolio of pharmaceutical products and expanded Abbott's presence in key global emerging markets. The acquisition added approximately $3.1 billion to Abbott's 2010 total sales, primarily outside the U.S. In September 2010, Abbott completed the acquisition of Piramal's Healthcare Solutions business, propelling Abbott to market leadership in the Indian pharmaceutical market and further accelerating the company's growth in emerging markets. In 2011 and 2010, Abbott recorded approximately $345 million and $710 million, respectively, of expense related to the integration of the Solvay business and</w:t>
      </w:r>
      <w:r>
        <w:rPr>
          <w:rFonts w:ascii="Times New Roman" w:hAnsi="Times New Roman" w:cs="Times New Roman"/>
          <w:sz w:val="20"/>
          <w:szCs w:val="20"/>
        </w:rPr>
        <w:t xml:space="preserve"> </w:t>
      </w:r>
      <w:r w:rsidRPr="00BD3271">
        <w:rPr>
          <w:rFonts w:ascii="Times New Roman" w:hAnsi="Times New Roman" w:cs="Times New Roman"/>
          <w:sz w:val="20"/>
          <w:szCs w:val="20"/>
        </w:rPr>
        <w:t>a restructuring plan announced in September 2010 to streamline operations, improve efficiencies and reduce costs primarily in certain Solvay sites and functions. The restructuring plan is further described below. In 2011, Abbott recorded a litigation charge of $1.5 billion related to ongoing settlement discussions in the U.S. government's investigation related to </w:t>
      </w:r>
      <w:r w:rsidRPr="00BD3271">
        <w:rPr>
          <w:rFonts w:ascii="Times New Roman" w:hAnsi="Times New Roman" w:cs="Times New Roman"/>
          <w:i/>
          <w:iCs/>
          <w:sz w:val="20"/>
          <w:szCs w:val="20"/>
        </w:rPr>
        <w:t>Depakote</w:t>
      </w:r>
      <w:r w:rsidRPr="00BD3271">
        <w:rPr>
          <w:rFonts w:ascii="Times New Roman" w:hAnsi="Times New Roman" w:cs="Times New Roman"/>
          <w:sz w:val="20"/>
          <w:szCs w:val="20"/>
        </w:rPr>
        <w:t>.</w:t>
      </w:r>
    </w:p>
    <w:p w14:paraId="5D4A19AC" w14:textId="77777777" w:rsidR="00465FA0" w:rsidRDefault="00465FA0" w:rsidP="00BD3271">
      <w:pPr>
        <w:rPr>
          <w:rFonts w:ascii="Times New Roman" w:hAnsi="Times New Roman" w:cs="Times New Roman"/>
          <w:sz w:val="20"/>
          <w:szCs w:val="20"/>
        </w:rPr>
      </w:pPr>
    </w:p>
    <w:p w14:paraId="562CC83D"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xml:space="preserve"> In 2011 and prior years, Abbott management approved plans to realign its worldwide pharmaceutical and vascular manufacturing operations and selected domestic and international commercial and research and development operations </w:t>
      </w:r>
      <w:proofErr w:type="gramStart"/>
      <w:r w:rsidRPr="00465FA0">
        <w:rPr>
          <w:rFonts w:ascii="Times New Roman" w:hAnsi="Times New Roman" w:cs="Times New Roman"/>
          <w:sz w:val="20"/>
          <w:szCs w:val="20"/>
        </w:rPr>
        <w:t>in order to</w:t>
      </w:r>
      <w:proofErr w:type="gramEnd"/>
      <w:r w:rsidRPr="00465FA0">
        <w:rPr>
          <w:rFonts w:ascii="Times New Roman" w:hAnsi="Times New Roman" w:cs="Times New Roman"/>
          <w:sz w:val="20"/>
          <w:szCs w:val="20"/>
        </w:rPr>
        <w:t xml:space="preserve"> reduce costs. In 2011, 2010 and 2009, Abbott recorded charges of approximately $194 million, $56 million and $114 million, respectively, reflecting the impairment of manufacturing facilities and other assets, employee severance and other related charges. Approximately $76 million in 2011 is classified as Cost of products sold, $69 million as Research and development and $49 million as Selling, general and administrative. Approximately $56 million in 2010 is classified as Cost of products sold and $114 million in 2009 as Selling, general and administrative. The following summarizes the activity for these restructurings: </w:t>
      </w:r>
      <w:r w:rsidRPr="00465FA0">
        <w:rPr>
          <w:rFonts w:ascii="Times New Roman" w:hAnsi="Times New Roman" w:cs="Times New Roman"/>
          <w:i/>
          <w:iCs/>
          <w:sz w:val="20"/>
          <w:szCs w:val="20"/>
        </w:rPr>
        <w:t>(dollars in millions)</w:t>
      </w:r>
    </w:p>
    <w:tbl>
      <w:tblPr>
        <w:tblW w:w="5000" w:type="pct"/>
        <w:jc w:val="center"/>
        <w:tblCellSpacing w:w="0" w:type="dxa"/>
        <w:tblCellMar>
          <w:left w:w="0" w:type="dxa"/>
          <w:right w:w="0" w:type="dxa"/>
        </w:tblCellMar>
        <w:tblLook w:val="04A0" w:firstRow="1" w:lastRow="0" w:firstColumn="1" w:lastColumn="0" w:noHBand="0" w:noVBand="1"/>
      </w:tblPr>
      <w:tblGrid>
        <w:gridCol w:w="3683"/>
        <w:gridCol w:w="486"/>
        <w:gridCol w:w="972"/>
        <w:gridCol w:w="3568"/>
        <w:gridCol w:w="651"/>
      </w:tblGrid>
      <w:tr w:rsidR="00465FA0" w:rsidRPr="00465FA0" w14:paraId="10148B86" w14:textId="77777777">
        <w:trPr>
          <w:tblCellSpacing w:w="0" w:type="dxa"/>
          <w:jc w:val="center"/>
        </w:trPr>
        <w:tc>
          <w:tcPr>
            <w:tcW w:w="6" w:type="dxa"/>
            <w:vAlign w:val="center"/>
            <w:hideMark/>
          </w:tcPr>
          <w:p w14:paraId="0F0AABFF" w14:textId="77777777" w:rsidR="00465FA0" w:rsidRPr="00465FA0" w:rsidRDefault="00465FA0" w:rsidP="00465FA0">
            <w:pPr>
              <w:rPr>
                <w:rFonts w:ascii="Times New Roman" w:hAnsi="Times New Roman" w:cs="Times New Roman"/>
                <w:sz w:val="20"/>
                <w:szCs w:val="20"/>
              </w:rPr>
            </w:pPr>
          </w:p>
        </w:tc>
        <w:tc>
          <w:tcPr>
            <w:tcW w:w="0" w:type="auto"/>
            <w:vAlign w:val="center"/>
            <w:hideMark/>
          </w:tcPr>
          <w:p w14:paraId="27751554" w14:textId="77777777" w:rsidR="00465FA0" w:rsidRPr="00465FA0" w:rsidRDefault="00465FA0" w:rsidP="00465FA0">
            <w:pPr>
              <w:rPr>
                <w:rFonts w:ascii="Times New Roman" w:hAnsi="Times New Roman" w:cs="Times New Roman"/>
                <w:sz w:val="20"/>
                <w:szCs w:val="20"/>
              </w:rPr>
            </w:pPr>
          </w:p>
        </w:tc>
        <w:tc>
          <w:tcPr>
            <w:tcW w:w="0" w:type="auto"/>
            <w:vAlign w:val="center"/>
            <w:hideMark/>
          </w:tcPr>
          <w:p w14:paraId="51BFFA20" w14:textId="77777777" w:rsidR="00465FA0" w:rsidRPr="00465FA0" w:rsidRDefault="00465FA0" w:rsidP="00465FA0">
            <w:pPr>
              <w:rPr>
                <w:rFonts w:ascii="Times New Roman" w:hAnsi="Times New Roman" w:cs="Times New Roman"/>
                <w:sz w:val="20"/>
                <w:szCs w:val="20"/>
              </w:rPr>
            </w:pPr>
          </w:p>
        </w:tc>
        <w:tc>
          <w:tcPr>
            <w:tcW w:w="0" w:type="auto"/>
            <w:vAlign w:val="center"/>
            <w:hideMark/>
          </w:tcPr>
          <w:p w14:paraId="4CEB89D2" w14:textId="77777777" w:rsidR="00465FA0" w:rsidRPr="00465FA0" w:rsidRDefault="00465FA0" w:rsidP="00465FA0">
            <w:pPr>
              <w:rPr>
                <w:rFonts w:ascii="Times New Roman" w:hAnsi="Times New Roman" w:cs="Times New Roman"/>
                <w:sz w:val="20"/>
                <w:szCs w:val="20"/>
              </w:rPr>
            </w:pPr>
          </w:p>
        </w:tc>
        <w:tc>
          <w:tcPr>
            <w:tcW w:w="0" w:type="auto"/>
            <w:vAlign w:val="center"/>
            <w:hideMark/>
          </w:tcPr>
          <w:p w14:paraId="03132239" w14:textId="77777777" w:rsidR="00465FA0" w:rsidRPr="00465FA0" w:rsidRDefault="00465FA0" w:rsidP="00465FA0">
            <w:pPr>
              <w:rPr>
                <w:rFonts w:ascii="Times New Roman" w:hAnsi="Times New Roman" w:cs="Times New Roman"/>
                <w:sz w:val="20"/>
                <w:szCs w:val="20"/>
              </w:rPr>
            </w:pPr>
          </w:p>
        </w:tc>
      </w:tr>
      <w:tr w:rsidR="00465FA0" w:rsidRPr="00465FA0" w14:paraId="3362D14B" w14:textId="77777777">
        <w:trPr>
          <w:tblCellSpacing w:w="0" w:type="dxa"/>
          <w:jc w:val="center"/>
        </w:trPr>
        <w:tc>
          <w:tcPr>
            <w:tcW w:w="0" w:type="auto"/>
            <w:shd w:val="clear" w:color="auto" w:fill="CCEEFF"/>
            <w:vAlign w:val="bottom"/>
            <w:hideMark/>
          </w:tcPr>
          <w:p w14:paraId="7F394A9A"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xml:space="preserve">Accrued balance </w:t>
            </w:r>
            <w:proofErr w:type="gramStart"/>
            <w:r w:rsidRPr="00465FA0">
              <w:rPr>
                <w:rFonts w:ascii="Times New Roman" w:hAnsi="Times New Roman" w:cs="Times New Roman"/>
                <w:sz w:val="20"/>
                <w:szCs w:val="20"/>
              </w:rPr>
              <w:t>at</w:t>
            </w:r>
            <w:proofErr w:type="gramEnd"/>
            <w:r w:rsidRPr="00465FA0">
              <w:rPr>
                <w:rFonts w:ascii="Times New Roman" w:hAnsi="Times New Roman" w:cs="Times New Roman"/>
                <w:sz w:val="20"/>
                <w:szCs w:val="20"/>
              </w:rPr>
              <w:t xml:space="preserve"> January 1, 2009</w:t>
            </w:r>
          </w:p>
        </w:tc>
        <w:tc>
          <w:tcPr>
            <w:tcW w:w="0" w:type="auto"/>
            <w:shd w:val="clear" w:color="auto" w:fill="CCEEFF"/>
            <w:vAlign w:val="bottom"/>
            <w:hideMark/>
          </w:tcPr>
          <w:p w14:paraId="53EFEC42"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364772A0"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w:t>
            </w:r>
          </w:p>
        </w:tc>
        <w:tc>
          <w:tcPr>
            <w:tcW w:w="0" w:type="auto"/>
            <w:shd w:val="clear" w:color="auto" w:fill="CCEEFF"/>
            <w:vAlign w:val="bottom"/>
            <w:hideMark/>
          </w:tcPr>
          <w:p w14:paraId="6E05250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105</w:t>
            </w:r>
          </w:p>
        </w:tc>
        <w:tc>
          <w:tcPr>
            <w:tcW w:w="0" w:type="auto"/>
            <w:shd w:val="clear" w:color="auto" w:fill="CCEEFF"/>
            <w:vAlign w:val="bottom"/>
            <w:hideMark/>
          </w:tcPr>
          <w:p w14:paraId="5669C977"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4D084A72" w14:textId="77777777">
        <w:trPr>
          <w:tblCellSpacing w:w="0" w:type="dxa"/>
          <w:jc w:val="center"/>
        </w:trPr>
        <w:tc>
          <w:tcPr>
            <w:tcW w:w="0" w:type="auto"/>
            <w:shd w:val="clear" w:color="auto" w:fill="FFFFFF"/>
            <w:vAlign w:val="bottom"/>
            <w:hideMark/>
          </w:tcPr>
          <w:p w14:paraId="7103F5C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2009 restructuring charges</w:t>
            </w:r>
          </w:p>
        </w:tc>
        <w:tc>
          <w:tcPr>
            <w:tcW w:w="0" w:type="auto"/>
            <w:shd w:val="clear" w:color="auto" w:fill="FFFFFF"/>
            <w:vAlign w:val="bottom"/>
            <w:hideMark/>
          </w:tcPr>
          <w:p w14:paraId="3FF88A5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3CE0FF1B"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1EA7892D"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114</w:t>
            </w:r>
          </w:p>
        </w:tc>
        <w:tc>
          <w:tcPr>
            <w:tcW w:w="0" w:type="auto"/>
            <w:shd w:val="clear" w:color="auto" w:fill="FFFFFF"/>
            <w:vAlign w:val="bottom"/>
            <w:hideMark/>
          </w:tcPr>
          <w:p w14:paraId="1C46391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56F40D7B" w14:textId="77777777">
        <w:trPr>
          <w:tblCellSpacing w:w="0" w:type="dxa"/>
          <w:jc w:val="center"/>
        </w:trPr>
        <w:tc>
          <w:tcPr>
            <w:tcW w:w="0" w:type="auto"/>
            <w:shd w:val="clear" w:color="auto" w:fill="CCEEFF"/>
            <w:vAlign w:val="bottom"/>
            <w:hideMark/>
          </w:tcPr>
          <w:p w14:paraId="521CC84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Payments, impairments and other adjustments</w:t>
            </w:r>
          </w:p>
        </w:tc>
        <w:tc>
          <w:tcPr>
            <w:tcW w:w="0" w:type="auto"/>
            <w:shd w:val="clear" w:color="auto" w:fill="CCEEFF"/>
            <w:vAlign w:val="bottom"/>
            <w:hideMark/>
          </w:tcPr>
          <w:p w14:paraId="353B8BC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486F3307"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6D05818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(74</w:t>
            </w:r>
          </w:p>
        </w:tc>
        <w:tc>
          <w:tcPr>
            <w:tcW w:w="0" w:type="auto"/>
            <w:shd w:val="clear" w:color="auto" w:fill="CCEEFF"/>
            <w:vAlign w:val="bottom"/>
            <w:hideMark/>
          </w:tcPr>
          <w:p w14:paraId="0747577D"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w:t>
            </w:r>
          </w:p>
        </w:tc>
      </w:tr>
      <w:tr w:rsidR="00465FA0" w:rsidRPr="00465FA0" w14:paraId="7148C58E" w14:textId="77777777">
        <w:trPr>
          <w:tblCellSpacing w:w="0" w:type="dxa"/>
          <w:jc w:val="center"/>
        </w:trPr>
        <w:tc>
          <w:tcPr>
            <w:tcW w:w="0" w:type="auto"/>
            <w:vAlign w:val="bottom"/>
            <w:hideMark/>
          </w:tcPr>
          <w:p w14:paraId="6BB614ED"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434DC1DB"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gridSpan w:val="2"/>
            <w:tcBorders>
              <w:bottom w:val="single" w:sz="8" w:space="0" w:color="000000"/>
            </w:tcBorders>
            <w:vAlign w:val="bottom"/>
            <w:hideMark/>
          </w:tcPr>
          <w:p w14:paraId="1912CED8"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0195F79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3D5D9E03" w14:textId="77777777">
        <w:trPr>
          <w:tblCellSpacing w:w="0" w:type="dxa"/>
          <w:jc w:val="center"/>
        </w:trPr>
        <w:tc>
          <w:tcPr>
            <w:tcW w:w="0" w:type="auto"/>
            <w:shd w:val="clear" w:color="auto" w:fill="FFFFFF"/>
            <w:vAlign w:val="bottom"/>
            <w:hideMark/>
          </w:tcPr>
          <w:p w14:paraId="0FCFC70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xml:space="preserve">Accrued balance </w:t>
            </w:r>
            <w:proofErr w:type="gramStart"/>
            <w:r w:rsidRPr="00465FA0">
              <w:rPr>
                <w:rFonts w:ascii="Times New Roman" w:hAnsi="Times New Roman" w:cs="Times New Roman"/>
                <w:sz w:val="20"/>
                <w:szCs w:val="20"/>
              </w:rPr>
              <w:t>at</w:t>
            </w:r>
            <w:proofErr w:type="gramEnd"/>
            <w:r w:rsidRPr="00465FA0">
              <w:rPr>
                <w:rFonts w:ascii="Times New Roman" w:hAnsi="Times New Roman" w:cs="Times New Roman"/>
                <w:sz w:val="20"/>
                <w:szCs w:val="20"/>
              </w:rPr>
              <w:t xml:space="preserve"> December 31, 2009</w:t>
            </w:r>
          </w:p>
        </w:tc>
        <w:tc>
          <w:tcPr>
            <w:tcW w:w="0" w:type="auto"/>
            <w:shd w:val="clear" w:color="auto" w:fill="FFFFFF"/>
            <w:vAlign w:val="bottom"/>
            <w:hideMark/>
          </w:tcPr>
          <w:p w14:paraId="3113593F"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4E53897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75CDBAA6"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145</w:t>
            </w:r>
          </w:p>
        </w:tc>
        <w:tc>
          <w:tcPr>
            <w:tcW w:w="0" w:type="auto"/>
            <w:shd w:val="clear" w:color="auto" w:fill="FFFFFF"/>
            <w:vAlign w:val="bottom"/>
            <w:hideMark/>
          </w:tcPr>
          <w:p w14:paraId="707E6E62"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54ADCC34" w14:textId="77777777">
        <w:trPr>
          <w:tblCellSpacing w:w="0" w:type="dxa"/>
          <w:jc w:val="center"/>
        </w:trPr>
        <w:tc>
          <w:tcPr>
            <w:tcW w:w="0" w:type="auto"/>
            <w:shd w:val="clear" w:color="auto" w:fill="CCEEFF"/>
            <w:vAlign w:val="bottom"/>
            <w:hideMark/>
          </w:tcPr>
          <w:p w14:paraId="4B83AF08"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2010 restructuring charges</w:t>
            </w:r>
          </w:p>
        </w:tc>
        <w:tc>
          <w:tcPr>
            <w:tcW w:w="0" w:type="auto"/>
            <w:shd w:val="clear" w:color="auto" w:fill="CCEEFF"/>
            <w:vAlign w:val="bottom"/>
            <w:hideMark/>
          </w:tcPr>
          <w:p w14:paraId="15DEACD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1A9A3D6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2A335FB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56</w:t>
            </w:r>
          </w:p>
        </w:tc>
        <w:tc>
          <w:tcPr>
            <w:tcW w:w="0" w:type="auto"/>
            <w:shd w:val="clear" w:color="auto" w:fill="CCEEFF"/>
            <w:vAlign w:val="bottom"/>
            <w:hideMark/>
          </w:tcPr>
          <w:p w14:paraId="0FEB65D1"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5516F540" w14:textId="77777777">
        <w:trPr>
          <w:tblCellSpacing w:w="0" w:type="dxa"/>
          <w:jc w:val="center"/>
        </w:trPr>
        <w:tc>
          <w:tcPr>
            <w:tcW w:w="0" w:type="auto"/>
            <w:shd w:val="clear" w:color="auto" w:fill="FFFFFF"/>
            <w:vAlign w:val="bottom"/>
            <w:hideMark/>
          </w:tcPr>
          <w:p w14:paraId="2A7FD97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Payments, impairments and other adjustments</w:t>
            </w:r>
          </w:p>
        </w:tc>
        <w:tc>
          <w:tcPr>
            <w:tcW w:w="0" w:type="auto"/>
            <w:shd w:val="clear" w:color="auto" w:fill="FFFFFF"/>
            <w:vAlign w:val="bottom"/>
            <w:hideMark/>
          </w:tcPr>
          <w:p w14:paraId="05C62CEF"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1EB66E9F"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57BE7A2A"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(124</w:t>
            </w:r>
          </w:p>
        </w:tc>
        <w:tc>
          <w:tcPr>
            <w:tcW w:w="0" w:type="auto"/>
            <w:shd w:val="clear" w:color="auto" w:fill="FFFFFF"/>
            <w:vAlign w:val="bottom"/>
            <w:hideMark/>
          </w:tcPr>
          <w:p w14:paraId="41618422"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w:t>
            </w:r>
          </w:p>
        </w:tc>
      </w:tr>
      <w:tr w:rsidR="00465FA0" w:rsidRPr="00465FA0" w14:paraId="0FC06859" w14:textId="77777777">
        <w:trPr>
          <w:tblCellSpacing w:w="0" w:type="dxa"/>
          <w:jc w:val="center"/>
        </w:trPr>
        <w:tc>
          <w:tcPr>
            <w:tcW w:w="0" w:type="auto"/>
            <w:vAlign w:val="bottom"/>
            <w:hideMark/>
          </w:tcPr>
          <w:p w14:paraId="6CCB7D7A"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55999A5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gridSpan w:val="2"/>
            <w:tcBorders>
              <w:bottom w:val="single" w:sz="8" w:space="0" w:color="000000"/>
            </w:tcBorders>
            <w:vAlign w:val="bottom"/>
            <w:hideMark/>
          </w:tcPr>
          <w:p w14:paraId="00C3FB78"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7992CC9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152A124D" w14:textId="77777777">
        <w:trPr>
          <w:tblCellSpacing w:w="0" w:type="dxa"/>
          <w:jc w:val="center"/>
        </w:trPr>
        <w:tc>
          <w:tcPr>
            <w:tcW w:w="0" w:type="auto"/>
            <w:shd w:val="clear" w:color="auto" w:fill="CCEEFF"/>
            <w:vAlign w:val="bottom"/>
            <w:hideMark/>
          </w:tcPr>
          <w:p w14:paraId="636FDE18"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xml:space="preserve">Accrued balance </w:t>
            </w:r>
            <w:proofErr w:type="gramStart"/>
            <w:r w:rsidRPr="00465FA0">
              <w:rPr>
                <w:rFonts w:ascii="Times New Roman" w:hAnsi="Times New Roman" w:cs="Times New Roman"/>
                <w:sz w:val="20"/>
                <w:szCs w:val="20"/>
              </w:rPr>
              <w:t>at</w:t>
            </w:r>
            <w:proofErr w:type="gramEnd"/>
            <w:r w:rsidRPr="00465FA0">
              <w:rPr>
                <w:rFonts w:ascii="Times New Roman" w:hAnsi="Times New Roman" w:cs="Times New Roman"/>
                <w:sz w:val="20"/>
                <w:szCs w:val="20"/>
              </w:rPr>
              <w:t xml:space="preserve"> December 31, 2010</w:t>
            </w:r>
          </w:p>
        </w:tc>
        <w:tc>
          <w:tcPr>
            <w:tcW w:w="0" w:type="auto"/>
            <w:shd w:val="clear" w:color="auto" w:fill="CCEEFF"/>
            <w:vAlign w:val="bottom"/>
            <w:hideMark/>
          </w:tcPr>
          <w:p w14:paraId="55A82EA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3012F17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61C66DE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77</w:t>
            </w:r>
          </w:p>
        </w:tc>
        <w:tc>
          <w:tcPr>
            <w:tcW w:w="0" w:type="auto"/>
            <w:shd w:val="clear" w:color="auto" w:fill="CCEEFF"/>
            <w:vAlign w:val="bottom"/>
            <w:hideMark/>
          </w:tcPr>
          <w:p w14:paraId="1472DA36"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07FE6B0C" w14:textId="77777777">
        <w:trPr>
          <w:tblCellSpacing w:w="0" w:type="dxa"/>
          <w:jc w:val="center"/>
        </w:trPr>
        <w:tc>
          <w:tcPr>
            <w:tcW w:w="0" w:type="auto"/>
            <w:shd w:val="clear" w:color="auto" w:fill="FFFFFF"/>
            <w:vAlign w:val="bottom"/>
            <w:hideMark/>
          </w:tcPr>
          <w:p w14:paraId="0A0CCEC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2011 restructuring charges</w:t>
            </w:r>
          </w:p>
        </w:tc>
        <w:tc>
          <w:tcPr>
            <w:tcW w:w="0" w:type="auto"/>
            <w:shd w:val="clear" w:color="auto" w:fill="FFFFFF"/>
            <w:vAlign w:val="bottom"/>
            <w:hideMark/>
          </w:tcPr>
          <w:p w14:paraId="28660BC7"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6DDE967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0F3EACB8"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194</w:t>
            </w:r>
          </w:p>
        </w:tc>
        <w:tc>
          <w:tcPr>
            <w:tcW w:w="0" w:type="auto"/>
            <w:shd w:val="clear" w:color="auto" w:fill="FFFFFF"/>
            <w:vAlign w:val="bottom"/>
            <w:hideMark/>
          </w:tcPr>
          <w:p w14:paraId="7274DAE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4D5D80B9" w14:textId="77777777">
        <w:trPr>
          <w:tblCellSpacing w:w="0" w:type="dxa"/>
          <w:jc w:val="center"/>
        </w:trPr>
        <w:tc>
          <w:tcPr>
            <w:tcW w:w="0" w:type="auto"/>
            <w:shd w:val="clear" w:color="auto" w:fill="CCEEFF"/>
            <w:vAlign w:val="bottom"/>
            <w:hideMark/>
          </w:tcPr>
          <w:p w14:paraId="465D558B"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Payments and other adjustments</w:t>
            </w:r>
          </w:p>
        </w:tc>
        <w:tc>
          <w:tcPr>
            <w:tcW w:w="0" w:type="auto"/>
            <w:shd w:val="clear" w:color="auto" w:fill="CCEEFF"/>
            <w:vAlign w:val="bottom"/>
            <w:hideMark/>
          </w:tcPr>
          <w:p w14:paraId="05A79974"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09B6B67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CCEEFF"/>
            <w:vAlign w:val="bottom"/>
            <w:hideMark/>
          </w:tcPr>
          <w:p w14:paraId="41826CA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(94</w:t>
            </w:r>
          </w:p>
        </w:tc>
        <w:tc>
          <w:tcPr>
            <w:tcW w:w="0" w:type="auto"/>
            <w:shd w:val="clear" w:color="auto" w:fill="CCEEFF"/>
            <w:vAlign w:val="bottom"/>
            <w:hideMark/>
          </w:tcPr>
          <w:p w14:paraId="438E83A7"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w:t>
            </w:r>
          </w:p>
        </w:tc>
      </w:tr>
      <w:tr w:rsidR="00465FA0" w:rsidRPr="00465FA0" w14:paraId="262535DA" w14:textId="77777777">
        <w:trPr>
          <w:tblCellSpacing w:w="0" w:type="dxa"/>
          <w:jc w:val="center"/>
        </w:trPr>
        <w:tc>
          <w:tcPr>
            <w:tcW w:w="0" w:type="auto"/>
            <w:vAlign w:val="bottom"/>
            <w:hideMark/>
          </w:tcPr>
          <w:p w14:paraId="172017F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45453C7F"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gridSpan w:val="2"/>
            <w:tcBorders>
              <w:bottom w:val="single" w:sz="8" w:space="0" w:color="000000"/>
            </w:tcBorders>
            <w:vAlign w:val="bottom"/>
            <w:hideMark/>
          </w:tcPr>
          <w:p w14:paraId="0C2EAA15"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753FA837"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11A2B413" w14:textId="77777777">
        <w:trPr>
          <w:tblCellSpacing w:w="0" w:type="dxa"/>
          <w:jc w:val="center"/>
        </w:trPr>
        <w:tc>
          <w:tcPr>
            <w:tcW w:w="0" w:type="auto"/>
            <w:shd w:val="clear" w:color="auto" w:fill="FFFFFF"/>
            <w:vAlign w:val="bottom"/>
            <w:hideMark/>
          </w:tcPr>
          <w:p w14:paraId="7C8FA703"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xml:space="preserve">Accrued balance </w:t>
            </w:r>
            <w:proofErr w:type="gramStart"/>
            <w:r w:rsidRPr="00465FA0">
              <w:rPr>
                <w:rFonts w:ascii="Times New Roman" w:hAnsi="Times New Roman" w:cs="Times New Roman"/>
                <w:sz w:val="20"/>
                <w:szCs w:val="20"/>
              </w:rPr>
              <w:t>at</w:t>
            </w:r>
            <w:proofErr w:type="gramEnd"/>
            <w:r w:rsidRPr="00465FA0">
              <w:rPr>
                <w:rFonts w:ascii="Times New Roman" w:hAnsi="Times New Roman" w:cs="Times New Roman"/>
                <w:sz w:val="20"/>
                <w:szCs w:val="20"/>
              </w:rPr>
              <w:t xml:space="preserve"> December 31, 2011</w:t>
            </w:r>
          </w:p>
        </w:tc>
        <w:tc>
          <w:tcPr>
            <w:tcW w:w="0" w:type="auto"/>
            <w:shd w:val="clear" w:color="auto" w:fill="FFFFFF"/>
            <w:vAlign w:val="bottom"/>
            <w:hideMark/>
          </w:tcPr>
          <w:p w14:paraId="2E070E7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shd w:val="clear" w:color="auto" w:fill="FFFFFF"/>
            <w:vAlign w:val="bottom"/>
            <w:hideMark/>
          </w:tcPr>
          <w:p w14:paraId="5FC37034"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w:t>
            </w:r>
          </w:p>
        </w:tc>
        <w:tc>
          <w:tcPr>
            <w:tcW w:w="0" w:type="auto"/>
            <w:shd w:val="clear" w:color="auto" w:fill="FFFFFF"/>
            <w:vAlign w:val="bottom"/>
            <w:hideMark/>
          </w:tcPr>
          <w:p w14:paraId="67B46DD4"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177</w:t>
            </w:r>
          </w:p>
        </w:tc>
        <w:tc>
          <w:tcPr>
            <w:tcW w:w="0" w:type="auto"/>
            <w:shd w:val="clear" w:color="auto" w:fill="FFFFFF"/>
            <w:vAlign w:val="bottom"/>
            <w:hideMark/>
          </w:tcPr>
          <w:p w14:paraId="0FE6504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r w:rsidR="00465FA0" w:rsidRPr="00465FA0" w14:paraId="0BE435FE" w14:textId="77777777">
        <w:trPr>
          <w:tblCellSpacing w:w="0" w:type="dxa"/>
          <w:jc w:val="center"/>
        </w:trPr>
        <w:tc>
          <w:tcPr>
            <w:tcW w:w="0" w:type="auto"/>
            <w:vAlign w:val="bottom"/>
            <w:hideMark/>
          </w:tcPr>
          <w:p w14:paraId="29E2EF2E"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01FE8CFC"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gridSpan w:val="2"/>
            <w:tcBorders>
              <w:bottom w:val="double" w:sz="6" w:space="0" w:color="000000"/>
            </w:tcBorders>
            <w:vAlign w:val="bottom"/>
            <w:hideMark/>
          </w:tcPr>
          <w:p w14:paraId="1D7347C9"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c>
          <w:tcPr>
            <w:tcW w:w="0" w:type="auto"/>
            <w:vAlign w:val="bottom"/>
            <w:hideMark/>
          </w:tcPr>
          <w:p w14:paraId="6A95B240" w14:textId="77777777" w:rsidR="00465FA0" w:rsidRPr="00465FA0" w:rsidRDefault="00465FA0" w:rsidP="00465FA0">
            <w:pPr>
              <w:rPr>
                <w:rFonts w:ascii="Times New Roman" w:hAnsi="Times New Roman" w:cs="Times New Roman"/>
                <w:sz w:val="20"/>
                <w:szCs w:val="20"/>
              </w:rPr>
            </w:pPr>
            <w:r w:rsidRPr="00465FA0">
              <w:rPr>
                <w:rFonts w:ascii="Times New Roman" w:hAnsi="Times New Roman" w:cs="Times New Roman"/>
                <w:sz w:val="20"/>
                <w:szCs w:val="20"/>
              </w:rPr>
              <w:t> </w:t>
            </w:r>
          </w:p>
        </w:tc>
      </w:tr>
    </w:tbl>
    <w:p w14:paraId="4FDA136F" w14:textId="77777777" w:rsidR="00465FA0" w:rsidRPr="00BD3271" w:rsidRDefault="00465FA0" w:rsidP="00BD3271">
      <w:pPr>
        <w:rPr>
          <w:rFonts w:ascii="Times New Roman" w:hAnsi="Times New Roman" w:cs="Times New Roman"/>
          <w:sz w:val="20"/>
          <w:szCs w:val="20"/>
        </w:rPr>
      </w:pPr>
    </w:p>
    <w:p w14:paraId="08B5D031" w14:textId="77777777" w:rsidR="009B1F57" w:rsidRDefault="009B1F57" w:rsidP="00EE1B05">
      <w:pPr>
        <w:rPr>
          <w:rFonts w:ascii="Times New Roman" w:hAnsi="Times New Roman" w:cs="Times New Roman"/>
          <w:sz w:val="20"/>
          <w:szCs w:val="20"/>
        </w:rPr>
      </w:pPr>
    </w:p>
    <w:p w14:paraId="78EA31B1" w14:textId="77777777" w:rsidR="00EE1B05" w:rsidRPr="00B36A3D" w:rsidRDefault="00EE1B05" w:rsidP="00EE1B05"/>
    <w:sectPr w:rsidR="00EE1B05" w:rsidRPr="00B3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4F7"/>
    <w:multiLevelType w:val="hybridMultilevel"/>
    <w:tmpl w:val="32BE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B4497"/>
    <w:multiLevelType w:val="hybridMultilevel"/>
    <w:tmpl w:val="41F8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E13DB"/>
    <w:multiLevelType w:val="hybridMultilevel"/>
    <w:tmpl w:val="6EE01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946EB8"/>
    <w:multiLevelType w:val="hybridMultilevel"/>
    <w:tmpl w:val="938AB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327864">
    <w:abstractNumId w:val="0"/>
  </w:num>
  <w:num w:numId="2" w16cid:durableId="1195729428">
    <w:abstractNumId w:val="3"/>
  </w:num>
  <w:num w:numId="3" w16cid:durableId="1879851163">
    <w:abstractNumId w:val="2"/>
  </w:num>
  <w:num w:numId="4" w16cid:durableId="253826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27A73"/>
    <w:rsid w:val="00037CCE"/>
    <w:rsid w:val="000417E7"/>
    <w:rsid w:val="00062F4D"/>
    <w:rsid w:val="0006368A"/>
    <w:rsid w:val="000814B6"/>
    <w:rsid w:val="00090216"/>
    <w:rsid w:val="000D7DF4"/>
    <w:rsid w:val="000E63B0"/>
    <w:rsid w:val="000F6249"/>
    <w:rsid w:val="001033FF"/>
    <w:rsid w:val="001041E4"/>
    <w:rsid w:val="0012035B"/>
    <w:rsid w:val="00131255"/>
    <w:rsid w:val="00183007"/>
    <w:rsid w:val="001D505C"/>
    <w:rsid w:val="001E6652"/>
    <w:rsid w:val="002048CD"/>
    <w:rsid w:val="0021301A"/>
    <w:rsid w:val="00232C5B"/>
    <w:rsid w:val="00234F37"/>
    <w:rsid w:val="00246A6A"/>
    <w:rsid w:val="00250810"/>
    <w:rsid w:val="00260FDB"/>
    <w:rsid w:val="00266B7C"/>
    <w:rsid w:val="00270909"/>
    <w:rsid w:val="002A4C93"/>
    <w:rsid w:val="002B2EF5"/>
    <w:rsid w:val="002B5930"/>
    <w:rsid w:val="002B6A5B"/>
    <w:rsid w:val="00311943"/>
    <w:rsid w:val="00312A4F"/>
    <w:rsid w:val="0033567E"/>
    <w:rsid w:val="003E284B"/>
    <w:rsid w:val="004003DD"/>
    <w:rsid w:val="00406056"/>
    <w:rsid w:val="00426255"/>
    <w:rsid w:val="00454FA3"/>
    <w:rsid w:val="00465FA0"/>
    <w:rsid w:val="00490590"/>
    <w:rsid w:val="00492029"/>
    <w:rsid w:val="004A37BA"/>
    <w:rsid w:val="004E1EAF"/>
    <w:rsid w:val="005010BA"/>
    <w:rsid w:val="00507FB6"/>
    <w:rsid w:val="00555896"/>
    <w:rsid w:val="0056316B"/>
    <w:rsid w:val="00571E25"/>
    <w:rsid w:val="00577F13"/>
    <w:rsid w:val="005864F9"/>
    <w:rsid w:val="005A0D52"/>
    <w:rsid w:val="005A14C0"/>
    <w:rsid w:val="005A4633"/>
    <w:rsid w:val="005C30FD"/>
    <w:rsid w:val="005E3D8C"/>
    <w:rsid w:val="00615603"/>
    <w:rsid w:val="00615DCC"/>
    <w:rsid w:val="0065701D"/>
    <w:rsid w:val="00695C6B"/>
    <w:rsid w:val="006A100E"/>
    <w:rsid w:val="006A1587"/>
    <w:rsid w:val="006B6236"/>
    <w:rsid w:val="006C2223"/>
    <w:rsid w:val="006C479E"/>
    <w:rsid w:val="006F69FC"/>
    <w:rsid w:val="0072244E"/>
    <w:rsid w:val="00743C0D"/>
    <w:rsid w:val="00765C67"/>
    <w:rsid w:val="0077719A"/>
    <w:rsid w:val="00777B41"/>
    <w:rsid w:val="007A1B87"/>
    <w:rsid w:val="007B0CA0"/>
    <w:rsid w:val="007C1208"/>
    <w:rsid w:val="007C1679"/>
    <w:rsid w:val="007C5E84"/>
    <w:rsid w:val="008027B1"/>
    <w:rsid w:val="00813904"/>
    <w:rsid w:val="00820810"/>
    <w:rsid w:val="0082099C"/>
    <w:rsid w:val="00832C1D"/>
    <w:rsid w:val="008526A4"/>
    <w:rsid w:val="00857A9A"/>
    <w:rsid w:val="00862B70"/>
    <w:rsid w:val="008720FB"/>
    <w:rsid w:val="0087304A"/>
    <w:rsid w:val="008763D6"/>
    <w:rsid w:val="00886250"/>
    <w:rsid w:val="008C0AFC"/>
    <w:rsid w:val="00912EBA"/>
    <w:rsid w:val="009245D0"/>
    <w:rsid w:val="009268F4"/>
    <w:rsid w:val="0094312B"/>
    <w:rsid w:val="00984FA3"/>
    <w:rsid w:val="009B1F57"/>
    <w:rsid w:val="009B4243"/>
    <w:rsid w:val="009B75A8"/>
    <w:rsid w:val="009E6F92"/>
    <w:rsid w:val="00A209B2"/>
    <w:rsid w:val="00A326D7"/>
    <w:rsid w:val="00A532C1"/>
    <w:rsid w:val="00A702CD"/>
    <w:rsid w:val="00AA3F9F"/>
    <w:rsid w:val="00AA5110"/>
    <w:rsid w:val="00B247AA"/>
    <w:rsid w:val="00B2565C"/>
    <w:rsid w:val="00B36A3D"/>
    <w:rsid w:val="00B63ADF"/>
    <w:rsid w:val="00B91474"/>
    <w:rsid w:val="00BA1B05"/>
    <w:rsid w:val="00BB29A7"/>
    <w:rsid w:val="00BC69AC"/>
    <w:rsid w:val="00BD3271"/>
    <w:rsid w:val="00BF3B87"/>
    <w:rsid w:val="00BF6373"/>
    <w:rsid w:val="00C156FB"/>
    <w:rsid w:val="00C20B4A"/>
    <w:rsid w:val="00C32D05"/>
    <w:rsid w:val="00C421F2"/>
    <w:rsid w:val="00C42F79"/>
    <w:rsid w:val="00C47D5D"/>
    <w:rsid w:val="00C5001D"/>
    <w:rsid w:val="00C96621"/>
    <w:rsid w:val="00C97746"/>
    <w:rsid w:val="00CA7D38"/>
    <w:rsid w:val="00CB0A0A"/>
    <w:rsid w:val="00CC3DB3"/>
    <w:rsid w:val="00D113F9"/>
    <w:rsid w:val="00D26A4B"/>
    <w:rsid w:val="00D30CCD"/>
    <w:rsid w:val="00D32AFB"/>
    <w:rsid w:val="00D45EC6"/>
    <w:rsid w:val="00D72AEE"/>
    <w:rsid w:val="00D77B9F"/>
    <w:rsid w:val="00D85E3C"/>
    <w:rsid w:val="00D868EF"/>
    <w:rsid w:val="00D94DCF"/>
    <w:rsid w:val="00D96665"/>
    <w:rsid w:val="00DB40A2"/>
    <w:rsid w:val="00DD4E95"/>
    <w:rsid w:val="00DD5858"/>
    <w:rsid w:val="00DE7871"/>
    <w:rsid w:val="00DF70AE"/>
    <w:rsid w:val="00E075E3"/>
    <w:rsid w:val="00E32EAA"/>
    <w:rsid w:val="00E36779"/>
    <w:rsid w:val="00E7788C"/>
    <w:rsid w:val="00E96DF4"/>
    <w:rsid w:val="00EA2677"/>
    <w:rsid w:val="00EE1B05"/>
    <w:rsid w:val="00EE2DD0"/>
    <w:rsid w:val="00EF1E34"/>
    <w:rsid w:val="00EF6D4C"/>
    <w:rsid w:val="00F13B26"/>
    <w:rsid w:val="00F24C7C"/>
    <w:rsid w:val="00F56045"/>
    <w:rsid w:val="00F57FCC"/>
    <w:rsid w:val="00F70CF3"/>
    <w:rsid w:val="00F85EA0"/>
    <w:rsid w:val="00F910A1"/>
    <w:rsid w:val="00FA24DE"/>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 w:type="paragraph" w:customStyle="1" w:styleId="msonormal0">
    <w:name w:val="msonormal"/>
    <w:basedOn w:val="Normal"/>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505C"/>
    <w:rPr>
      <w:color w:val="467886" w:themeColor="hyperlink"/>
      <w:u w:val="single"/>
    </w:rPr>
  </w:style>
  <w:style w:type="character" w:styleId="UnresolvedMention">
    <w:name w:val="Unresolved Mention"/>
    <w:basedOn w:val="DefaultParagraphFont"/>
    <w:uiPriority w:val="99"/>
    <w:semiHidden/>
    <w:unhideWhenUsed/>
    <w:rsid w:val="001D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1537</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143</cp:revision>
  <dcterms:created xsi:type="dcterms:W3CDTF">2025-09-26T22:30:00Z</dcterms:created>
  <dcterms:modified xsi:type="dcterms:W3CDTF">2026-02-06T08:29:00Z</dcterms:modified>
</cp:coreProperties>
</file>