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EAF8" w14:textId="77777777" w:rsidR="00F73C8A" w:rsidRPr="00F73C8A" w:rsidRDefault="00F73C8A" w:rsidP="00F73C8A">
      <w:pPr>
        <w:rPr>
          <w:rFonts w:ascii="Times New Roman" w:eastAsia="Times New Roman" w:hAnsi="Times New Roman" w:cs="Times New Roman"/>
          <w:b/>
          <w:bCs/>
          <w:i/>
          <w:iCs/>
          <w:color w:val="000000"/>
          <w:kern w:val="0"/>
          <w:sz w:val="20"/>
          <w:szCs w:val="20"/>
          <w14:ligatures w14:val="none"/>
        </w:rPr>
      </w:pPr>
      <w:r w:rsidRPr="00F73C8A">
        <w:rPr>
          <w:rFonts w:ascii="Times New Roman" w:eastAsia="Times New Roman" w:hAnsi="Times New Roman" w:cs="Times New Roman"/>
          <w:b/>
          <w:bCs/>
          <w:i/>
          <w:iCs/>
          <w:color w:val="000000"/>
          <w:kern w:val="0"/>
          <w:sz w:val="20"/>
          <w:szCs w:val="20"/>
          <w14:ligatures w14:val="none"/>
        </w:rPr>
        <w:t>Note 12 — Restructuring Plans</w:t>
      </w:r>
    </w:p>
    <w:p w14:paraId="503B18F7" w14:textId="77777777" w:rsidR="00F73C8A" w:rsidRPr="009C1B11" w:rsidRDefault="00F73C8A" w:rsidP="00F73C8A">
      <w:pPr>
        <w:rPr>
          <w:rFonts w:ascii="Times New Roman" w:eastAsia="Times New Roman" w:hAnsi="Times New Roman" w:cs="Times New Roman"/>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r w:rsidRPr="009C1B11">
        <w:rPr>
          <w:rFonts w:ascii="Times New Roman" w:eastAsia="Times New Roman" w:hAnsi="Times New Roman" w:cs="Times New Roman"/>
          <w:color w:val="000000"/>
          <w:kern w:val="0"/>
          <w:sz w:val="20"/>
          <w:szCs w:val="20"/>
          <w14:ligatures w14:val="none"/>
        </w:rPr>
        <w:t xml:space="preserve">In 2011 and prior years, Abbott management approved plans to realign its worldwide pharmaceutical and vascular manufacturing operations and selected domestic and international commercial and research and development operations </w:t>
      </w:r>
      <w:proofErr w:type="gramStart"/>
      <w:r w:rsidRPr="009C1B11">
        <w:rPr>
          <w:rFonts w:ascii="Times New Roman" w:eastAsia="Times New Roman" w:hAnsi="Times New Roman" w:cs="Times New Roman"/>
          <w:color w:val="000000"/>
          <w:kern w:val="0"/>
          <w:sz w:val="20"/>
          <w:szCs w:val="20"/>
          <w14:ligatures w14:val="none"/>
        </w:rPr>
        <w:t>in order to</w:t>
      </w:r>
      <w:proofErr w:type="gramEnd"/>
      <w:r w:rsidRPr="009C1B11">
        <w:rPr>
          <w:rFonts w:ascii="Times New Roman" w:eastAsia="Times New Roman" w:hAnsi="Times New Roman" w:cs="Times New Roman"/>
          <w:color w:val="000000"/>
          <w:kern w:val="0"/>
          <w:sz w:val="20"/>
          <w:szCs w:val="20"/>
          <w14:ligatures w14:val="none"/>
        </w:rPr>
        <w:t xml:space="preserve"> reduce costs. In 2011, 2010 and 2009, Abbott recorded charges of approximately $194 million, $56 million and $114 million, respectively, reflecting the impairment of manufacturing facilities and other assets, employee severance and other related charges. Approximately $76 million in 2011 is classified as Cost of products sold, $69 million as Research and development and $49 million as Selling, general and administrative. Approximately $56 million in 2010 is classified as Cost of products sold and $114 million in 2009 as Selling, general and administrative. The following summarizes the activity for these restructurings: (dollars in millions)</w:t>
      </w:r>
    </w:p>
    <w:tbl>
      <w:tblPr>
        <w:tblW w:w="5000" w:type="pct"/>
        <w:jc w:val="center"/>
        <w:tblCellSpacing w:w="0" w:type="dxa"/>
        <w:tblCellMar>
          <w:left w:w="0" w:type="dxa"/>
          <w:right w:w="0" w:type="dxa"/>
        </w:tblCellMar>
        <w:tblLook w:val="04A0" w:firstRow="1" w:lastRow="0" w:firstColumn="1" w:lastColumn="0" w:noHBand="0" w:noVBand="1"/>
      </w:tblPr>
      <w:tblGrid>
        <w:gridCol w:w="3706"/>
        <w:gridCol w:w="484"/>
        <w:gridCol w:w="968"/>
        <w:gridCol w:w="3553"/>
        <w:gridCol w:w="649"/>
      </w:tblGrid>
      <w:tr w:rsidR="00F73C8A" w:rsidRPr="00F73C8A" w14:paraId="1E2A73D2" w14:textId="77777777">
        <w:trPr>
          <w:tblCellSpacing w:w="0" w:type="dxa"/>
          <w:jc w:val="center"/>
        </w:trPr>
        <w:tc>
          <w:tcPr>
            <w:tcW w:w="6" w:type="dxa"/>
            <w:vAlign w:val="center"/>
            <w:hideMark/>
          </w:tcPr>
          <w:p w14:paraId="063992A7"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69BBB8C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61ABA4C5"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10DCFF8C"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09445982"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p>
        </w:tc>
      </w:tr>
      <w:tr w:rsidR="00F73C8A" w:rsidRPr="00F73C8A" w14:paraId="18510415" w14:textId="77777777">
        <w:trPr>
          <w:tblCellSpacing w:w="0" w:type="dxa"/>
          <w:jc w:val="center"/>
        </w:trPr>
        <w:tc>
          <w:tcPr>
            <w:tcW w:w="0" w:type="auto"/>
            <w:shd w:val="clear" w:color="auto" w:fill="CCEEFF"/>
            <w:vAlign w:val="bottom"/>
            <w:hideMark/>
          </w:tcPr>
          <w:p w14:paraId="5DA9FD7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xml:space="preserve">Accrued balance </w:t>
            </w:r>
            <w:proofErr w:type="gramStart"/>
            <w:r w:rsidRPr="00F73C8A">
              <w:rPr>
                <w:rFonts w:ascii="Times New Roman" w:eastAsia="Times New Roman" w:hAnsi="Times New Roman" w:cs="Times New Roman"/>
                <w:i/>
                <w:iCs/>
                <w:color w:val="000000"/>
                <w:kern w:val="0"/>
                <w:sz w:val="20"/>
                <w:szCs w:val="20"/>
                <w14:ligatures w14:val="none"/>
              </w:rPr>
              <w:t>at</w:t>
            </w:r>
            <w:proofErr w:type="gramEnd"/>
            <w:r w:rsidRPr="00F73C8A">
              <w:rPr>
                <w:rFonts w:ascii="Times New Roman" w:eastAsia="Times New Roman" w:hAnsi="Times New Roman" w:cs="Times New Roman"/>
                <w:i/>
                <w:iCs/>
                <w:color w:val="000000"/>
                <w:kern w:val="0"/>
                <w:sz w:val="20"/>
                <w:szCs w:val="20"/>
                <w14:ligatures w14:val="none"/>
              </w:rPr>
              <w:t xml:space="preserve"> January 1, 2009</w:t>
            </w:r>
          </w:p>
        </w:tc>
        <w:tc>
          <w:tcPr>
            <w:tcW w:w="0" w:type="auto"/>
            <w:shd w:val="clear" w:color="auto" w:fill="CCEEFF"/>
            <w:vAlign w:val="bottom"/>
            <w:hideMark/>
          </w:tcPr>
          <w:p w14:paraId="5D6E286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6610032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w:t>
            </w:r>
          </w:p>
        </w:tc>
        <w:tc>
          <w:tcPr>
            <w:tcW w:w="0" w:type="auto"/>
            <w:shd w:val="clear" w:color="auto" w:fill="CCEEFF"/>
            <w:vAlign w:val="bottom"/>
            <w:hideMark/>
          </w:tcPr>
          <w:p w14:paraId="0F54E66D"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105</w:t>
            </w:r>
          </w:p>
        </w:tc>
        <w:tc>
          <w:tcPr>
            <w:tcW w:w="0" w:type="auto"/>
            <w:shd w:val="clear" w:color="auto" w:fill="CCEEFF"/>
            <w:vAlign w:val="bottom"/>
            <w:hideMark/>
          </w:tcPr>
          <w:p w14:paraId="4718AA7B"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4E417211" w14:textId="77777777">
        <w:trPr>
          <w:tblCellSpacing w:w="0" w:type="dxa"/>
          <w:jc w:val="center"/>
        </w:trPr>
        <w:tc>
          <w:tcPr>
            <w:tcW w:w="0" w:type="auto"/>
            <w:shd w:val="clear" w:color="auto" w:fill="FFFFFF"/>
            <w:vAlign w:val="bottom"/>
            <w:hideMark/>
          </w:tcPr>
          <w:p w14:paraId="77165378"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2009 restructuring charges</w:t>
            </w:r>
          </w:p>
        </w:tc>
        <w:tc>
          <w:tcPr>
            <w:tcW w:w="0" w:type="auto"/>
            <w:shd w:val="clear" w:color="auto" w:fill="FFFFFF"/>
            <w:vAlign w:val="bottom"/>
            <w:hideMark/>
          </w:tcPr>
          <w:p w14:paraId="2E8D2B7D"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78CA2ED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7F74563B"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114</w:t>
            </w:r>
          </w:p>
        </w:tc>
        <w:tc>
          <w:tcPr>
            <w:tcW w:w="0" w:type="auto"/>
            <w:shd w:val="clear" w:color="auto" w:fill="FFFFFF"/>
            <w:vAlign w:val="bottom"/>
            <w:hideMark/>
          </w:tcPr>
          <w:p w14:paraId="2D1D0B2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62026FB2" w14:textId="77777777">
        <w:trPr>
          <w:tblCellSpacing w:w="0" w:type="dxa"/>
          <w:jc w:val="center"/>
        </w:trPr>
        <w:tc>
          <w:tcPr>
            <w:tcW w:w="0" w:type="auto"/>
            <w:shd w:val="clear" w:color="auto" w:fill="CCEEFF"/>
            <w:vAlign w:val="bottom"/>
            <w:hideMark/>
          </w:tcPr>
          <w:p w14:paraId="3FC1D808"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Payments, impairments and other adjustments</w:t>
            </w:r>
          </w:p>
        </w:tc>
        <w:tc>
          <w:tcPr>
            <w:tcW w:w="0" w:type="auto"/>
            <w:shd w:val="clear" w:color="auto" w:fill="CCEEFF"/>
            <w:vAlign w:val="bottom"/>
            <w:hideMark/>
          </w:tcPr>
          <w:p w14:paraId="0A898D4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59FE165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03AAF16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(74</w:t>
            </w:r>
          </w:p>
        </w:tc>
        <w:tc>
          <w:tcPr>
            <w:tcW w:w="0" w:type="auto"/>
            <w:shd w:val="clear" w:color="auto" w:fill="CCEEFF"/>
            <w:vAlign w:val="bottom"/>
            <w:hideMark/>
          </w:tcPr>
          <w:p w14:paraId="4FFAC272"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w:t>
            </w:r>
          </w:p>
        </w:tc>
      </w:tr>
      <w:tr w:rsidR="00F73C8A" w:rsidRPr="00F73C8A" w14:paraId="3C6B9C23" w14:textId="77777777">
        <w:trPr>
          <w:tblCellSpacing w:w="0" w:type="dxa"/>
          <w:jc w:val="center"/>
        </w:trPr>
        <w:tc>
          <w:tcPr>
            <w:tcW w:w="0" w:type="auto"/>
            <w:vAlign w:val="bottom"/>
            <w:hideMark/>
          </w:tcPr>
          <w:p w14:paraId="1283E92B"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6994C08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0AAA035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374DBD8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78B09E1A" w14:textId="77777777">
        <w:trPr>
          <w:tblCellSpacing w:w="0" w:type="dxa"/>
          <w:jc w:val="center"/>
        </w:trPr>
        <w:tc>
          <w:tcPr>
            <w:tcW w:w="0" w:type="auto"/>
            <w:shd w:val="clear" w:color="auto" w:fill="FFFFFF"/>
            <w:vAlign w:val="bottom"/>
            <w:hideMark/>
          </w:tcPr>
          <w:p w14:paraId="0751ACE1"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xml:space="preserve">Accrued balance </w:t>
            </w:r>
            <w:proofErr w:type="gramStart"/>
            <w:r w:rsidRPr="00F73C8A">
              <w:rPr>
                <w:rFonts w:ascii="Times New Roman" w:eastAsia="Times New Roman" w:hAnsi="Times New Roman" w:cs="Times New Roman"/>
                <w:i/>
                <w:iCs/>
                <w:color w:val="000000"/>
                <w:kern w:val="0"/>
                <w:sz w:val="20"/>
                <w:szCs w:val="20"/>
                <w14:ligatures w14:val="none"/>
              </w:rPr>
              <w:t>at</w:t>
            </w:r>
            <w:proofErr w:type="gramEnd"/>
            <w:r w:rsidRPr="00F73C8A">
              <w:rPr>
                <w:rFonts w:ascii="Times New Roman" w:eastAsia="Times New Roman" w:hAnsi="Times New Roman" w:cs="Times New Roman"/>
                <w:i/>
                <w:iCs/>
                <w:color w:val="000000"/>
                <w:kern w:val="0"/>
                <w:sz w:val="20"/>
                <w:szCs w:val="20"/>
                <w14:ligatures w14:val="none"/>
              </w:rPr>
              <w:t xml:space="preserve"> December 31, 2009</w:t>
            </w:r>
          </w:p>
        </w:tc>
        <w:tc>
          <w:tcPr>
            <w:tcW w:w="0" w:type="auto"/>
            <w:shd w:val="clear" w:color="auto" w:fill="FFFFFF"/>
            <w:vAlign w:val="bottom"/>
            <w:hideMark/>
          </w:tcPr>
          <w:p w14:paraId="6361F61F"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402C00EB"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732C024C"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145</w:t>
            </w:r>
          </w:p>
        </w:tc>
        <w:tc>
          <w:tcPr>
            <w:tcW w:w="0" w:type="auto"/>
            <w:shd w:val="clear" w:color="auto" w:fill="FFFFFF"/>
            <w:vAlign w:val="bottom"/>
            <w:hideMark/>
          </w:tcPr>
          <w:p w14:paraId="7A61100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478213C6" w14:textId="77777777">
        <w:trPr>
          <w:tblCellSpacing w:w="0" w:type="dxa"/>
          <w:jc w:val="center"/>
        </w:trPr>
        <w:tc>
          <w:tcPr>
            <w:tcW w:w="0" w:type="auto"/>
            <w:shd w:val="clear" w:color="auto" w:fill="CCEEFF"/>
            <w:vAlign w:val="bottom"/>
            <w:hideMark/>
          </w:tcPr>
          <w:p w14:paraId="2AAE494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2010 restructuring charges</w:t>
            </w:r>
          </w:p>
        </w:tc>
        <w:tc>
          <w:tcPr>
            <w:tcW w:w="0" w:type="auto"/>
            <w:shd w:val="clear" w:color="auto" w:fill="CCEEFF"/>
            <w:vAlign w:val="bottom"/>
            <w:hideMark/>
          </w:tcPr>
          <w:p w14:paraId="7B3CF53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6C972394"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7D3CC964"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56</w:t>
            </w:r>
          </w:p>
        </w:tc>
        <w:tc>
          <w:tcPr>
            <w:tcW w:w="0" w:type="auto"/>
            <w:shd w:val="clear" w:color="auto" w:fill="CCEEFF"/>
            <w:vAlign w:val="bottom"/>
            <w:hideMark/>
          </w:tcPr>
          <w:p w14:paraId="2006FF6F"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755A1BDE" w14:textId="77777777">
        <w:trPr>
          <w:tblCellSpacing w:w="0" w:type="dxa"/>
          <w:jc w:val="center"/>
        </w:trPr>
        <w:tc>
          <w:tcPr>
            <w:tcW w:w="0" w:type="auto"/>
            <w:shd w:val="clear" w:color="auto" w:fill="FFFFFF"/>
            <w:vAlign w:val="bottom"/>
            <w:hideMark/>
          </w:tcPr>
          <w:p w14:paraId="643D739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Payments, impairments and other adjustments</w:t>
            </w:r>
          </w:p>
        </w:tc>
        <w:tc>
          <w:tcPr>
            <w:tcW w:w="0" w:type="auto"/>
            <w:shd w:val="clear" w:color="auto" w:fill="FFFFFF"/>
            <w:vAlign w:val="bottom"/>
            <w:hideMark/>
          </w:tcPr>
          <w:p w14:paraId="24882779"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165F089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56D9C5E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(124</w:t>
            </w:r>
          </w:p>
        </w:tc>
        <w:tc>
          <w:tcPr>
            <w:tcW w:w="0" w:type="auto"/>
            <w:shd w:val="clear" w:color="auto" w:fill="FFFFFF"/>
            <w:vAlign w:val="bottom"/>
            <w:hideMark/>
          </w:tcPr>
          <w:p w14:paraId="7B89ED1B"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w:t>
            </w:r>
          </w:p>
        </w:tc>
      </w:tr>
      <w:tr w:rsidR="00F73C8A" w:rsidRPr="00F73C8A" w14:paraId="2939B1C5" w14:textId="77777777">
        <w:trPr>
          <w:tblCellSpacing w:w="0" w:type="dxa"/>
          <w:jc w:val="center"/>
        </w:trPr>
        <w:tc>
          <w:tcPr>
            <w:tcW w:w="0" w:type="auto"/>
            <w:vAlign w:val="bottom"/>
            <w:hideMark/>
          </w:tcPr>
          <w:p w14:paraId="1CEC059E"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5A03C84"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0F3E5DB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669CD239"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7B7F1A8E" w14:textId="77777777">
        <w:trPr>
          <w:tblCellSpacing w:w="0" w:type="dxa"/>
          <w:jc w:val="center"/>
        </w:trPr>
        <w:tc>
          <w:tcPr>
            <w:tcW w:w="0" w:type="auto"/>
            <w:shd w:val="clear" w:color="auto" w:fill="CCEEFF"/>
            <w:vAlign w:val="bottom"/>
            <w:hideMark/>
          </w:tcPr>
          <w:p w14:paraId="25659CF9"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xml:space="preserve">Accrued balance </w:t>
            </w:r>
            <w:proofErr w:type="gramStart"/>
            <w:r w:rsidRPr="00F73C8A">
              <w:rPr>
                <w:rFonts w:ascii="Times New Roman" w:eastAsia="Times New Roman" w:hAnsi="Times New Roman" w:cs="Times New Roman"/>
                <w:i/>
                <w:iCs/>
                <w:color w:val="000000"/>
                <w:kern w:val="0"/>
                <w:sz w:val="20"/>
                <w:szCs w:val="20"/>
                <w14:ligatures w14:val="none"/>
              </w:rPr>
              <w:t>at</w:t>
            </w:r>
            <w:proofErr w:type="gramEnd"/>
            <w:r w:rsidRPr="00F73C8A">
              <w:rPr>
                <w:rFonts w:ascii="Times New Roman" w:eastAsia="Times New Roman" w:hAnsi="Times New Roman" w:cs="Times New Roman"/>
                <w:i/>
                <w:iCs/>
                <w:color w:val="000000"/>
                <w:kern w:val="0"/>
                <w:sz w:val="20"/>
                <w:szCs w:val="20"/>
                <w14:ligatures w14:val="none"/>
              </w:rPr>
              <w:t xml:space="preserve"> December 31, 2010</w:t>
            </w:r>
          </w:p>
        </w:tc>
        <w:tc>
          <w:tcPr>
            <w:tcW w:w="0" w:type="auto"/>
            <w:shd w:val="clear" w:color="auto" w:fill="CCEEFF"/>
            <w:vAlign w:val="bottom"/>
            <w:hideMark/>
          </w:tcPr>
          <w:p w14:paraId="4643BE18"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2FE07D0E"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522A4FDC"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77</w:t>
            </w:r>
          </w:p>
        </w:tc>
        <w:tc>
          <w:tcPr>
            <w:tcW w:w="0" w:type="auto"/>
            <w:shd w:val="clear" w:color="auto" w:fill="CCEEFF"/>
            <w:vAlign w:val="bottom"/>
            <w:hideMark/>
          </w:tcPr>
          <w:p w14:paraId="3C469997"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34D7DE65" w14:textId="77777777">
        <w:trPr>
          <w:tblCellSpacing w:w="0" w:type="dxa"/>
          <w:jc w:val="center"/>
        </w:trPr>
        <w:tc>
          <w:tcPr>
            <w:tcW w:w="0" w:type="auto"/>
            <w:shd w:val="clear" w:color="auto" w:fill="FFFFFF"/>
            <w:vAlign w:val="bottom"/>
            <w:hideMark/>
          </w:tcPr>
          <w:p w14:paraId="562ABE95"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2011 restructuring charges</w:t>
            </w:r>
          </w:p>
        </w:tc>
        <w:tc>
          <w:tcPr>
            <w:tcW w:w="0" w:type="auto"/>
            <w:shd w:val="clear" w:color="auto" w:fill="FFFFFF"/>
            <w:vAlign w:val="bottom"/>
            <w:hideMark/>
          </w:tcPr>
          <w:p w14:paraId="40DE43D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9DDE75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4101236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194</w:t>
            </w:r>
          </w:p>
        </w:tc>
        <w:tc>
          <w:tcPr>
            <w:tcW w:w="0" w:type="auto"/>
            <w:shd w:val="clear" w:color="auto" w:fill="FFFFFF"/>
            <w:vAlign w:val="bottom"/>
            <w:hideMark/>
          </w:tcPr>
          <w:p w14:paraId="63B86A6E"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7CE0B901" w14:textId="77777777">
        <w:trPr>
          <w:tblCellSpacing w:w="0" w:type="dxa"/>
          <w:jc w:val="center"/>
        </w:trPr>
        <w:tc>
          <w:tcPr>
            <w:tcW w:w="0" w:type="auto"/>
            <w:shd w:val="clear" w:color="auto" w:fill="CCEEFF"/>
            <w:vAlign w:val="bottom"/>
            <w:hideMark/>
          </w:tcPr>
          <w:p w14:paraId="587B99C3"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Payments and other adjustments</w:t>
            </w:r>
          </w:p>
        </w:tc>
        <w:tc>
          <w:tcPr>
            <w:tcW w:w="0" w:type="auto"/>
            <w:shd w:val="clear" w:color="auto" w:fill="CCEEFF"/>
            <w:vAlign w:val="bottom"/>
            <w:hideMark/>
          </w:tcPr>
          <w:p w14:paraId="18C6BC3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1B2F2C73"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7BC90088"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(94</w:t>
            </w:r>
          </w:p>
        </w:tc>
        <w:tc>
          <w:tcPr>
            <w:tcW w:w="0" w:type="auto"/>
            <w:shd w:val="clear" w:color="auto" w:fill="CCEEFF"/>
            <w:vAlign w:val="bottom"/>
            <w:hideMark/>
          </w:tcPr>
          <w:p w14:paraId="6926498E"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w:t>
            </w:r>
          </w:p>
        </w:tc>
      </w:tr>
      <w:tr w:rsidR="00F73C8A" w:rsidRPr="00F73C8A" w14:paraId="684D851E" w14:textId="77777777">
        <w:trPr>
          <w:tblCellSpacing w:w="0" w:type="dxa"/>
          <w:jc w:val="center"/>
        </w:trPr>
        <w:tc>
          <w:tcPr>
            <w:tcW w:w="0" w:type="auto"/>
            <w:vAlign w:val="bottom"/>
            <w:hideMark/>
          </w:tcPr>
          <w:p w14:paraId="54265532"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5D9F467D"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426015C2"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7B2F7FFA"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7A21D102" w14:textId="77777777">
        <w:trPr>
          <w:tblCellSpacing w:w="0" w:type="dxa"/>
          <w:jc w:val="center"/>
        </w:trPr>
        <w:tc>
          <w:tcPr>
            <w:tcW w:w="0" w:type="auto"/>
            <w:shd w:val="clear" w:color="auto" w:fill="FFFFFF"/>
            <w:vAlign w:val="bottom"/>
            <w:hideMark/>
          </w:tcPr>
          <w:p w14:paraId="00F8ADF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xml:space="preserve">Accrued balance </w:t>
            </w:r>
            <w:proofErr w:type="gramStart"/>
            <w:r w:rsidRPr="00F73C8A">
              <w:rPr>
                <w:rFonts w:ascii="Times New Roman" w:eastAsia="Times New Roman" w:hAnsi="Times New Roman" w:cs="Times New Roman"/>
                <w:i/>
                <w:iCs/>
                <w:color w:val="000000"/>
                <w:kern w:val="0"/>
                <w:sz w:val="20"/>
                <w:szCs w:val="20"/>
                <w14:ligatures w14:val="none"/>
              </w:rPr>
              <w:t>at</w:t>
            </w:r>
            <w:proofErr w:type="gramEnd"/>
            <w:r w:rsidRPr="00F73C8A">
              <w:rPr>
                <w:rFonts w:ascii="Times New Roman" w:eastAsia="Times New Roman" w:hAnsi="Times New Roman" w:cs="Times New Roman"/>
                <w:i/>
                <w:iCs/>
                <w:color w:val="000000"/>
                <w:kern w:val="0"/>
                <w:sz w:val="20"/>
                <w:szCs w:val="20"/>
                <w14:ligatures w14:val="none"/>
              </w:rPr>
              <w:t xml:space="preserve"> December 31, 2011</w:t>
            </w:r>
          </w:p>
        </w:tc>
        <w:tc>
          <w:tcPr>
            <w:tcW w:w="0" w:type="auto"/>
            <w:shd w:val="clear" w:color="auto" w:fill="FFFFFF"/>
            <w:vAlign w:val="bottom"/>
            <w:hideMark/>
          </w:tcPr>
          <w:p w14:paraId="5F358217"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2CC852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w:t>
            </w:r>
          </w:p>
        </w:tc>
        <w:tc>
          <w:tcPr>
            <w:tcW w:w="0" w:type="auto"/>
            <w:shd w:val="clear" w:color="auto" w:fill="FFFFFF"/>
            <w:vAlign w:val="bottom"/>
            <w:hideMark/>
          </w:tcPr>
          <w:p w14:paraId="1B1CCB1D"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177</w:t>
            </w:r>
          </w:p>
        </w:tc>
        <w:tc>
          <w:tcPr>
            <w:tcW w:w="0" w:type="auto"/>
            <w:shd w:val="clear" w:color="auto" w:fill="FFFFFF"/>
            <w:vAlign w:val="bottom"/>
            <w:hideMark/>
          </w:tcPr>
          <w:p w14:paraId="3AA8D5E0"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r w:rsidR="00F73C8A" w:rsidRPr="00F73C8A" w14:paraId="13702C3C" w14:textId="77777777">
        <w:trPr>
          <w:tblCellSpacing w:w="0" w:type="dxa"/>
          <w:jc w:val="center"/>
        </w:trPr>
        <w:tc>
          <w:tcPr>
            <w:tcW w:w="0" w:type="auto"/>
            <w:vAlign w:val="bottom"/>
            <w:hideMark/>
          </w:tcPr>
          <w:p w14:paraId="7E5C235F"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FC5F836"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gridSpan w:val="2"/>
            <w:tcBorders>
              <w:bottom w:val="double" w:sz="6" w:space="0" w:color="000000"/>
            </w:tcBorders>
            <w:vAlign w:val="bottom"/>
            <w:hideMark/>
          </w:tcPr>
          <w:p w14:paraId="58CFFD77"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3E3BB3DE" w14:textId="77777777" w:rsidR="00F73C8A" w:rsidRPr="00F73C8A" w:rsidRDefault="00F73C8A" w:rsidP="00F73C8A">
            <w:pPr>
              <w:rPr>
                <w:rFonts w:ascii="Times New Roman" w:eastAsia="Times New Roman" w:hAnsi="Times New Roman" w:cs="Times New Roman"/>
                <w:i/>
                <w:iCs/>
                <w:color w:val="000000"/>
                <w:kern w:val="0"/>
                <w:sz w:val="20"/>
                <w:szCs w:val="20"/>
                <w14:ligatures w14:val="none"/>
              </w:rPr>
            </w:pPr>
            <w:r w:rsidRPr="00F73C8A">
              <w:rPr>
                <w:rFonts w:ascii="Times New Roman" w:eastAsia="Times New Roman" w:hAnsi="Times New Roman" w:cs="Times New Roman"/>
                <w:i/>
                <w:iCs/>
                <w:color w:val="000000"/>
                <w:kern w:val="0"/>
                <w:sz w:val="20"/>
                <w:szCs w:val="20"/>
                <w14:ligatures w14:val="none"/>
              </w:rPr>
              <w:t> </w:t>
            </w:r>
          </w:p>
        </w:tc>
      </w:tr>
    </w:tbl>
    <w:p w14:paraId="515DB271" w14:textId="77777777" w:rsidR="00F73C8A" w:rsidRPr="00880E5C" w:rsidRDefault="00F73C8A" w:rsidP="00F73C8A">
      <w:pPr>
        <w:rPr>
          <w:rFonts w:ascii="Times New Roman" w:eastAsia="Times New Roman" w:hAnsi="Times New Roman" w:cs="Times New Roman"/>
          <w:color w:val="000000"/>
          <w:kern w:val="0"/>
          <w:sz w:val="20"/>
          <w:szCs w:val="20"/>
          <w14:ligatures w14:val="none"/>
        </w:rPr>
      </w:pPr>
      <w:r w:rsidRPr="00880E5C">
        <w:rPr>
          <w:rFonts w:ascii="Times New Roman" w:eastAsia="Times New Roman" w:hAnsi="Times New Roman" w:cs="Times New Roman"/>
          <w:color w:val="000000"/>
          <w:kern w:val="0"/>
          <w:sz w:val="20"/>
          <w:szCs w:val="20"/>
          <w14:ligatures w14:val="none"/>
        </w:rPr>
        <w:t>        An additional $25 million, $13 million and $47 million were recorded in 2011, 2010 and 2009, respectively, relating to these restructurings, primarily for accelerated depreciation.</w:t>
      </w:r>
    </w:p>
    <w:p w14:paraId="6AD5C559" w14:textId="2460082B" w:rsidR="003D3E62" w:rsidRPr="00880E5C" w:rsidRDefault="00F73C8A" w:rsidP="003D3E62">
      <w:pPr>
        <w:rPr>
          <w:rFonts w:ascii="Times New Roman" w:eastAsia="Times New Roman" w:hAnsi="Times New Roman" w:cs="Times New Roman"/>
          <w:color w:val="000000"/>
          <w:kern w:val="0"/>
          <w:sz w:val="20"/>
          <w:szCs w:val="20"/>
          <w14:ligatures w14:val="none"/>
        </w:rPr>
      </w:pPr>
      <w:r w:rsidRPr="00880E5C">
        <w:rPr>
          <w:rFonts w:ascii="Times New Roman" w:eastAsia="Times New Roman" w:hAnsi="Times New Roman" w:cs="Times New Roman"/>
          <w:color w:val="000000"/>
          <w:kern w:val="0"/>
          <w:sz w:val="20"/>
          <w:szCs w:val="20"/>
          <w14:ligatures w14:val="none"/>
        </w:rPr>
        <w:t>        In 2010, Abbott management approved a restructuring plan primarily related to the acquisition of Solvay's pharmaceuticals business. This plan streamlines operations, improves efficiencies and reduces costs in certain Solvay sites and functions as well as in certain Abbott and Solvay commercial organizations in various countries. Under this plan, Abbott recorded charges to Cost of products sold, Research and</w:t>
      </w:r>
      <w:r w:rsidR="003D3E62" w:rsidRPr="00880E5C">
        <w:rPr>
          <w:rFonts w:ascii="Times New Roman" w:eastAsia="Times New Roman" w:hAnsi="Times New Roman" w:cs="Times New Roman"/>
          <w:color w:val="000000"/>
          <w:kern w:val="0"/>
          <w:sz w:val="20"/>
          <w:szCs w:val="20"/>
          <w14:ligatures w14:val="none"/>
        </w:rPr>
        <w:t xml:space="preserve"> development and </w:t>
      </w:r>
      <w:proofErr w:type="gramStart"/>
      <w:r w:rsidR="003D3E62" w:rsidRPr="00880E5C">
        <w:rPr>
          <w:rFonts w:ascii="Times New Roman" w:eastAsia="Times New Roman" w:hAnsi="Times New Roman" w:cs="Times New Roman"/>
          <w:color w:val="000000"/>
          <w:kern w:val="0"/>
          <w:sz w:val="20"/>
          <w:szCs w:val="20"/>
          <w14:ligatures w14:val="none"/>
        </w:rPr>
        <w:t>Selling</w:t>
      </w:r>
      <w:proofErr w:type="gramEnd"/>
      <w:r w:rsidR="003D3E62" w:rsidRPr="00880E5C">
        <w:rPr>
          <w:rFonts w:ascii="Times New Roman" w:eastAsia="Times New Roman" w:hAnsi="Times New Roman" w:cs="Times New Roman"/>
          <w:color w:val="000000"/>
          <w:kern w:val="0"/>
          <w:sz w:val="20"/>
          <w:szCs w:val="20"/>
          <w14:ligatures w14:val="none"/>
        </w:rPr>
        <w:t>, general and administrative of approximately $99 million, $152 million and $272 million, respectively. The following summarizes the activity for this restructuring: (dollars in millions)</w:t>
      </w:r>
    </w:p>
    <w:tbl>
      <w:tblPr>
        <w:tblW w:w="5000" w:type="pct"/>
        <w:jc w:val="center"/>
        <w:tblCellSpacing w:w="0" w:type="dxa"/>
        <w:tblCellMar>
          <w:left w:w="0" w:type="dxa"/>
          <w:right w:w="0" w:type="dxa"/>
        </w:tblCellMar>
        <w:tblLook w:val="04A0" w:firstRow="1" w:lastRow="0" w:firstColumn="1" w:lastColumn="0" w:noHBand="0" w:noVBand="1"/>
      </w:tblPr>
      <w:tblGrid>
        <w:gridCol w:w="3706"/>
        <w:gridCol w:w="484"/>
        <w:gridCol w:w="968"/>
        <w:gridCol w:w="3553"/>
        <w:gridCol w:w="649"/>
      </w:tblGrid>
      <w:tr w:rsidR="003D3E62" w:rsidRPr="003D3E62" w14:paraId="43C76BC9" w14:textId="77777777">
        <w:trPr>
          <w:tblCellSpacing w:w="0" w:type="dxa"/>
          <w:jc w:val="center"/>
        </w:trPr>
        <w:tc>
          <w:tcPr>
            <w:tcW w:w="6" w:type="dxa"/>
            <w:vAlign w:val="center"/>
            <w:hideMark/>
          </w:tcPr>
          <w:p w14:paraId="2600C90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072D591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71BF22F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4CAC46C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08230D7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r>
      <w:tr w:rsidR="003D3E62" w:rsidRPr="003D3E62" w14:paraId="3A6289F2" w14:textId="77777777">
        <w:trPr>
          <w:tblCellSpacing w:w="0" w:type="dxa"/>
          <w:jc w:val="center"/>
        </w:trPr>
        <w:tc>
          <w:tcPr>
            <w:tcW w:w="0" w:type="auto"/>
            <w:shd w:val="clear" w:color="auto" w:fill="CCEEFF"/>
            <w:vAlign w:val="bottom"/>
            <w:hideMark/>
          </w:tcPr>
          <w:p w14:paraId="547EDFA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2010 restructuring charge</w:t>
            </w:r>
          </w:p>
        </w:tc>
        <w:tc>
          <w:tcPr>
            <w:tcW w:w="0" w:type="auto"/>
            <w:shd w:val="clear" w:color="auto" w:fill="CCEEFF"/>
            <w:vAlign w:val="bottom"/>
            <w:hideMark/>
          </w:tcPr>
          <w:p w14:paraId="2256D72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7888793C"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c>
          <w:tcPr>
            <w:tcW w:w="0" w:type="auto"/>
            <w:shd w:val="clear" w:color="auto" w:fill="CCEEFF"/>
            <w:vAlign w:val="bottom"/>
            <w:hideMark/>
          </w:tcPr>
          <w:p w14:paraId="269FE7F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523</w:t>
            </w:r>
          </w:p>
        </w:tc>
        <w:tc>
          <w:tcPr>
            <w:tcW w:w="0" w:type="auto"/>
            <w:shd w:val="clear" w:color="auto" w:fill="CCEEFF"/>
            <w:vAlign w:val="bottom"/>
            <w:hideMark/>
          </w:tcPr>
          <w:p w14:paraId="5F938BA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2B52A338" w14:textId="77777777">
        <w:trPr>
          <w:tblCellSpacing w:w="0" w:type="dxa"/>
          <w:jc w:val="center"/>
        </w:trPr>
        <w:tc>
          <w:tcPr>
            <w:tcW w:w="0" w:type="auto"/>
            <w:shd w:val="clear" w:color="auto" w:fill="FFFFFF"/>
            <w:vAlign w:val="bottom"/>
            <w:hideMark/>
          </w:tcPr>
          <w:p w14:paraId="7152ECC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Payments, impairments and other adjustments</w:t>
            </w:r>
          </w:p>
        </w:tc>
        <w:tc>
          <w:tcPr>
            <w:tcW w:w="0" w:type="auto"/>
            <w:shd w:val="clear" w:color="auto" w:fill="FFFFFF"/>
            <w:vAlign w:val="bottom"/>
            <w:hideMark/>
          </w:tcPr>
          <w:p w14:paraId="1553067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D2B80C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78F76C8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(113</w:t>
            </w:r>
          </w:p>
        </w:tc>
        <w:tc>
          <w:tcPr>
            <w:tcW w:w="0" w:type="auto"/>
            <w:shd w:val="clear" w:color="auto" w:fill="FFFFFF"/>
            <w:vAlign w:val="bottom"/>
            <w:hideMark/>
          </w:tcPr>
          <w:p w14:paraId="470BD0B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r>
      <w:tr w:rsidR="003D3E62" w:rsidRPr="003D3E62" w14:paraId="6BBE58B9" w14:textId="77777777">
        <w:trPr>
          <w:tblCellSpacing w:w="0" w:type="dxa"/>
          <w:jc w:val="center"/>
        </w:trPr>
        <w:tc>
          <w:tcPr>
            <w:tcW w:w="0" w:type="auto"/>
            <w:vAlign w:val="bottom"/>
            <w:hideMark/>
          </w:tcPr>
          <w:p w14:paraId="1C4C71A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3BB143D3"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1A83D0E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4DF283F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4125E334" w14:textId="77777777">
        <w:trPr>
          <w:tblCellSpacing w:w="0" w:type="dxa"/>
          <w:jc w:val="center"/>
        </w:trPr>
        <w:tc>
          <w:tcPr>
            <w:tcW w:w="0" w:type="auto"/>
            <w:shd w:val="clear" w:color="auto" w:fill="CCEEFF"/>
            <w:vAlign w:val="bottom"/>
            <w:hideMark/>
          </w:tcPr>
          <w:p w14:paraId="005EACE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lastRenderedPageBreak/>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December 31, 2010</w:t>
            </w:r>
          </w:p>
        </w:tc>
        <w:tc>
          <w:tcPr>
            <w:tcW w:w="0" w:type="auto"/>
            <w:shd w:val="clear" w:color="auto" w:fill="CCEEFF"/>
            <w:vAlign w:val="bottom"/>
            <w:hideMark/>
          </w:tcPr>
          <w:p w14:paraId="4B1C62A7"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1B016BC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208F66C4"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410</w:t>
            </w:r>
          </w:p>
        </w:tc>
        <w:tc>
          <w:tcPr>
            <w:tcW w:w="0" w:type="auto"/>
            <w:shd w:val="clear" w:color="auto" w:fill="CCEEFF"/>
            <w:vAlign w:val="bottom"/>
            <w:hideMark/>
          </w:tcPr>
          <w:p w14:paraId="386621A7"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033255AF" w14:textId="77777777">
        <w:trPr>
          <w:tblCellSpacing w:w="0" w:type="dxa"/>
          <w:jc w:val="center"/>
        </w:trPr>
        <w:tc>
          <w:tcPr>
            <w:tcW w:w="0" w:type="auto"/>
            <w:shd w:val="clear" w:color="auto" w:fill="FFFFFF"/>
            <w:vAlign w:val="bottom"/>
            <w:hideMark/>
          </w:tcPr>
          <w:p w14:paraId="658A0C1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Payments and other adjustments</w:t>
            </w:r>
          </w:p>
        </w:tc>
        <w:tc>
          <w:tcPr>
            <w:tcW w:w="0" w:type="auto"/>
            <w:shd w:val="clear" w:color="auto" w:fill="FFFFFF"/>
            <w:vAlign w:val="bottom"/>
            <w:hideMark/>
          </w:tcPr>
          <w:p w14:paraId="7BFDE1A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55C5EE8C"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55D63E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(302</w:t>
            </w:r>
          </w:p>
        </w:tc>
        <w:tc>
          <w:tcPr>
            <w:tcW w:w="0" w:type="auto"/>
            <w:shd w:val="clear" w:color="auto" w:fill="FFFFFF"/>
            <w:vAlign w:val="bottom"/>
            <w:hideMark/>
          </w:tcPr>
          <w:p w14:paraId="0ACD5B4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r>
      <w:tr w:rsidR="003D3E62" w:rsidRPr="003D3E62" w14:paraId="7C287DAF" w14:textId="77777777">
        <w:trPr>
          <w:tblCellSpacing w:w="0" w:type="dxa"/>
          <w:jc w:val="center"/>
        </w:trPr>
        <w:tc>
          <w:tcPr>
            <w:tcW w:w="0" w:type="auto"/>
            <w:vAlign w:val="bottom"/>
            <w:hideMark/>
          </w:tcPr>
          <w:p w14:paraId="3D0DCD3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5586FBD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3677784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04E6FEC"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169C688E" w14:textId="77777777">
        <w:trPr>
          <w:tblCellSpacing w:w="0" w:type="dxa"/>
          <w:jc w:val="center"/>
        </w:trPr>
        <w:tc>
          <w:tcPr>
            <w:tcW w:w="0" w:type="auto"/>
            <w:shd w:val="clear" w:color="auto" w:fill="CCEEFF"/>
            <w:vAlign w:val="bottom"/>
            <w:hideMark/>
          </w:tcPr>
          <w:p w14:paraId="386A915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December 31, 2011</w:t>
            </w:r>
          </w:p>
        </w:tc>
        <w:tc>
          <w:tcPr>
            <w:tcW w:w="0" w:type="auto"/>
            <w:shd w:val="clear" w:color="auto" w:fill="CCEEFF"/>
            <w:vAlign w:val="bottom"/>
            <w:hideMark/>
          </w:tcPr>
          <w:p w14:paraId="6B55BC3F"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5323A55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c>
          <w:tcPr>
            <w:tcW w:w="0" w:type="auto"/>
            <w:shd w:val="clear" w:color="auto" w:fill="CCEEFF"/>
            <w:vAlign w:val="bottom"/>
            <w:hideMark/>
          </w:tcPr>
          <w:p w14:paraId="198AB62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108</w:t>
            </w:r>
          </w:p>
        </w:tc>
        <w:tc>
          <w:tcPr>
            <w:tcW w:w="0" w:type="auto"/>
            <w:shd w:val="clear" w:color="auto" w:fill="CCEEFF"/>
            <w:vAlign w:val="bottom"/>
            <w:hideMark/>
          </w:tcPr>
          <w:p w14:paraId="797B9F5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56C6BB57" w14:textId="77777777">
        <w:trPr>
          <w:tblCellSpacing w:w="0" w:type="dxa"/>
          <w:jc w:val="center"/>
        </w:trPr>
        <w:tc>
          <w:tcPr>
            <w:tcW w:w="0" w:type="auto"/>
            <w:vAlign w:val="bottom"/>
            <w:hideMark/>
          </w:tcPr>
          <w:p w14:paraId="0963DFF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57949C9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double" w:sz="6" w:space="0" w:color="000000"/>
            </w:tcBorders>
            <w:vAlign w:val="bottom"/>
            <w:hideMark/>
          </w:tcPr>
          <w:p w14:paraId="7B472E3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74C5792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bl>
    <w:p w14:paraId="210DEC86" w14:textId="77777777" w:rsidR="003D3E62" w:rsidRPr="00880E5C" w:rsidRDefault="003D3E62" w:rsidP="003D3E62">
      <w:pPr>
        <w:rPr>
          <w:rFonts w:ascii="Times New Roman" w:eastAsia="Times New Roman" w:hAnsi="Times New Roman" w:cs="Times New Roman"/>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r w:rsidRPr="00880E5C">
        <w:rPr>
          <w:rFonts w:ascii="Times New Roman" w:eastAsia="Times New Roman" w:hAnsi="Times New Roman" w:cs="Times New Roman"/>
          <w:color w:val="000000"/>
          <w:kern w:val="0"/>
          <w:sz w:val="20"/>
          <w:szCs w:val="20"/>
          <w14:ligatures w14:val="none"/>
        </w:rPr>
        <w:t>  An additional $102 million and $12 million were recorded in 2011 and 2010, respectively, relating to this restructuring, primarily for additional employee severance and accelerated depreciation.</w:t>
      </w:r>
    </w:p>
    <w:p w14:paraId="2E378415" w14:textId="77777777" w:rsidR="003D3E62" w:rsidRPr="00880E5C" w:rsidRDefault="003D3E62" w:rsidP="003D3E62">
      <w:pPr>
        <w:rPr>
          <w:rFonts w:ascii="Times New Roman" w:eastAsia="Times New Roman" w:hAnsi="Times New Roman" w:cs="Times New Roman"/>
          <w:color w:val="000000"/>
          <w:kern w:val="0"/>
          <w:sz w:val="20"/>
          <w:szCs w:val="20"/>
          <w14:ligatures w14:val="none"/>
        </w:rPr>
      </w:pPr>
      <w:r w:rsidRPr="00880E5C">
        <w:rPr>
          <w:rFonts w:ascii="Times New Roman" w:eastAsia="Times New Roman" w:hAnsi="Times New Roman" w:cs="Times New Roman"/>
          <w:color w:val="000000"/>
          <w:kern w:val="0"/>
          <w:sz w:val="20"/>
          <w:szCs w:val="20"/>
          <w14:ligatures w14:val="none"/>
        </w:rPr>
        <w:t xml:space="preserve">        In 2011 and 2008, Abbott management approved plans to streamline global manufacturing operations, reduce overall costs, and improve </w:t>
      </w:r>
      <w:proofErr w:type="gramStart"/>
      <w:r w:rsidRPr="00880E5C">
        <w:rPr>
          <w:rFonts w:ascii="Times New Roman" w:eastAsia="Times New Roman" w:hAnsi="Times New Roman" w:cs="Times New Roman"/>
          <w:color w:val="000000"/>
          <w:kern w:val="0"/>
          <w:sz w:val="20"/>
          <w:szCs w:val="20"/>
          <w14:ligatures w14:val="none"/>
        </w:rPr>
        <w:t>efficiencies</w:t>
      </w:r>
      <w:proofErr w:type="gramEnd"/>
      <w:r w:rsidRPr="00880E5C">
        <w:rPr>
          <w:rFonts w:ascii="Times New Roman" w:eastAsia="Times New Roman" w:hAnsi="Times New Roman" w:cs="Times New Roman"/>
          <w:color w:val="000000"/>
          <w:kern w:val="0"/>
          <w:sz w:val="20"/>
          <w:szCs w:val="20"/>
          <w14:ligatures w14:val="none"/>
        </w:rPr>
        <w:t xml:space="preserve"> in Abbott's core diagnostic business. In 2011 a charge of $28 million was recorded in Cost of products sold. The following summarizes the activity for these restructurings: (dollars in millions)</w:t>
      </w:r>
    </w:p>
    <w:tbl>
      <w:tblPr>
        <w:tblW w:w="5000" w:type="pct"/>
        <w:jc w:val="center"/>
        <w:tblCellSpacing w:w="0" w:type="dxa"/>
        <w:tblCellMar>
          <w:left w:w="0" w:type="dxa"/>
          <w:right w:w="0" w:type="dxa"/>
        </w:tblCellMar>
        <w:tblLook w:val="04A0" w:firstRow="1" w:lastRow="0" w:firstColumn="1" w:lastColumn="0" w:noHBand="0" w:noVBand="1"/>
      </w:tblPr>
      <w:tblGrid>
        <w:gridCol w:w="3177"/>
        <w:gridCol w:w="598"/>
        <w:gridCol w:w="1196"/>
        <w:gridCol w:w="3588"/>
        <w:gridCol w:w="801"/>
      </w:tblGrid>
      <w:tr w:rsidR="003D3E62" w:rsidRPr="003D3E62" w14:paraId="5852AFFF" w14:textId="77777777">
        <w:trPr>
          <w:tblCellSpacing w:w="0" w:type="dxa"/>
          <w:jc w:val="center"/>
        </w:trPr>
        <w:tc>
          <w:tcPr>
            <w:tcW w:w="6" w:type="dxa"/>
            <w:vAlign w:val="center"/>
            <w:hideMark/>
          </w:tcPr>
          <w:p w14:paraId="22D2E45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0F8E6E6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662DC02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043273F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c>
          <w:tcPr>
            <w:tcW w:w="0" w:type="auto"/>
            <w:vAlign w:val="center"/>
            <w:hideMark/>
          </w:tcPr>
          <w:p w14:paraId="1E986B2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p>
        </w:tc>
      </w:tr>
      <w:tr w:rsidR="003D3E62" w:rsidRPr="003D3E62" w14:paraId="5A066216" w14:textId="77777777">
        <w:trPr>
          <w:tblCellSpacing w:w="0" w:type="dxa"/>
          <w:jc w:val="center"/>
        </w:trPr>
        <w:tc>
          <w:tcPr>
            <w:tcW w:w="0" w:type="auto"/>
            <w:shd w:val="clear" w:color="auto" w:fill="CCEEFF"/>
            <w:vAlign w:val="bottom"/>
            <w:hideMark/>
          </w:tcPr>
          <w:p w14:paraId="7736AFC3"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January 1, 2009</w:t>
            </w:r>
          </w:p>
        </w:tc>
        <w:tc>
          <w:tcPr>
            <w:tcW w:w="0" w:type="auto"/>
            <w:shd w:val="clear" w:color="auto" w:fill="CCEEFF"/>
            <w:vAlign w:val="bottom"/>
            <w:hideMark/>
          </w:tcPr>
          <w:p w14:paraId="0801BBC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458DCFE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c>
          <w:tcPr>
            <w:tcW w:w="0" w:type="auto"/>
            <w:shd w:val="clear" w:color="auto" w:fill="CCEEFF"/>
            <w:vAlign w:val="bottom"/>
            <w:hideMark/>
          </w:tcPr>
          <w:p w14:paraId="6C6CDDF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110</w:t>
            </w:r>
          </w:p>
        </w:tc>
        <w:tc>
          <w:tcPr>
            <w:tcW w:w="0" w:type="auto"/>
            <w:shd w:val="clear" w:color="auto" w:fill="CCEEFF"/>
            <w:vAlign w:val="bottom"/>
            <w:hideMark/>
          </w:tcPr>
          <w:p w14:paraId="278CA79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65DC531E" w14:textId="77777777">
        <w:trPr>
          <w:tblCellSpacing w:w="0" w:type="dxa"/>
          <w:jc w:val="center"/>
        </w:trPr>
        <w:tc>
          <w:tcPr>
            <w:tcW w:w="0" w:type="auto"/>
            <w:shd w:val="clear" w:color="auto" w:fill="FFFFFF"/>
            <w:vAlign w:val="bottom"/>
            <w:hideMark/>
          </w:tcPr>
          <w:p w14:paraId="41EDC71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Payments and other adjustments</w:t>
            </w:r>
          </w:p>
        </w:tc>
        <w:tc>
          <w:tcPr>
            <w:tcW w:w="0" w:type="auto"/>
            <w:shd w:val="clear" w:color="auto" w:fill="FFFFFF"/>
            <w:vAlign w:val="bottom"/>
            <w:hideMark/>
          </w:tcPr>
          <w:p w14:paraId="59FBF38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31B98B8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3629C66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(12</w:t>
            </w:r>
          </w:p>
        </w:tc>
        <w:tc>
          <w:tcPr>
            <w:tcW w:w="0" w:type="auto"/>
            <w:shd w:val="clear" w:color="auto" w:fill="FFFFFF"/>
            <w:vAlign w:val="bottom"/>
            <w:hideMark/>
          </w:tcPr>
          <w:p w14:paraId="7BAE396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r>
      <w:tr w:rsidR="003D3E62" w:rsidRPr="003D3E62" w14:paraId="1ECBB92B" w14:textId="77777777">
        <w:trPr>
          <w:tblCellSpacing w:w="0" w:type="dxa"/>
          <w:jc w:val="center"/>
        </w:trPr>
        <w:tc>
          <w:tcPr>
            <w:tcW w:w="0" w:type="auto"/>
            <w:vAlign w:val="bottom"/>
            <w:hideMark/>
          </w:tcPr>
          <w:p w14:paraId="506DA31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19170A4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23F29DA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D97420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03B13142" w14:textId="77777777">
        <w:trPr>
          <w:tblCellSpacing w:w="0" w:type="dxa"/>
          <w:jc w:val="center"/>
        </w:trPr>
        <w:tc>
          <w:tcPr>
            <w:tcW w:w="0" w:type="auto"/>
            <w:shd w:val="clear" w:color="auto" w:fill="CCEEFF"/>
            <w:vAlign w:val="bottom"/>
            <w:hideMark/>
          </w:tcPr>
          <w:p w14:paraId="088B5ED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December 31, 2009</w:t>
            </w:r>
          </w:p>
        </w:tc>
        <w:tc>
          <w:tcPr>
            <w:tcW w:w="0" w:type="auto"/>
            <w:shd w:val="clear" w:color="auto" w:fill="CCEEFF"/>
            <w:vAlign w:val="bottom"/>
            <w:hideMark/>
          </w:tcPr>
          <w:p w14:paraId="65C15A9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45BDCE9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1DAC42D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98</w:t>
            </w:r>
          </w:p>
        </w:tc>
        <w:tc>
          <w:tcPr>
            <w:tcW w:w="0" w:type="auto"/>
            <w:shd w:val="clear" w:color="auto" w:fill="CCEEFF"/>
            <w:vAlign w:val="bottom"/>
            <w:hideMark/>
          </w:tcPr>
          <w:p w14:paraId="748DEC5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1BFC29F0" w14:textId="77777777">
        <w:trPr>
          <w:tblCellSpacing w:w="0" w:type="dxa"/>
          <w:jc w:val="center"/>
        </w:trPr>
        <w:tc>
          <w:tcPr>
            <w:tcW w:w="0" w:type="auto"/>
            <w:shd w:val="clear" w:color="auto" w:fill="FFFFFF"/>
            <w:vAlign w:val="bottom"/>
            <w:hideMark/>
          </w:tcPr>
          <w:p w14:paraId="3FBB6E7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Payments and other adjustments</w:t>
            </w:r>
          </w:p>
        </w:tc>
        <w:tc>
          <w:tcPr>
            <w:tcW w:w="0" w:type="auto"/>
            <w:shd w:val="clear" w:color="auto" w:fill="FFFFFF"/>
            <w:vAlign w:val="bottom"/>
            <w:hideMark/>
          </w:tcPr>
          <w:p w14:paraId="148AB67C"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8877D4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70DECD0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(10</w:t>
            </w:r>
          </w:p>
        </w:tc>
        <w:tc>
          <w:tcPr>
            <w:tcW w:w="0" w:type="auto"/>
            <w:shd w:val="clear" w:color="auto" w:fill="FFFFFF"/>
            <w:vAlign w:val="bottom"/>
            <w:hideMark/>
          </w:tcPr>
          <w:p w14:paraId="2E6CB8D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r>
      <w:tr w:rsidR="003D3E62" w:rsidRPr="003D3E62" w14:paraId="3F0633E3" w14:textId="77777777">
        <w:trPr>
          <w:tblCellSpacing w:w="0" w:type="dxa"/>
          <w:jc w:val="center"/>
        </w:trPr>
        <w:tc>
          <w:tcPr>
            <w:tcW w:w="0" w:type="auto"/>
            <w:vAlign w:val="bottom"/>
            <w:hideMark/>
          </w:tcPr>
          <w:p w14:paraId="33E18C2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6ECA248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5BE76A7D"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57ED208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76279831" w14:textId="77777777">
        <w:trPr>
          <w:tblCellSpacing w:w="0" w:type="dxa"/>
          <w:jc w:val="center"/>
        </w:trPr>
        <w:tc>
          <w:tcPr>
            <w:tcW w:w="0" w:type="auto"/>
            <w:shd w:val="clear" w:color="auto" w:fill="CCEEFF"/>
            <w:vAlign w:val="bottom"/>
            <w:hideMark/>
          </w:tcPr>
          <w:p w14:paraId="6C01589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December 31, 2010</w:t>
            </w:r>
          </w:p>
        </w:tc>
        <w:tc>
          <w:tcPr>
            <w:tcW w:w="0" w:type="auto"/>
            <w:shd w:val="clear" w:color="auto" w:fill="CCEEFF"/>
            <w:vAlign w:val="bottom"/>
            <w:hideMark/>
          </w:tcPr>
          <w:p w14:paraId="0AAF88FF"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0B275BB5"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7FF5E3A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88</w:t>
            </w:r>
          </w:p>
        </w:tc>
        <w:tc>
          <w:tcPr>
            <w:tcW w:w="0" w:type="auto"/>
            <w:shd w:val="clear" w:color="auto" w:fill="CCEEFF"/>
            <w:vAlign w:val="bottom"/>
            <w:hideMark/>
          </w:tcPr>
          <w:p w14:paraId="172B60A7"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740CA1D7" w14:textId="77777777">
        <w:trPr>
          <w:tblCellSpacing w:w="0" w:type="dxa"/>
          <w:jc w:val="center"/>
        </w:trPr>
        <w:tc>
          <w:tcPr>
            <w:tcW w:w="0" w:type="auto"/>
            <w:shd w:val="clear" w:color="auto" w:fill="FFFFFF"/>
            <w:vAlign w:val="bottom"/>
            <w:hideMark/>
          </w:tcPr>
          <w:p w14:paraId="6806927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2011 restructuring charge</w:t>
            </w:r>
          </w:p>
        </w:tc>
        <w:tc>
          <w:tcPr>
            <w:tcW w:w="0" w:type="auto"/>
            <w:shd w:val="clear" w:color="auto" w:fill="FFFFFF"/>
            <w:vAlign w:val="bottom"/>
            <w:hideMark/>
          </w:tcPr>
          <w:p w14:paraId="5F2E23C4"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081F010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28782A5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28</w:t>
            </w:r>
          </w:p>
        </w:tc>
        <w:tc>
          <w:tcPr>
            <w:tcW w:w="0" w:type="auto"/>
            <w:shd w:val="clear" w:color="auto" w:fill="FFFFFF"/>
            <w:vAlign w:val="bottom"/>
            <w:hideMark/>
          </w:tcPr>
          <w:p w14:paraId="24FC09B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28A110B4" w14:textId="77777777">
        <w:trPr>
          <w:tblCellSpacing w:w="0" w:type="dxa"/>
          <w:jc w:val="center"/>
        </w:trPr>
        <w:tc>
          <w:tcPr>
            <w:tcW w:w="0" w:type="auto"/>
            <w:shd w:val="clear" w:color="auto" w:fill="CCEEFF"/>
            <w:vAlign w:val="bottom"/>
            <w:hideMark/>
          </w:tcPr>
          <w:p w14:paraId="23A9AD71"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Payments and other adjustments</w:t>
            </w:r>
          </w:p>
        </w:tc>
        <w:tc>
          <w:tcPr>
            <w:tcW w:w="0" w:type="auto"/>
            <w:shd w:val="clear" w:color="auto" w:fill="CCEEFF"/>
            <w:vAlign w:val="bottom"/>
            <w:hideMark/>
          </w:tcPr>
          <w:p w14:paraId="3F6F971A"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37048C2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CCEEFF"/>
            <w:vAlign w:val="bottom"/>
            <w:hideMark/>
          </w:tcPr>
          <w:p w14:paraId="44806CA2"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(37</w:t>
            </w:r>
          </w:p>
        </w:tc>
        <w:tc>
          <w:tcPr>
            <w:tcW w:w="0" w:type="auto"/>
            <w:shd w:val="clear" w:color="auto" w:fill="CCEEFF"/>
            <w:vAlign w:val="bottom"/>
            <w:hideMark/>
          </w:tcPr>
          <w:p w14:paraId="0DD467DC"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r>
      <w:tr w:rsidR="003D3E62" w:rsidRPr="003D3E62" w14:paraId="67E8BC8B" w14:textId="77777777">
        <w:trPr>
          <w:tblCellSpacing w:w="0" w:type="dxa"/>
          <w:jc w:val="center"/>
        </w:trPr>
        <w:tc>
          <w:tcPr>
            <w:tcW w:w="0" w:type="auto"/>
            <w:vAlign w:val="bottom"/>
            <w:hideMark/>
          </w:tcPr>
          <w:p w14:paraId="460AA28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10B014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single" w:sz="8" w:space="0" w:color="000000"/>
            </w:tcBorders>
            <w:vAlign w:val="bottom"/>
            <w:hideMark/>
          </w:tcPr>
          <w:p w14:paraId="3E3C8C2F"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33DAB1E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672B1E0E" w14:textId="77777777">
        <w:trPr>
          <w:tblCellSpacing w:w="0" w:type="dxa"/>
          <w:jc w:val="center"/>
        </w:trPr>
        <w:tc>
          <w:tcPr>
            <w:tcW w:w="0" w:type="auto"/>
            <w:shd w:val="clear" w:color="auto" w:fill="FFFFFF"/>
            <w:vAlign w:val="bottom"/>
            <w:hideMark/>
          </w:tcPr>
          <w:p w14:paraId="66960C77"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xml:space="preserve">Accrued balance </w:t>
            </w:r>
            <w:proofErr w:type="gramStart"/>
            <w:r w:rsidRPr="003D3E62">
              <w:rPr>
                <w:rFonts w:ascii="Times New Roman" w:eastAsia="Times New Roman" w:hAnsi="Times New Roman" w:cs="Times New Roman"/>
                <w:i/>
                <w:iCs/>
                <w:color w:val="000000"/>
                <w:kern w:val="0"/>
                <w:sz w:val="20"/>
                <w:szCs w:val="20"/>
                <w14:ligatures w14:val="none"/>
              </w:rPr>
              <w:t>at</w:t>
            </w:r>
            <w:proofErr w:type="gramEnd"/>
            <w:r w:rsidRPr="003D3E62">
              <w:rPr>
                <w:rFonts w:ascii="Times New Roman" w:eastAsia="Times New Roman" w:hAnsi="Times New Roman" w:cs="Times New Roman"/>
                <w:i/>
                <w:iCs/>
                <w:color w:val="000000"/>
                <w:kern w:val="0"/>
                <w:sz w:val="20"/>
                <w:szCs w:val="20"/>
                <w14:ligatures w14:val="none"/>
              </w:rPr>
              <w:t xml:space="preserve"> December 31, 2011</w:t>
            </w:r>
          </w:p>
        </w:tc>
        <w:tc>
          <w:tcPr>
            <w:tcW w:w="0" w:type="auto"/>
            <w:shd w:val="clear" w:color="auto" w:fill="FFFFFF"/>
            <w:vAlign w:val="bottom"/>
            <w:hideMark/>
          </w:tcPr>
          <w:p w14:paraId="2569279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shd w:val="clear" w:color="auto" w:fill="FFFFFF"/>
            <w:vAlign w:val="bottom"/>
            <w:hideMark/>
          </w:tcPr>
          <w:p w14:paraId="4E21B1F0"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w:t>
            </w:r>
          </w:p>
        </w:tc>
        <w:tc>
          <w:tcPr>
            <w:tcW w:w="0" w:type="auto"/>
            <w:shd w:val="clear" w:color="auto" w:fill="FFFFFF"/>
            <w:vAlign w:val="bottom"/>
            <w:hideMark/>
          </w:tcPr>
          <w:p w14:paraId="7DB42059"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79</w:t>
            </w:r>
          </w:p>
        </w:tc>
        <w:tc>
          <w:tcPr>
            <w:tcW w:w="0" w:type="auto"/>
            <w:shd w:val="clear" w:color="auto" w:fill="FFFFFF"/>
            <w:vAlign w:val="bottom"/>
            <w:hideMark/>
          </w:tcPr>
          <w:p w14:paraId="0249E036"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r w:rsidR="003D3E62" w:rsidRPr="003D3E62" w14:paraId="11D802B0" w14:textId="77777777">
        <w:trPr>
          <w:tblCellSpacing w:w="0" w:type="dxa"/>
          <w:jc w:val="center"/>
        </w:trPr>
        <w:tc>
          <w:tcPr>
            <w:tcW w:w="0" w:type="auto"/>
            <w:vAlign w:val="bottom"/>
            <w:hideMark/>
          </w:tcPr>
          <w:p w14:paraId="7C2CDFE4"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609638BE"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gridSpan w:val="2"/>
            <w:tcBorders>
              <w:bottom w:val="double" w:sz="6" w:space="0" w:color="000000"/>
            </w:tcBorders>
            <w:vAlign w:val="bottom"/>
            <w:hideMark/>
          </w:tcPr>
          <w:p w14:paraId="7E0BC83B"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c>
          <w:tcPr>
            <w:tcW w:w="0" w:type="auto"/>
            <w:vAlign w:val="bottom"/>
            <w:hideMark/>
          </w:tcPr>
          <w:p w14:paraId="250D7F43" w14:textId="77777777" w:rsidR="003D3E62" w:rsidRPr="003D3E62" w:rsidRDefault="003D3E62" w:rsidP="003D3E62">
            <w:pPr>
              <w:rPr>
                <w:rFonts w:ascii="Times New Roman" w:eastAsia="Times New Roman" w:hAnsi="Times New Roman" w:cs="Times New Roman"/>
                <w:i/>
                <w:iCs/>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p>
        </w:tc>
      </w:tr>
    </w:tbl>
    <w:p w14:paraId="26EBC925" w14:textId="77777777" w:rsidR="003D3E62" w:rsidRPr="00880E5C" w:rsidRDefault="003D3E62" w:rsidP="003D3E62">
      <w:pPr>
        <w:rPr>
          <w:rFonts w:ascii="Times New Roman" w:eastAsia="Times New Roman" w:hAnsi="Times New Roman" w:cs="Times New Roman"/>
          <w:color w:val="000000"/>
          <w:kern w:val="0"/>
          <w:sz w:val="20"/>
          <w:szCs w:val="20"/>
          <w14:ligatures w14:val="none"/>
        </w:rPr>
      </w:pPr>
      <w:r w:rsidRPr="003D3E62">
        <w:rPr>
          <w:rFonts w:ascii="Times New Roman" w:eastAsia="Times New Roman" w:hAnsi="Times New Roman" w:cs="Times New Roman"/>
          <w:i/>
          <w:iCs/>
          <w:color w:val="000000"/>
          <w:kern w:val="0"/>
          <w:sz w:val="20"/>
          <w:szCs w:val="20"/>
          <w14:ligatures w14:val="none"/>
        </w:rPr>
        <w:t>      </w:t>
      </w:r>
      <w:r w:rsidRPr="00880E5C">
        <w:rPr>
          <w:rFonts w:ascii="Times New Roman" w:eastAsia="Times New Roman" w:hAnsi="Times New Roman" w:cs="Times New Roman"/>
          <w:color w:val="000000"/>
          <w:kern w:val="0"/>
          <w:sz w:val="20"/>
          <w:szCs w:val="20"/>
          <w14:ligatures w14:val="none"/>
        </w:rPr>
        <w:t xml:space="preserve">  In addition, charges of approximately $42 million, $60 million and $54 million were recorded in 2011, 2010 and 2009, primarily for accelerated depreciation and product transfer costs. Additional charges will be incurred through 2012 </w:t>
      </w:r>
      <w:proofErr w:type="gramStart"/>
      <w:r w:rsidRPr="00880E5C">
        <w:rPr>
          <w:rFonts w:ascii="Times New Roman" w:eastAsia="Times New Roman" w:hAnsi="Times New Roman" w:cs="Times New Roman"/>
          <w:color w:val="000000"/>
          <w:kern w:val="0"/>
          <w:sz w:val="20"/>
          <w:szCs w:val="20"/>
          <w14:ligatures w14:val="none"/>
        </w:rPr>
        <w:t>as a result of</w:t>
      </w:r>
      <w:proofErr w:type="gramEnd"/>
      <w:r w:rsidRPr="00880E5C">
        <w:rPr>
          <w:rFonts w:ascii="Times New Roman" w:eastAsia="Times New Roman" w:hAnsi="Times New Roman" w:cs="Times New Roman"/>
          <w:color w:val="000000"/>
          <w:kern w:val="0"/>
          <w:sz w:val="20"/>
          <w:szCs w:val="20"/>
          <w14:ligatures w14:val="none"/>
        </w:rPr>
        <w:t xml:space="preserve"> product re-registration timelines required under manufacturing regulations in </w:t>
      </w:r>
      <w:proofErr w:type="gramStart"/>
      <w:r w:rsidRPr="00880E5C">
        <w:rPr>
          <w:rFonts w:ascii="Times New Roman" w:eastAsia="Times New Roman" w:hAnsi="Times New Roman" w:cs="Times New Roman"/>
          <w:color w:val="000000"/>
          <w:kern w:val="0"/>
          <w:sz w:val="20"/>
          <w:szCs w:val="20"/>
          <w14:ligatures w14:val="none"/>
        </w:rPr>
        <w:t>a number of</w:t>
      </w:r>
      <w:proofErr w:type="gramEnd"/>
      <w:r w:rsidRPr="00880E5C">
        <w:rPr>
          <w:rFonts w:ascii="Times New Roman" w:eastAsia="Times New Roman" w:hAnsi="Times New Roman" w:cs="Times New Roman"/>
          <w:color w:val="000000"/>
          <w:kern w:val="0"/>
          <w:sz w:val="20"/>
          <w:szCs w:val="20"/>
          <w14:ligatures w14:val="none"/>
        </w:rPr>
        <w:t xml:space="preserve"> countries and product transition timelines.</w:t>
      </w:r>
    </w:p>
    <w:p w14:paraId="0B1F0F60" w14:textId="77777777" w:rsidR="003D3E62" w:rsidRPr="003D3E62" w:rsidRDefault="003D3E62" w:rsidP="00F73C8A">
      <w:pPr>
        <w:rPr>
          <w:rFonts w:ascii="Times New Roman" w:eastAsia="Times New Roman" w:hAnsi="Times New Roman" w:cs="Times New Roman"/>
          <w:i/>
          <w:iCs/>
          <w:color w:val="000000"/>
          <w:kern w:val="0"/>
          <w:sz w:val="20"/>
          <w:szCs w:val="20"/>
          <w14:ligatures w14:val="none"/>
        </w:rPr>
      </w:pPr>
    </w:p>
    <w:sectPr w:rsidR="003D3E62" w:rsidRPr="003D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417E7"/>
    <w:rsid w:val="00055FF7"/>
    <w:rsid w:val="0006368A"/>
    <w:rsid w:val="000F2C5E"/>
    <w:rsid w:val="00100A9E"/>
    <w:rsid w:val="00183007"/>
    <w:rsid w:val="00191EB0"/>
    <w:rsid w:val="001A224B"/>
    <w:rsid w:val="001E221B"/>
    <w:rsid w:val="001F7A3A"/>
    <w:rsid w:val="0021301A"/>
    <w:rsid w:val="00260FDB"/>
    <w:rsid w:val="00270909"/>
    <w:rsid w:val="002725F3"/>
    <w:rsid w:val="002B235A"/>
    <w:rsid w:val="002B5930"/>
    <w:rsid w:val="002C20AD"/>
    <w:rsid w:val="002F43DB"/>
    <w:rsid w:val="00316A34"/>
    <w:rsid w:val="00323AC6"/>
    <w:rsid w:val="0033533B"/>
    <w:rsid w:val="003820D4"/>
    <w:rsid w:val="003B4851"/>
    <w:rsid w:val="003D3E62"/>
    <w:rsid w:val="004046C3"/>
    <w:rsid w:val="00460FD0"/>
    <w:rsid w:val="00490590"/>
    <w:rsid w:val="004B1573"/>
    <w:rsid w:val="004C36DF"/>
    <w:rsid w:val="004D63D0"/>
    <w:rsid w:val="004F1F01"/>
    <w:rsid w:val="00541227"/>
    <w:rsid w:val="00542803"/>
    <w:rsid w:val="005505EC"/>
    <w:rsid w:val="00577F13"/>
    <w:rsid w:val="005864F9"/>
    <w:rsid w:val="005A4633"/>
    <w:rsid w:val="005E3D89"/>
    <w:rsid w:val="005E3D8C"/>
    <w:rsid w:val="005E63D3"/>
    <w:rsid w:val="00611821"/>
    <w:rsid w:val="006258C5"/>
    <w:rsid w:val="00662418"/>
    <w:rsid w:val="0069098E"/>
    <w:rsid w:val="006B1E35"/>
    <w:rsid w:val="006C2223"/>
    <w:rsid w:val="00721E64"/>
    <w:rsid w:val="007A1B87"/>
    <w:rsid w:val="007A2C29"/>
    <w:rsid w:val="007B0CA0"/>
    <w:rsid w:val="007B6FAC"/>
    <w:rsid w:val="007C1679"/>
    <w:rsid w:val="008071BA"/>
    <w:rsid w:val="00817DFA"/>
    <w:rsid w:val="00845265"/>
    <w:rsid w:val="0087304A"/>
    <w:rsid w:val="00880E5C"/>
    <w:rsid w:val="008C56E5"/>
    <w:rsid w:val="008E38A8"/>
    <w:rsid w:val="00905D76"/>
    <w:rsid w:val="00906782"/>
    <w:rsid w:val="00963B00"/>
    <w:rsid w:val="00984FA3"/>
    <w:rsid w:val="009B75A8"/>
    <w:rsid w:val="009C1B11"/>
    <w:rsid w:val="009C3D87"/>
    <w:rsid w:val="009E3302"/>
    <w:rsid w:val="009E6F92"/>
    <w:rsid w:val="009F5F7F"/>
    <w:rsid w:val="00A01CB8"/>
    <w:rsid w:val="00A23C44"/>
    <w:rsid w:val="00A24452"/>
    <w:rsid w:val="00A72F7B"/>
    <w:rsid w:val="00A770A8"/>
    <w:rsid w:val="00AB0BD4"/>
    <w:rsid w:val="00AE7278"/>
    <w:rsid w:val="00AF6BE1"/>
    <w:rsid w:val="00B02A64"/>
    <w:rsid w:val="00B542B8"/>
    <w:rsid w:val="00B86229"/>
    <w:rsid w:val="00BC7BAC"/>
    <w:rsid w:val="00BE79F9"/>
    <w:rsid w:val="00BF36A7"/>
    <w:rsid w:val="00C5001D"/>
    <w:rsid w:val="00C71C49"/>
    <w:rsid w:val="00C77795"/>
    <w:rsid w:val="00C85B21"/>
    <w:rsid w:val="00C97746"/>
    <w:rsid w:val="00CA373F"/>
    <w:rsid w:val="00CB3778"/>
    <w:rsid w:val="00D05C1E"/>
    <w:rsid w:val="00D30CCD"/>
    <w:rsid w:val="00D42711"/>
    <w:rsid w:val="00E11720"/>
    <w:rsid w:val="00E2053F"/>
    <w:rsid w:val="00E36779"/>
    <w:rsid w:val="00E503F5"/>
    <w:rsid w:val="00E5268E"/>
    <w:rsid w:val="00EA2677"/>
    <w:rsid w:val="00EE2DD0"/>
    <w:rsid w:val="00EF23C8"/>
    <w:rsid w:val="00EF5EC9"/>
    <w:rsid w:val="00F25F23"/>
    <w:rsid w:val="00F73C8A"/>
    <w:rsid w:val="00F847A1"/>
    <w:rsid w:val="00F910A1"/>
    <w:rsid w:val="00FA5CC9"/>
    <w:rsid w:val="00FA6818"/>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5A"/>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93</cp:revision>
  <dcterms:created xsi:type="dcterms:W3CDTF">2025-09-26T22:30:00Z</dcterms:created>
  <dcterms:modified xsi:type="dcterms:W3CDTF">2026-02-06T08:32:00Z</dcterms:modified>
</cp:coreProperties>
</file>