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DA53" w14:textId="437DE2E6" w:rsidR="00F3336B" w:rsidRDefault="004D0929" w:rsidP="004D0929">
      <w:pPr>
        <w:rPr>
          <w:rFonts w:ascii="Times New Roman" w:hAnsi="Times New Roman" w:cs="Times New Roman"/>
          <w:sz w:val="20"/>
          <w:szCs w:val="20"/>
        </w:rPr>
      </w:pPr>
      <w:r w:rsidRPr="004D0929">
        <w:rPr>
          <w:rFonts w:ascii="Times New Roman" w:hAnsi="Times New Roman" w:cs="Times New Roman"/>
          <w:sz w:val="20"/>
          <w:szCs w:val="20"/>
        </w:rPr>
        <w:t>During 2015, we continued to focus on reducing our expenses. Our operating expenses in 2015 decreased to $1.56 billion, from $1.99 billion in 2014. Our operating expenses in 2014 included a goodwill impairment charge of $233 million. We also took steps to simplify our business and better align resources around our priorities and business outlook. In the third quarter of 2015, we implemented a restructuring plan (2015 Restructuring Plan). The 2015 Restructuring Plan provides for a workforce reduction of approximately 5% and includes organizational actions such as outsourcing certain IT services and application development. The 2015 Restructuring Plan also anticipates a charge for the consolidation of certain real estate facilities. We realized operational savings, primarily in operating expenses, of approximately $8 million in 2015. We expect the 2015 Restructuring Plan to result in operational savings, primarily in operating expenses, of approximately $48 million in 2016</w:t>
      </w:r>
      <w:r w:rsidR="00F3336B">
        <w:rPr>
          <w:rFonts w:ascii="Times New Roman" w:hAnsi="Times New Roman" w:cs="Times New Roman"/>
          <w:sz w:val="20"/>
          <w:szCs w:val="20"/>
        </w:rPr>
        <w:t>.</w:t>
      </w:r>
    </w:p>
    <w:p w14:paraId="66263F7A" w14:textId="77777777" w:rsidR="00F3336B" w:rsidRPr="00F3336B" w:rsidRDefault="00F3336B" w:rsidP="00F3336B">
      <w:pPr>
        <w:rPr>
          <w:rFonts w:ascii="Times New Roman" w:hAnsi="Times New Roman" w:cs="Times New Roman"/>
          <w:sz w:val="20"/>
          <w:szCs w:val="20"/>
        </w:rPr>
      </w:pPr>
      <w:r w:rsidRPr="00F3336B">
        <w:rPr>
          <w:rFonts w:ascii="Times New Roman" w:hAnsi="Times New Roman" w:cs="Times New Roman"/>
          <w:sz w:val="20"/>
          <w:szCs w:val="20"/>
        </w:rPr>
        <w:t>All Other operating loss of $194 million in 2015 primarily included restructuring and other special charges, net of $129 million and stock-based compensation expense of $63 million. Restructuring and other special charges, net of $129 million included $76 million related to our decision to exit from the dense server systems business, $37 million related to our 2015 Restructuring Plan and $16 million related to our 2014 Restructuring Plan.</w:t>
      </w:r>
    </w:p>
    <w:p w14:paraId="645E15F1" w14:textId="77777777" w:rsidR="00F3336B" w:rsidRPr="00F3336B" w:rsidRDefault="00F3336B" w:rsidP="00F3336B">
      <w:pPr>
        <w:rPr>
          <w:rFonts w:ascii="Times New Roman" w:hAnsi="Times New Roman" w:cs="Times New Roman"/>
          <w:sz w:val="20"/>
          <w:szCs w:val="20"/>
        </w:rPr>
      </w:pPr>
      <w:r w:rsidRPr="00F3336B">
        <w:rPr>
          <w:rFonts w:ascii="Times New Roman" w:hAnsi="Times New Roman" w:cs="Times New Roman"/>
          <w:sz w:val="20"/>
          <w:szCs w:val="20"/>
        </w:rPr>
        <w:t>All Other operating loss of $478 million in 2014 included a goodwill impairment charge of $233 million, stock-based compensation expense of $81 million, net restructuring and other special charges of $71 million, lower of cost or market inventory adjustment of $58 million, $14 million related to workforce rebalancing severance charges, $14 million related to amortization of acquired intangible assets and $7 million related to other expenses.</w:t>
      </w:r>
    </w:p>
    <w:p w14:paraId="087CAA9A" w14:textId="77777777" w:rsidR="00F3336B" w:rsidRPr="00F3336B" w:rsidRDefault="00F3336B" w:rsidP="00F3336B">
      <w:pPr>
        <w:rPr>
          <w:rFonts w:ascii="Times New Roman" w:hAnsi="Times New Roman" w:cs="Times New Roman"/>
          <w:sz w:val="20"/>
          <w:szCs w:val="20"/>
        </w:rPr>
      </w:pPr>
      <w:r w:rsidRPr="00F3336B">
        <w:rPr>
          <w:rFonts w:ascii="Times New Roman" w:hAnsi="Times New Roman" w:cs="Times New Roman"/>
          <w:sz w:val="20"/>
          <w:szCs w:val="20"/>
        </w:rPr>
        <w:t xml:space="preserve">All Other operating loss of $91 million in 2013 included stock-based compensation expense of $91 million, net restructuring and other special charges of $30 million and $18 million related to amortization of acquired intangible assets. During the fourth quarter of 2013, we </w:t>
      </w:r>
      <w:proofErr w:type="gramStart"/>
      <w:r w:rsidRPr="00F3336B">
        <w:rPr>
          <w:rFonts w:ascii="Times New Roman" w:hAnsi="Times New Roman" w:cs="Times New Roman"/>
          <w:sz w:val="20"/>
          <w:szCs w:val="20"/>
        </w:rPr>
        <w:t>entered into</w:t>
      </w:r>
      <w:proofErr w:type="gramEnd"/>
      <w:r w:rsidRPr="00F3336B">
        <w:rPr>
          <w:rFonts w:ascii="Times New Roman" w:hAnsi="Times New Roman" w:cs="Times New Roman"/>
          <w:sz w:val="20"/>
          <w:szCs w:val="20"/>
        </w:rPr>
        <w:t xml:space="preserve"> licenses and settlements regarding patent-related matters, for which we received in aggregate $48 million in net cash, which we recorded as an offset to operating expenses.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6"/>
        <w:gridCol w:w="158"/>
        <w:gridCol w:w="538"/>
        <w:gridCol w:w="239"/>
        <w:gridCol w:w="133"/>
        <w:gridCol w:w="158"/>
        <w:gridCol w:w="546"/>
        <w:gridCol w:w="239"/>
        <w:gridCol w:w="133"/>
        <w:gridCol w:w="158"/>
        <w:gridCol w:w="546"/>
        <w:gridCol w:w="239"/>
      </w:tblGrid>
      <w:tr w:rsidR="00F874D0" w:rsidRPr="00F874D0" w14:paraId="6ECF80A3" w14:textId="77777777" w:rsidTr="00F874D0">
        <w:trPr>
          <w:gridAfter w:val="11"/>
        </w:trPr>
        <w:tc>
          <w:tcPr>
            <w:tcW w:w="0" w:type="auto"/>
            <w:vAlign w:val="center"/>
            <w:hideMark/>
          </w:tcPr>
          <w:p w14:paraId="60C13307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74D0" w:rsidRPr="00F874D0" w14:paraId="095415E2" w14:textId="77777777" w:rsidTr="00F874D0">
        <w:trPr>
          <w:gridAfter w:val="1"/>
        </w:trPr>
        <w:tc>
          <w:tcPr>
            <w:tcW w:w="0" w:type="auto"/>
            <w:gridSpan w:val="3"/>
            <w:tcBorders>
              <w:bottom w:val="single" w:sz="6" w:space="0" w:color="00000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86D90A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2015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54116CC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3"/>
            <w:tcBorders>
              <w:bottom w:val="single" w:sz="6" w:space="0" w:color="00000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145280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2014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FADA96E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3"/>
            <w:tcBorders>
              <w:bottom w:val="single" w:sz="6" w:space="0" w:color="00000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49ABE4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2013</w:t>
            </w:r>
          </w:p>
        </w:tc>
      </w:tr>
      <w:tr w:rsidR="00F874D0" w:rsidRPr="00F874D0" w14:paraId="4BC6E0B5" w14:textId="77777777" w:rsidTr="00F874D0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9D84096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11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7832B140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(In millions, except for percentages)</w:t>
            </w:r>
          </w:p>
        </w:tc>
      </w:tr>
      <w:tr w:rsidR="00F874D0" w:rsidRPr="00F874D0" w14:paraId="32829B09" w14:textId="77777777" w:rsidTr="00F874D0"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A74E5B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Cost of sales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5875C14A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$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85119E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2,911</w:t>
            </w:r>
          </w:p>
        </w:tc>
        <w:tc>
          <w:tcPr>
            <w:tcW w:w="0" w:type="auto"/>
            <w:shd w:val="clear" w:color="auto" w:fill="CCEEFF"/>
            <w:vAlign w:val="bottom"/>
            <w:hideMark/>
          </w:tcPr>
          <w:p w14:paraId="6401BD27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1C26A72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0A7A52C3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$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C5B0ED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3,667</w:t>
            </w:r>
          </w:p>
        </w:tc>
        <w:tc>
          <w:tcPr>
            <w:tcW w:w="0" w:type="auto"/>
            <w:shd w:val="clear" w:color="auto" w:fill="CCEEFF"/>
            <w:vAlign w:val="bottom"/>
            <w:hideMark/>
          </w:tcPr>
          <w:p w14:paraId="68211C68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94BB758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48C58495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$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7C2B42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3,321</w:t>
            </w:r>
          </w:p>
        </w:tc>
        <w:tc>
          <w:tcPr>
            <w:tcW w:w="0" w:type="auto"/>
            <w:shd w:val="clear" w:color="auto" w:fill="CCEEFF"/>
            <w:vAlign w:val="bottom"/>
            <w:hideMark/>
          </w:tcPr>
          <w:p w14:paraId="229468BB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74D0" w:rsidRPr="00F874D0" w14:paraId="157EC5CA" w14:textId="77777777" w:rsidTr="00F874D0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827E96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Gross margin</w:t>
            </w:r>
          </w:p>
        </w:tc>
        <w:tc>
          <w:tcPr>
            <w:tcW w:w="0" w:type="auto"/>
            <w:gridSpan w:val="2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443F23EC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1,080</w:t>
            </w:r>
          </w:p>
        </w:tc>
        <w:tc>
          <w:tcPr>
            <w:tcW w:w="0" w:type="auto"/>
            <w:vAlign w:val="bottom"/>
            <w:hideMark/>
          </w:tcPr>
          <w:p w14:paraId="4551EFFF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370EC9D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4E324137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1,839</w:t>
            </w:r>
          </w:p>
        </w:tc>
        <w:tc>
          <w:tcPr>
            <w:tcW w:w="0" w:type="auto"/>
            <w:vAlign w:val="bottom"/>
            <w:hideMark/>
          </w:tcPr>
          <w:p w14:paraId="78FCB052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10535B9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0FEABE78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1,978</w:t>
            </w:r>
          </w:p>
        </w:tc>
        <w:tc>
          <w:tcPr>
            <w:tcW w:w="0" w:type="auto"/>
            <w:vAlign w:val="bottom"/>
            <w:hideMark/>
          </w:tcPr>
          <w:p w14:paraId="3B99C747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74D0" w:rsidRPr="00F874D0" w14:paraId="22A6250D" w14:textId="77777777" w:rsidTr="00F874D0"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768570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Gross margin percentage</w:t>
            </w:r>
          </w:p>
        </w:tc>
        <w:tc>
          <w:tcPr>
            <w:tcW w:w="0" w:type="auto"/>
            <w:gridSpan w:val="2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4CE9F639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0" w:type="dxa"/>
              <w:bottom w:w="30" w:type="dxa"/>
              <w:right w:w="30" w:type="dxa"/>
            </w:tcMar>
            <w:vAlign w:val="bottom"/>
            <w:hideMark/>
          </w:tcPr>
          <w:p w14:paraId="4697CF0F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8EF50EF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2000BC8A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0" w:type="dxa"/>
              <w:bottom w:w="30" w:type="dxa"/>
              <w:right w:w="30" w:type="dxa"/>
            </w:tcMar>
            <w:vAlign w:val="bottom"/>
            <w:hideMark/>
          </w:tcPr>
          <w:p w14:paraId="574DBA32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BECF59E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2C9785FE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0" w:type="dxa"/>
              <w:bottom w:w="30" w:type="dxa"/>
              <w:right w:w="30" w:type="dxa"/>
            </w:tcMar>
            <w:vAlign w:val="bottom"/>
            <w:hideMark/>
          </w:tcPr>
          <w:p w14:paraId="4BFC21B6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F874D0" w:rsidRPr="00F874D0" w14:paraId="1E6346FE" w14:textId="77777777" w:rsidTr="00F874D0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E826B5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Research and development</w:t>
            </w:r>
          </w:p>
        </w:tc>
        <w:tc>
          <w:tcPr>
            <w:tcW w:w="0" w:type="auto"/>
            <w:gridSpan w:val="2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1721D66E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947</w:t>
            </w:r>
          </w:p>
        </w:tc>
        <w:tc>
          <w:tcPr>
            <w:tcW w:w="0" w:type="auto"/>
            <w:vAlign w:val="bottom"/>
            <w:hideMark/>
          </w:tcPr>
          <w:p w14:paraId="082C0A4A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C936192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5D12E9B7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1,072</w:t>
            </w:r>
          </w:p>
        </w:tc>
        <w:tc>
          <w:tcPr>
            <w:tcW w:w="0" w:type="auto"/>
            <w:vAlign w:val="bottom"/>
            <w:hideMark/>
          </w:tcPr>
          <w:p w14:paraId="399CFCDA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69D1C33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644FA4AC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1,201</w:t>
            </w:r>
          </w:p>
        </w:tc>
        <w:tc>
          <w:tcPr>
            <w:tcW w:w="0" w:type="auto"/>
            <w:vAlign w:val="bottom"/>
            <w:hideMark/>
          </w:tcPr>
          <w:p w14:paraId="5E6D33A6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74D0" w:rsidRPr="00F874D0" w14:paraId="1CCC407E" w14:textId="77777777" w:rsidTr="00F874D0"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A73006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Marketing, general and administrative</w:t>
            </w:r>
          </w:p>
        </w:tc>
        <w:tc>
          <w:tcPr>
            <w:tcW w:w="0" w:type="auto"/>
            <w:gridSpan w:val="2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65EA4765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482</w:t>
            </w:r>
          </w:p>
        </w:tc>
        <w:tc>
          <w:tcPr>
            <w:tcW w:w="0" w:type="auto"/>
            <w:shd w:val="clear" w:color="auto" w:fill="CCEEFF"/>
            <w:vAlign w:val="bottom"/>
            <w:hideMark/>
          </w:tcPr>
          <w:p w14:paraId="67C1D923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2B3FFB1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1E64D2F7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604</w:t>
            </w:r>
          </w:p>
        </w:tc>
        <w:tc>
          <w:tcPr>
            <w:tcW w:w="0" w:type="auto"/>
            <w:shd w:val="clear" w:color="auto" w:fill="CCEEFF"/>
            <w:vAlign w:val="bottom"/>
            <w:hideMark/>
          </w:tcPr>
          <w:p w14:paraId="1CFE00E9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775A071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5698F8EC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674</w:t>
            </w:r>
          </w:p>
        </w:tc>
        <w:tc>
          <w:tcPr>
            <w:tcW w:w="0" w:type="auto"/>
            <w:shd w:val="clear" w:color="auto" w:fill="CCEEFF"/>
            <w:vAlign w:val="bottom"/>
            <w:hideMark/>
          </w:tcPr>
          <w:p w14:paraId="459268D3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74D0" w:rsidRPr="00F874D0" w14:paraId="77B30740" w14:textId="77777777" w:rsidTr="00F874D0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D2F372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Amortization of acquired intangible assets</w:t>
            </w:r>
          </w:p>
        </w:tc>
        <w:tc>
          <w:tcPr>
            <w:tcW w:w="0" w:type="auto"/>
            <w:gridSpan w:val="2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51D235CE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bottom"/>
            <w:hideMark/>
          </w:tcPr>
          <w:p w14:paraId="0866EE11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FC7A790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597431A7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bottom"/>
            <w:hideMark/>
          </w:tcPr>
          <w:p w14:paraId="59A1B4B3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B9E197C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6B447772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bottom"/>
            <w:hideMark/>
          </w:tcPr>
          <w:p w14:paraId="3CA7429B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74D0" w:rsidRPr="00F874D0" w14:paraId="19A449A9" w14:textId="77777777" w:rsidTr="00F874D0"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2A2560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Restructuring and other special charges, net</w:t>
            </w:r>
          </w:p>
        </w:tc>
        <w:tc>
          <w:tcPr>
            <w:tcW w:w="0" w:type="auto"/>
            <w:gridSpan w:val="2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2DE8A8EC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129</w:t>
            </w:r>
          </w:p>
        </w:tc>
        <w:tc>
          <w:tcPr>
            <w:tcW w:w="0" w:type="auto"/>
            <w:shd w:val="clear" w:color="auto" w:fill="CCEEFF"/>
            <w:vAlign w:val="bottom"/>
            <w:hideMark/>
          </w:tcPr>
          <w:p w14:paraId="51A51F6E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6B3938E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72308B32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0" w:type="auto"/>
            <w:shd w:val="clear" w:color="auto" w:fill="CCEEFF"/>
            <w:vAlign w:val="bottom"/>
            <w:hideMark/>
          </w:tcPr>
          <w:p w14:paraId="4B58EA7C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D28717D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0396851B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74D0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CCEEFF"/>
            <w:vAlign w:val="bottom"/>
            <w:hideMark/>
          </w:tcPr>
          <w:p w14:paraId="407D153B" w14:textId="77777777" w:rsidR="00F874D0" w:rsidRPr="00F874D0" w:rsidRDefault="00F874D0" w:rsidP="00F87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B8A444F" w14:textId="77777777" w:rsidR="00F3336B" w:rsidRDefault="00F3336B" w:rsidP="004D0929">
      <w:pPr>
        <w:rPr>
          <w:rFonts w:ascii="Times New Roman" w:hAnsi="Times New Roman" w:cs="Times New Roman"/>
          <w:sz w:val="20"/>
          <w:szCs w:val="20"/>
        </w:rPr>
      </w:pPr>
    </w:p>
    <w:p w14:paraId="4DCBE230" w14:textId="77777777" w:rsidR="00223DDF" w:rsidRPr="00223DDF" w:rsidRDefault="00223DDF" w:rsidP="00223DDF">
      <w:pPr>
        <w:rPr>
          <w:rFonts w:ascii="Times New Roman" w:hAnsi="Times New Roman" w:cs="Times New Roman"/>
          <w:sz w:val="20"/>
          <w:szCs w:val="20"/>
        </w:rPr>
      </w:pPr>
      <w:r w:rsidRPr="00223DDF">
        <w:rPr>
          <w:rFonts w:ascii="Times New Roman" w:hAnsi="Times New Roman" w:cs="Times New Roman"/>
          <w:b/>
          <w:bCs/>
          <w:i/>
          <w:iCs/>
          <w:sz w:val="20"/>
          <w:szCs w:val="20"/>
        </w:rPr>
        <w:t>2015 Restructuring Plan</w:t>
      </w:r>
    </w:p>
    <w:p w14:paraId="21B11DA3" w14:textId="77777777" w:rsidR="00223DDF" w:rsidRPr="00223DDF" w:rsidRDefault="00223DDF" w:rsidP="00223DDF">
      <w:pPr>
        <w:rPr>
          <w:rFonts w:ascii="Times New Roman" w:hAnsi="Times New Roman" w:cs="Times New Roman"/>
          <w:sz w:val="20"/>
          <w:szCs w:val="20"/>
        </w:rPr>
      </w:pPr>
      <w:r w:rsidRPr="00223DDF">
        <w:rPr>
          <w:rFonts w:ascii="Times New Roman" w:hAnsi="Times New Roman" w:cs="Times New Roman"/>
          <w:sz w:val="20"/>
          <w:szCs w:val="20"/>
        </w:rPr>
        <w:t xml:space="preserve">In the third quarter of 2015, we implemented a restructuring plan (2015 Restructuring Plan) focused on our ongoing efforts to simplify our business and better align resources around our priorities and business outlook. The 2015 Restructuring Plan involves a reduction of global headcount by approximately 5% and includes organizational actions such as outsourcing certain IT services and application development. During 2015, we recorded a $37 </w:t>
      </w:r>
      <w:r w:rsidRPr="00223DDF">
        <w:rPr>
          <w:rFonts w:ascii="Times New Roman" w:hAnsi="Times New Roman" w:cs="Times New Roman"/>
          <w:sz w:val="20"/>
          <w:szCs w:val="20"/>
        </w:rPr>
        <w:lastRenderedPageBreak/>
        <w:t>million restructuring charge, which consisted of approximately $27 million of severance and benefit costs, approximately $1 million of facilities related consolidation charges and approximately $9 million of intangible asset related charges associated with the impairment of certain software licenses that have ongoing payment obligations. The 2015 Restructuring Plan resulted in total cash payments of $14 million in 2015. We expect the 2015 Restructuring Plan will likely result in total cash payments of approximately $14 million in 2016. We expect actions associated with the 2015 Restructuring Plan to be substantially completed by the end of the third quarter of 2016.</w:t>
      </w:r>
    </w:p>
    <w:p w14:paraId="66703A99" w14:textId="77777777" w:rsidR="00223DDF" w:rsidRPr="00223DDF" w:rsidRDefault="00223DDF" w:rsidP="00223DDF">
      <w:pPr>
        <w:rPr>
          <w:rFonts w:ascii="Times New Roman" w:hAnsi="Times New Roman" w:cs="Times New Roman"/>
          <w:sz w:val="20"/>
          <w:szCs w:val="20"/>
        </w:rPr>
      </w:pPr>
      <w:r w:rsidRPr="00223DDF">
        <w:rPr>
          <w:rFonts w:ascii="Times New Roman" w:hAnsi="Times New Roman" w:cs="Times New Roman"/>
          <w:sz w:val="20"/>
          <w:szCs w:val="20"/>
        </w:rPr>
        <w:t xml:space="preserve">The following table provides a summary of the restructuring activities during </w:t>
      </w:r>
      <w:proofErr w:type="gramStart"/>
      <w:r w:rsidRPr="00223DDF">
        <w:rPr>
          <w:rFonts w:ascii="Times New Roman" w:hAnsi="Times New Roman" w:cs="Times New Roman"/>
          <w:sz w:val="20"/>
          <w:szCs w:val="20"/>
        </w:rPr>
        <w:t>2015</w:t>
      </w:r>
      <w:proofErr w:type="gramEnd"/>
      <w:r w:rsidRPr="00223DDF">
        <w:rPr>
          <w:rFonts w:ascii="Times New Roman" w:hAnsi="Times New Roman" w:cs="Times New Roman"/>
          <w:sz w:val="20"/>
          <w:szCs w:val="20"/>
        </w:rPr>
        <w:t xml:space="preserve"> and the related liabilities recorded in “Other current liabilities” and “Other long-term liabilities” on our consolidated balance sheets as of December 26, 2015: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3"/>
        <w:gridCol w:w="131"/>
        <w:gridCol w:w="991"/>
        <w:gridCol w:w="97"/>
        <w:gridCol w:w="110"/>
        <w:gridCol w:w="131"/>
        <w:gridCol w:w="991"/>
        <w:gridCol w:w="97"/>
        <w:gridCol w:w="110"/>
        <w:gridCol w:w="131"/>
        <w:gridCol w:w="991"/>
        <w:gridCol w:w="97"/>
      </w:tblGrid>
      <w:tr w:rsidR="00223DDF" w:rsidRPr="00223DDF" w14:paraId="58813448" w14:textId="77777777" w:rsidTr="00223DDF">
        <w:tc>
          <w:tcPr>
            <w:tcW w:w="0" w:type="auto"/>
            <w:gridSpan w:val="12"/>
            <w:vAlign w:val="center"/>
            <w:hideMark/>
          </w:tcPr>
          <w:p w14:paraId="7A84ECE6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23DDF" w:rsidRPr="00223DDF" w14:paraId="3CB3ABA6" w14:textId="77777777" w:rsidTr="00223DDF">
        <w:tc>
          <w:tcPr>
            <w:tcW w:w="2950" w:type="pct"/>
            <w:vAlign w:val="center"/>
            <w:hideMark/>
          </w:tcPr>
          <w:p w14:paraId="6FBF8A64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" w:type="pct"/>
            <w:vAlign w:val="center"/>
            <w:hideMark/>
          </w:tcPr>
          <w:p w14:paraId="222D0F2C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pct"/>
            <w:vAlign w:val="center"/>
            <w:hideMark/>
          </w:tcPr>
          <w:p w14:paraId="35ABD3BE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" w:type="pct"/>
            <w:vAlign w:val="center"/>
            <w:hideMark/>
          </w:tcPr>
          <w:p w14:paraId="1BE6E1D0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" w:type="pct"/>
            <w:vAlign w:val="center"/>
            <w:hideMark/>
          </w:tcPr>
          <w:p w14:paraId="0371AE7A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" w:type="pct"/>
            <w:vAlign w:val="center"/>
            <w:hideMark/>
          </w:tcPr>
          <w:p w14:paraId="3B3F1D7E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pct"/>
            <w:vAlign w:val="center"/>
            <w:hideMark/>
          </w:tcPr>
          <w:p w14:paraId="7F5B33D3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" w:type="pct"/>
            <w:vAlign w:val="center"/>
            <w:hideMark/>
          </w:tcPr>
          <w:p w14:paraId="68E029AD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" w:type="pct"/>
            <w:vAlign w:val="center"/>
            <w:hideMark/>
          </w:tcPr>
          <w:p w14:paraId="7AABADC8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" w:type="pct"/>
            <w:vAlign w:val="center"/>
            <w:hideMark/>
          </w:tcPr>
          <w:p w14:paraId="2736CCFD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pct"/>
            <w:vAlign w:val="center"/>
            <w:hideMark/>
          </w:tcPr>
          <w:p w14:paraId="7C62DF25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" w:type="pct"/>
            <w:vAlign w:val="center"/>
            <w:hideMark/>
          </w:tcPr>
          <w:p w14:paraId="78179B74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23DDF" w:rsidRPr="00223DDF" w14:paraId="42219BE7" w14:textId="77777777" w:rsidTr="00223DDF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3CCD88B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3"/>
            <w:tcBorders>
              <w:bottom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49C3325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Severance</w:t>
            </w:r>
            <w:r w:rsidRPr="00223D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and related</w:t>
            </w:r>
            <w:r w:rsidRPr="00223D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benefits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7630CCD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3"/>
            <w:tcBorders>
              <w:bottom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DEEDFC7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Other exit</w:t>
            </w:r>
            <w:r w:rsidRPr="00223D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related</w:t>
            </w:r>
            <w:r w:rsidRPr="00223D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costs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00B9DD2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3"/>
            <w:tcBorders>
              <w:bottom w:val="single" w:sz="6" w:space="0" w:color="00000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B27AE7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</w:tr>
      <w:tr w:rsidR="00223DDF" w:rsidRPr="00223DDF" w14:paraId="06EC004D" w14:textId="77777777" w:rsidTr="00223DDF">
        <w:tc>
          <w:tcPr>
            <w:tcW w:w="0" w:type="auto"/>
            <w:tcBorders>
              <w:top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E66B84C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11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65B90B1B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(In millions)</w:t>
            </w:r>
          </w:p>
        </w:tc>
      </w:tr>
      <w:tr w:rsidR="00223DDF" w:rsidRPr="00223DDF" w14:paraId="69CA91E2" w14:textId="77777777" w:rsidTr="00223DDF"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6D43642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Balance as of June 27, 2015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363242DE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$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3BFDAA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CCEEFF"/>
            <w:vAlign w:val="bottom"/>
            <w:hideMark/>
          </w:tcPr>
          <w:p w14:paraId="357F3362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BE2FB29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7DCA3573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$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7169CC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CCEEFF"/>
            <w:vAlign w:val="bottom"/>
            <w:hideMark/>
          </w:tcPr>
          <w:p w14:paraId="06F49C0B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112F8CE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7FDFFA7B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$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99466E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CCEEFF"/>
            <w:vAlign w:val="bottom"/>
            <w:hideMark/>
          </w:tcPr>
          <w:p w14:paraId="692FCCA4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23DDF" w:rsidRPr="00223DDF" w14:paraId="6358996B" w14:textId="77777777" w:rsidTr="00223DDF">
        <w:tc>
          <w:tcPr>
            <w:tcW w:w="0" w:type="auto"/>
            <w:tcMar>
              <w:top w:w="30" w:type="dxa"/>
              <w:left w:w="420" w:type="dxa"/>
              <w:bottom w:w="30" w:type="dxa"/>
              <w:right w:w="30" w:type="dxa"/>
            </w:tcMar>
            <w:vAlign w:val="bottom"/>
            <w:hideMark/>
          </w:tcPr>
          <w:p w14:paraId="1B4B70EF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Charges (reversals), net</w:t>
            </w:r>
          </w:p>
        </w:tc>
        <w:tc>
          <w:tcPr>
            <w:tcW w:w="0" w:type="auto"/>
            <w:gridSpan w:val="2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38382E88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0" w:type="auto"/>
            <w:vAlign w:val="bottom"/>
            <w:hideMark/>
          </w:tcPr>
          <w:p w14:paraId="5E5DE99A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3D79CC0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11A5497F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bottom"/>
            <w:hideMark/>
          </w:tcPr>
          <w:p w14:paraId="0D013527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260CC7F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5691E7DF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0" w:type="auto"/>
            <w:vAlign w:val="bottom"/>
            <w:hideMark/>
          </w:tcPr>
          <w:p w14:paraId="367937A6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23DDF" w:rsidRPr="00223DDF" w14:paraId="28B911BE" w14:textId="77777777" w:rsidTr="00223DDF">
        <w:tc>
          <w:tcPr>
            <w:tcW w:w="0" w:type="auto"/>
            <w:shd w:val="clear" w:color="auto" w:fill="CCEEFF"/>
            <w:tcMar>
              <w:top w:w="30" w:type="dxa"/>
              <w:left w:w="420" w:type="dxa"/>
              <w:bottom w:w="30" w:type="dxa"/>
              <w:right w:w="30" w:type="dxa"/>
            </w:tcMar>
            <w:vAlign w:val="bottom"/>
            <w:hideMark/>
          </w:tcPr>
          <w:p w14:paraId="59028DF6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Cash payments</w:t>
            </w:r>
          </w:p>
        </w:tc>
        <w:tc>
          <w:tcPr>
            <w:tcW w:w="0" w:type="auto"/>
            <w:gridSpan w:val="2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520D0C61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(13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0" w:type="dxa"/>
              <w:bottom w:w="30" w:type="dxa"/>
              <w:right w:w="30" w:type="dxa"/>
            </w:tcMar>
            <w:vAlign w:val="bottom"/>
            <w:hideMark/>
          </w:tcPr>
          <w:p w14:paraId="59A0C24C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74ACE61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5BDC20E0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(1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0" w:type="dxa"/>
              <w:bottom w:w="30" w:type="dxa"/>
              <w:right w:w="30" w:type="dxa"/>
            </w:tcMar>
            <w:vAlign w:val="bottom"/>
            <w:hideMark/>
          </w:tcPr>
          <w:p w14:paraId="26E60FB6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2F586E4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0044C780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(14</w:t>
            </w:r>
          </w:p>
        </w:tc>
        <w:tc>
          <w:tcPr>
            <w:tcW w:w="0" w:type="auto"/>
            <w:shd w:val="clear" w:color="auto" w:fill="CCEEFF"/>
            <w:tcMar>
              <w:top w:w="30" w:type="dxa"/>
              <w:left w:w="0" w:type="dxa"/>
              <w:bottom w:w="30" w:type="dxa"/>
              <w:right w:w="30" w:type="dxa"/>
            </w:tcMar>
            <w:vAlign w:val="bottom"/>
            <w:hideMark/>
          </w:tcPr>
          <w:p w14:paraId="69A637D7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223DDF" w:rsidRPr="00223DDF" w14:paraId="1732EBC5" w14:textId="77777777" w:rsidTr="00223DDF">
        <w:tc>
          <w:tcPr>
            <w:tcW w:w="0" w:type="auto"/>
            <w:tcMar>
              <w:top w:w="30" w:type="dxa"/>
              <w:left w:w="420" w:type="dxa"/>
              <w:bottom w:w="30" w:type="dxa"/>
              <w:right w:w="30" w:type="dxa"/>
            </w:tcMar>
            <w:vAlign w:val="bottom"/>
            <w:hideMark/>
          </w:tcPr>
          <w:p w14:paraId="5EEA77B2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Non-cash charges</w:t>
            </w:r>
          </w:p>
        </w:tc>
        <w:tc>
          <w:tcPr>
            <w:tcW w:w="0" w:type="auto"/>
            <w:gridSpan w:val="2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63FEC10D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bottom"/>
            <w:hideMark/>
          </w:tcPr>
          <w:p w14:paraId="3F410450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C4F3CD1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46DCE9E7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(9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30" w:type="dxa"/>
            </w:tcMar>
            <w:vAlign w:val="bottom"/>
            <w:hideMark/>
          </w:tcPr>
          <w:p w14:paraId="240623CD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A9843FF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5E753CEA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(9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30" w:type="dxa"/>
            </w:tcMar>
            <w:vAlign w:val="bottom"/>
            <w:hideMark/>
          </w:tcPr>
          <w:p w14:paraId="52AECE73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223DDF" w:rsidRPr="00223DDF" w14:paraId="401A4482" w14:textId="77777777" w:rsidTr="00223DDF"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78B9DD0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Balance as of December 26, 2015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623205B5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$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CCEE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11E618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CCEEFF"/>
            <w:vAlign w:val="bottom"/>
            <w:hideMark/>
          </w:tcPr>
          <w:p w14:paraId="2DB4EB6E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0B8A418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167BEAFD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$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CCEE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F29D37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CCEEFF"/>
            <w:vAlign w:val="bottom"/>
            <w:hideMark/>
          </w:tcPr>
          <w:p w14:paraId="38860E63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CEE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9E2C9C7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CCEEFF"/>
            <w:tcMar>
              <w:top w:w="30" w:type="dxa"/>
              <w:left w:w="30" w:type="dxa"/>
              <w:bottom w:w="30" w:type="dxa"/>
              <w:right w:w="0" w:type="dxa"/>
            </w:tcMar>
            <w:vAlign w:val="bottom"/>
            <w:hideMark/>
          </w:tcPr>
          <w:p w14:paraId="5C639AA7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$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CCEEFF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30DDD1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3DDF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CCEEFF"/>
            <w:vAlign w:val="bottom"/>
            <w:hideMark/>
          </w:tcPr>
          <w:p w14:paraId="11BAA360" w14:textId="77777777" w:rsidR="00223DDF" w:rsidRPr="00223DDF" w:rsidRDefault="00223DDF" w:rsidP="00223D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5F7B98E" w14:textId="77777777" w:rsidR="00223DDF" w:rsidRDefault="00223DDF" w:rsidP="004D0929">
      <w:pPr>
        <w:rPr>
          <w:rFonts w:ascii="Times New Roman" w:hAnsi="Times New Roman" w:cs="Times New Roman"/>
          <w:sz w:val="20"/>
          <w:szCs w:val="20"/>
        </w:rPr>
      </w:pPr>
    </w:p>
    <w:p w14:paraId="2EA76D99" w14:textId="3E774FE0" w:rsidR="00E47F66" w:rsidRPr="00F3336B" w:rsidRDefault="00E47F66" w:rsidP="004D0929">
      <w:pPr>
        <w:rPr>
          <w:rFonts w:ascii="Times New Roman" w:hAnsi="Times New Roman" w:cs="Times New Roman"/>
          <w:sz w:val="20"/>
          <w:szCs w:val="20"/>
        </w:rPr>
      </w:pPr>
      <w:r w:rsidRPr="00E47F66">
        <w:rPr>
          <w:rFonts w:ascii="Times New Roman" w:hAnsi="Times New Roman" w:cs="Times New Roman"/>
          <w:sz w:val="20"/>
          <w:szCs w:val="20"/>
        </w:rPr>
        <w:t>. Accruals related to facility consolidation and site closure costs under our restructuring plans of $7 million, deferred rent related to our facilities in Sunnyvale, California of $6 million and operating lease accruals of $5 million are excluded from other long-term liabilities in the contractual obligations table above as they are included in the operating leases obligations</w:t>
      </w:r>
    </w:p>
    <w:sectPr w:rsidR="00E47F66" w:rsidRPr="00F33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64F7"/>
    <w:multiLevelType w:val="hybridMultilevel"/>
    <w:tmpl w:val="32BE0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B4497"/>
    <w:multiLevelType w:val="hybridMultilevel"/>
    <w:tmpl w:val="41F83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8E13DB"/>
    <w:multiLevelType w:val="hybridMultilevel"/>
    <w:tmpl w:val="6EE01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46EB8"/>
    <w:multiLevelType w:val="hybridMultilevel"/>
    <w:tmpl w:val="938AB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327864">
    <w:abstractNumId w:val="0"/>
  </w:num>
  <w:num w:numId="2" w16cid:durableId="1195729428">
    <w:abstractNumId w:val="3"/>
  </w:num>
  <w:num w:numId="3" w16cid:durableId="1879851163">
    <w:abstractNumId w:val="2"/>
  </w:num>
  <w:num w:numId="4" w16cid:durableId="253826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CD"/>
    <w:rsid w:val="00027A73"/>
    <w:rsid w:val="00037CCE"/>
    <w:rsid w:val="000417E7"/>
    <w:rsid w:val="00062F4D"/>
    <w:rsid w:val="0006368A"/>
    <w:rsid w:val="000814B6"/>
    <w:rsid w:val="00090216"/>
    <w:rsid w:val="000D7DF4"/>
    <w:rsid w:val="000E63B0"/>
    <w:rsid w:val="000F6249"/>
    <w:rsid w:val="001033FF"/>
    <w:rsid w:val="001041E4"/>
    <w:rsid w:val="0012035B"/>
    <w:rsid w:val="00131255"/>
    <w:rsid w:val="00183007"/>
    <w:rsid w:val="001A7796"/>
    <w:rsid w:val="001D505C"/>
    <w:rsid w:val="001E6652"/>
    <w:rsid w:val="002048CD"/>
    <w:rsid w:val="0021301A"/>
    <w:rsid w:val="00223DDF"/>
    <w:rsid w:val="00232C5B"/>
    <w:rsid w:val="00234F37"/>
    <w:rsid w:val="00246A6A"/>
    <w:rsid w:val="00250810"/>
    <w:rsid w:val="00260FDB"/>
    <w:rsid w:val="00266B7C"/>
    <w:rsid w:val="00270909"/>
    <w:rsid w:val="002A4C93"/>
    <w:rsid w:val="002B2EF5"/>
    <w:rsid w:val="002B5930"/>
    <w:rsid w:val="002B6A5B"/>
    <w:rsid w:val="00311943"/>
    <w:rsid w:val="00312A4F"/>
    <w:rsid w:val="0033567E"/>
    <w:rsid w:val="003E284B"/>
    <w:rsid w:val="004003DD"/>
    <w:rsid w:val="00406056"/>
    <w:rsid w:val="00426255"/>
    <w:rsid w:val="00454FA3"/>
    <w:rsid w:val="00465FA0"/>
    <w:rsid w:val="00490590"/>
    <w:rsid w:val="00492029"/>
    <w:rsid w:val="004A37BA"/>
    <w:rsid w:val="004D0929"/>
    <w:rsid w:val="004E1EAF"/>
    <w:rsid w:val="005010BA"/>
    <w:rsid w:val="00507FB6"/>
    <w:rsid w:val="00555896"/>
    <w:rsid w:val="0056316B"/>
    <w:rsid w:val="00571E25"/>
    <w:rsid w:val="00577F13"/>
    <w:rsid w:val="005864F9"/>
    <w:rsid w:val="005A0D52"/>
    <w:rsid w:val="005A14C0"/>
    <w:rsid w:val="005C30FD"/>
    <w:rsid w:val="005E3D8C"/>
    <w:rsid w:val="00615603"/>
    <w:rsid w:val="00615DCC"/>
    <w:rsid w:val="0065701D"/>
    <w:rsid w:val="00695C6B"/>
    <w:rsid w:val="006A100E"/>
    <w:rsid w:val="006A1587"/>
    <w:rsid w:val="006B6236"/>
    <w:rsid w:val="006C2223"/>
    <w:rsid w:val="006C479E"/>
    <w:rsid w:val="006F69FC"/>
    <w:rsid w:val="0072244E"/>
    <w:rsid w:val="00743C0D"/>
    <w:rsid w:val="00765C67"/>
    <w:rsid w:val="0077719A"/>
    <w:rsid w:val="00777B41"/>
    <w:rsid w:val="007A1B87"/>
    <w:rsid w:val="007B0CA0"/>
    <w:rsid w:val="007C1208"/>
    <w:rsid w:val="007C1679"/>
    <w:rsid w:val="007C5E84"/>
    <w:rsid w:val="008027B1"/>
    <w:rsid w:val="00813904"/>
    <w:rsid w:val="00820810"/>
    <w:rsid w:val="0082099C"/>
    <w:rsid w:val="00832C1D"/>
    <w:rsid w:val="008526A4"/>
    <w:rsid w:val="00857A9A"/>
    <w:rsid w:val="00862B70"/>
    <w:rsid w:val="00864F0D"/>
    <w:rsid w:val="008720FB"/>
    <w:rsid w:val="0087304A"/>
    <w:rsid w:val="00886250"/>
    <w:rsid w:val="008A625E"/>
    <w:rsid w:val="008C0AFC"/>
    <w:rsid w:val="00912EBA"/>
    <w:rsid w:val="009245D0"/>
    <w:rsid w:val="009268F4"/>
    <w:rsid w:val="0094312B"/>
    <w:rsid w:val="00984FA3"/>
    <w:rsid w:val="009B1F57"/>
    <w:rsid w:val="009B4243"/>
    <w:rsid w:val="009B75A8"/>
    <w:rsid w:val="009E6F92"/>
    <w:rsid w:val="00A209B2"/>
    <w:rsid w:val="00A326D7"/>
    <w:rsid w:val="00A532C1"/>
    <w:rsid w:val="00A702CD"/>
    <w:rsid w:val="00AA3F9F"/>
    <w:rsid w:val="00AA5110"/>
    <w:rsid w:val="00AA5544"/>
    <w:rsid w:val="00B247AA"/>
    <w:rsid w:val="00B2565C"/>
    <w:rsid w:val="00B36A3D"/>
    <w:rsid w:val="00B63ADF"/>
    <w:rsid w:val="00B91474"/>
    <w:rsid w:val="00BA1B05"/>
    <w:rsid w:val="00BB29A7"/>
    <w:rsid w:val="00BC69AC"/>
    <w:rsid w:val="00BD3271"/>
    <w:rsid w:val="00BF3B87"/>
    <w:rsid w:val="00BF6373"/>
    <w:rsid w:val="00C156FB"/>
    <w:rsid w:val="00C20B4A"/>
    <w:rsid w:val="00C32D05"/>
    <w:rsid w:val="00C421F2"/>
    <w:rsid w:val="00C42F79"/>
    <w:rsid w:val="00C47D5D"/>
    <w:rsid w:val="00C5001D"/>
    <w:rsid w:val="00C96621"/>
    <w:rsid w:val="00C97746"/>
    <w:rsid w:val="00CA7D38"/>
    <w:rsid w:val="00CB0A0A"/>
    <w:rsid w:val="00CC3DB3"/>
    <w:rsid w:val="00D113F9"/>
    <w:rsid w:val="00D26A4B"/>
    <w:rsid w:val="00D30CCD"/>
    <w:rsid w:val="00D32AFB"/>
    <w:rsid w:val="00D45EC6"/>
    <w:rsid w:val="00D72AEE"/>
    <w:rsid w:val="00D77B9F"/>
    <w:rsid w:val="00D85E3C"/>
    <w:rsid w:val="00D868EF"/>
    <w:rsid w:val="00D94DCF"/>
    <w:rsid w:val="00D96665"/>
    <w:rsid w:val="00DB40A2"/>
    <w:rsid w:val="00DD4E95"/>
    <w:rsid w:val="00DD5858"/>
    <w:rsid w:val="00DE7871"/>
    <w:rsid w:val="00DF70AE"/>
    <w:rsid w:val="00E075E3"/>
    <w:rsid w:val="00E32EAA"/>
    <w:rsid w:val="00E36779"/>
    <w:rsid w:val="00E47F66"/>
    <w:rsid w:val="00E7788C"/>
    <w:rsid w:val="00E96DF4"/>
    <w:rsid w:val="00EA2677"/>
    <w:rsid w:val="00EE1B05"/>
    <w:rsid w:val="00EE2DD0"/>
    <w:rsid w:val="00EF1E34"/>
    <w:rsid w:val="00EF6D4C"/>
    <w:rsid w:val="00F13B26"/>
    <w:rsid w:val="00F24C7C"/>
    <w:rsid w:val="00F3336B"/>
    <w:rsid w:val="00F56045"/>
    <w:rsid w:val="00F57FCC"/>
    <w:rsid w:val="00F70CF3"/>
    <w:rsid w:val="00F85EA0"/>
    <w:rsid w:val="00F874D0"/>
    <w:rsid w:val="00F910A1"/>
    <w:rsid w:val="00FA24DE"/>
    <w:rsid w:val="00FF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1E4F"/>
  <w15:chartTrackingRefBased/>
  <w15:docId w15:val="{C26468F8-3873-4764-B188-998B714D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0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30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CC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12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912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D50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0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</TotalTime>
  <Pages>2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Tan</dc:creator>
  <cp:keywords/>
  <dc:description/>
  <cp:lastModifiedBy>Bruce Tan</cp:lastModifiedBy>
  <cp:revision>149</cp:revision>
  <dcterms:created xsi:type="dcterms:W3CDTF">2025-09-26T22:30:00Z</dcterms:created>
  <dcterms:modified xsi:type="dcterms:W3CDTF">2026-02-06T08:34:00Z</dcterms:modified>
</cp:coreProperties>
</file>