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our dataset is multiple times too large to store in github (the smallest CSV is ~125MiB), so for now we will be storing the files in drive: </w:t>
      </w:r>
      <w:hyperlink r:id="rId6">
        <w:r w:rsidDel="00000000" w:rsidR="00000000" w:rsidRPr="00000000">
          <w:rPr>
            <w:rFonts w:ascii="Times New Roman" w:cs="Times New Roman" w:eastAsia="Times New Roman" w:hAnsi="Times New Roman"/>
            <w:color w:val="0000ee"/>
            <w:u w:val="single"/>
            <w:rtl w:val="0"/>
          </w:rPr>
          <w:t xml:space="preserve">ICE DATA</w:t>
        </w:r>
      </w:hyperlink>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 to us (Ian, Claire, Em) that Immigrations &amp; Customs Enforcement (ICE) is</w:t>
      </w:r>
      <w:r w:rsidDel="00000000" w:rsidR="00000000" w:rsidRPr="00000000">
        <w:rPr>
          <w:rFonts w:ascii="Times New Roman" w:cs="Times New Roman" w:eastAsia="Times New Roman" w:hAnsi="Times New Roman"/>
          <w:rtl w:val="0"/>
        </w:rPr>
        <w:t xml:space="preserve"> a particularly intense form of policing that, under the current presidential administration, has become increasingly explicit in its cruelty. Amid recent rulings that ever-lessen its restraints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Noem v. Vasquez Perdomo</w:t>
      </w:r>
      <w:r w:rsidDel="00000000" w:rsidR="00000000" w:rsidRPr="00000000">
        <w:rPr>
          <w:rFonts w:ascii="Times New Roman" w:cs="Times New Roman" w:eastAsia="Times New Roman" w:hAnsi="Times New Roman"/>
          <w:rtl w:val="0"/>
        </w:rPr>
        <w:t xml:space="preserve">, 2025)</w:t>
      </w:r>
      <w:r w:rsidDel="00000000" w:rsidR="00000000" w:rsidRPr="00000000">
        <w:rPr>
          <w:rFonts w:ascii="Times New Roman" w:cs="Times New Roman" w:eastAsia="Times New Roman" w:hAnsi="Times New Roman"/>
          <w:rtl w:val="0"/>
        </w:rPr>
        <w:t xml:space="preserve"> the deportation of legal citizens who are political figures </w:t>
      </w:r>
      <w:r w:rsidDel="00000000" w:rsidR="00000000" w:rsidRPr="00000000">
        <w:rPr>
          <w:rFonts w:ascii="Times New Roman" w:cs="Times New Roman" w:eastAsia="Times New Roman" w:hAnsi="Times New Roman"/>
          <w:rtl w:val="0"/>
        </w:rPr>
        <w:t xml:space="preserve">(Shah, 2024)</w:t>
      </w:r>
      <w:r w:rsidDel="00000000" w:rsidR="00000000" w:rsidRPr="00000000">
        <w:rPr>
          <w:rFonts w:ascii="Times New Roman" w:cs="Times New Roman" w:eastAsia="Times New Roman" w:hAnsi="Times New Roman"/>
          <w:rtl w:val="0"/>
        </w:rPr>
        <w:t xml:space="preserve">, and the continued cleavage of families across borders </w:t>
      </w:r>
      <w:r w:rsidDel="00000000" w:rsidR="00000000" w:rsidRPr="00000000">
        <w:rPr>
          <w:rFonts w:ascii="Times New Roman" w:cs="Times New Roman" w:eastAsia="Times New Roman" w:hAnsi="Times New Roman"/>
          <w:rtl w:val="0"/>
        </w:rPr>
        <w:t xml:space="preserve">(UCLA School of Law, 2024)</w:t>
      </w:r>
      <w:r w:rsidDel="00000000" w:rsidR="00000000" w:rsidRPr="00000000">
        <w:rPr>
          <w:rFonts w:ascii="Times New Roman" w:cs="Times New Roman" w:eastAsia="Times New Roman" w:hAnsi="Times New Roman"/>
          <w:rtl w:val="0"/>
        </w:rPr>
        <w:t xml:space="preserve">, calling for anything short of abolition seems unsatisfactory. Having grounded ourselves, our goals: With this project, we intend to investigate (1) if the data released by ICE under FOIA under-reports encounters for this year, compared to records of previous years; (2) whether or how ICE data correlates with different presidential administrations &amp; policy decisions (3) what do these prior points indicate about the role of data in political discourse, and what implications do they have about modes of recourse?</w:t>
        <w:br w:type="textWrapping"/>
        <w:tab/>
        <w:t xml:space="preserve">Our standpoint on this issue, after much deliberation, has been agreed upon: “Fuck ICE”. What next follows is: what direction is ICE moving in at present, and what does this imply for political action in the modern day?</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we intend to use is the Deportation Data Project’s publishing of ICE’s arrest, detention, deportation, and encounter </w:t>
      </w:r>
      <w:r w:rsidDel="00000000" w:rsidR="00000000" w:rsidRPr="00000000">
        <w:rPr>
          <w:rFonts w:ascii="Times New Roman" w:cs="Times New Roman" w:eastAsia="Times New Roman" w:hAnsi="Times New Roman"/>
          <w:rtl w:val="0"/>
        </w:rPr>
        <w:t xml:space="preserve">records (Center for Immigration Law &amp; Policy, 2025)</w:t>
      </w:r>
      <w:r w:rsidDel="00000000" w:rsidR="00000000" w:rsidRPr="00000000">
        <w:rPr>
          <w:rFonts w:ascii="Times New Roman" w:cs="Times New Roman" w:eastAsia="Times New Roman" w:hAnsi="Times New Roman"/>
          <w:rtl w:val="0"/>
        </w:rPr>
        <w:t xml:space="preserve">. They acquired this data through the use of the Freedom of Information Act, following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law</w:t>
      </w:r>
      <w:r w:rsidDel="00000000" w:rsidR="00000000" w:rsidRPr="00000000">
        <w:rPr>
          <w:rFonts w:ascii="Times New Roman" w:cs="Times New Roman" w:eastAsia="Times New Roman" w:hAnsi="Times New Roman"/>
          <w:rtl w:val="0"/>
        </w:rPr>
        <w:t xml:space="preserve">suit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Center for Immigration Law &amp; Policy v. United States ICE</w:t>
      </w:r>
      <w:r w:rsidDel="00000000" w:rsidR="00000000" w:rsidRPr="00000000">
        <w:rPr>
          <w:rFonts w:ascii="Times New Roman" w:cs="Times New Roman" w:eastAsia="Times New Roman" w:hAnsi="Times New Roman"/>
          <w:rtl w:val="0"/>
        </w:rPr>
        <w:t xml:space="preserve">, 2024</w:t>
      </w:r>
      <w:r w:rsidDel="00000000" w:rsidR="00000000" w:rsidRPr="00000000">
        <w:rPr>
          <w:rFonts w:ascii="Times New Roman" w:cs="Times New Roman" w:eastAsia="Times New Roman" w:hAnsi="Times New Roman"/>
          <w:rtl w:val="0"/>
        </w:rPr>
        <w:t xml:space="preserve">) after ICE’s initial refusal to comply. The data has been updated twice since its initial release, and presently contains information ranging from October 2011 to July 2025. The significant span of this dataset allows us to compare the data between the past three US presidential administrations, as well as partial data from the current Trump term.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recent July 2025 release, the Project questioned the reliability of the data due to discrepancies not present within earlier years when comparing against other sources, though (as of the day we are writing this) this has changed</w:t>
      </w:r>
      <w:r w:rsidDel="00000000" w:rsidR="00000000" w:rsidRPr="00000000">
        <w:rPr>
          <w:rFonts w:ascii="Times New Roman" w:cs="Times New Roman" w:eastAsia="Times New Roman" w:hAnsi="Times New Roman"/>
          <w:rtl w:val="0"/>
        </w:rPr>
        <w:t xml:space="preserve">. This analysis of ICE data from the most recent Trump term speaks to a greater issue about data transparency. We believe that there are discrepancies between the reported arrests and the actual arrests and deportations.</w:t>
      </w:r>
    </w:p>
    <w:p w:rsidR="00000000" w:rsidDel="00000000" w:rsidP="00000000" w:rsidRDefault="00000000" w:rsidRPr="00000000" w14:paraId="00000006">
      <w:pPr>
        <w:ind w:left="0"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datasets contain demographic information about the person arrested, how they were arrested, where they were arrested, when they were arrested, the status of their case, and where they were deported. This allows us to compare discrepancies between, for example, the birth country of the person arrested and where they were deported (they do not always match). They also allow us to observe the timing of each case and how it aligns with the policies of the time. Using the datasets from past years, we are also able to analyze how all of this changes during each presidential administration.</w:t>
      </w: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Fonts w:ascii="Times New Roman" w:cs="Times New Roman" w:eastAsia="Times New Roman" w:hAnsi="Times New Roman"/>
          <w:rtl w:val="0"/>
        </w:rPr>
        <w:t xml:space="preserve">We expect to specifically check three claims: (1) ICE policing and individual treatment is worse under republican administrations; (2) ICE has been more active under democratic administrations; (3) ICE activity has generally increased in proportion to budget. We expect that the first claim will differ in evaluation between CBP and ICE, &amp; that the second &amp; third claims will be true. </w:t>
      </w:r>
      <w:r w:rsidDel="00000000" w:rsidR="00000000" w:rsidRPr="00000000">
        <w:rPr>
          <w:rFonts w:ascii="Times New Roman" w:cs="Times New Roman" w:eastAsia="Times New Roman" w:hAnsi="Times New Roman"/>
          <w:rtl w:val="0"/>
        </w:rPr>
        <w:t xml:space="preserve">Ultimately we expect to observe that damaging ICE activity is both bipartisan and worsening.</w:t>
      </w: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0E">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Immigration Law &amp; Policy. (2025). </w:t>
      </w:r>
      <w:r w:rsidDel="00000000" w:rsidR="00000000" w:rsidRPr="00000000">
        <w:rPr>
          <w:rFonts w:ascii="Times New Roman" w:cs="Times New Roman" w:eastAsia="Times New Roman" w:hAnsi="Times New Roman"/>
          <w:i w:val="1"/>
          <w:rtl w:val="0"/>
        </w:rPr>
        <w:t xml:space="preserve">Arrests, Immigration and Customs Enforcement, 2011-2025 </w:t>
      </w:r>
      <w:r w:rsidDel="00000000" w:rsidR="00000000" w:rsidRPr="00000000">
        <w:rPr>
          <w:rFonts w:ascii="Times New Roman" w:cs="Times New Roman" w:eastAsia="Times New Roman" w:hAnsi="Times New Roman"/>
          <w:rtl w:val="0"/>
        </w:rPr>
        <w:t xml:space="preserve">[Data set]. </w:t>
      </w:r>
      <w:hyperlink r:id="rId7">
        <w:r w:rsidDel="00000000" w:rsidR="00000000" w:rsidRPr="00000000">
          <w:rPr>
            <w:rFonts w:ascii="Times New Roman" w:cs="Times New Roman" w:eastAsia="Times New Roman" w:hAnsi="Times New Roman"/>
            <w:color w:val="1155cc"/>
            <w:u w:val="single"/>
            <w:rtl w:val="0"/>
          </w:rPr>
          <w:t xml:space="preserve">https://deportationdata.org/data/ice.html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Immigration Law &amp; Policy v. United States Immigration and Customs Enforcement, 2:2024cv10444. (2024). </w:t>
      </w:r>
      <w:hyperlink r:id="rId8">
        <w:r w:rsidDel="00000000" w:rsidR="00000000" w:rsidRPr="00000000">
          <w:rPr>
            <w:rFonts w:ascii="Times New Roman" w:cs="Times New Roman" w:eastAsia="Times New Roman" w:hAnsi="Times New Roman"/>
            <w:color w:val="1155cc"/>
            <w:u w:val="single"/>
            <w:rtl w:val="0"/>
          </w:rPr>
          <w:t xml:space="preserve">https://deportationdata.org/foia/cilp-v-ice-2024/2%20District%20Court%20Complaint.pdf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 School of Law: Center for Immigration Law and Policy. (2024, June). </w:t>
      </w:r>
      <w:r w:rsidDel="00000000" w:rsidR="00000000" w:rsidRPr="00000000">
        <w:rPr>
          <w:rFonts w:ascii="Times New Roman" w:cs="Times New Roman" w:eastAsia="Times New Roman" w:hAnsi="Times New Roman"/>
          <w:i w:val="1"/>
          <w:rtl w:val="0"/>
        </w:rPr>
        <w:t xml:space="preserve">Cruel indifference: Family separation at the U.S.-Mexico border before and after zero tolerance</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https://law.ucla.edu/sites/default/files/PDFs/Center_for_Immigration_Law_and_Policy/Cruel_Indifference.pdf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Noem v. Vasquez Perdomo, 25A169. (2025). </w:t>
      </w:r>
      <w:hyperlink r:id="rId10">
        <w:r w:rsidDel="00000000" w:rsidR="00000000" w:rsidRPr="00000000">
          <w:rPr>
            <w:rFonts w:ascii="Times New Roman" w:cs="Times New Roman" w:eastAsia="Times New Roman" w:hAnsi="Times New Roman"/>
            <w:color w:val="1155cc"/>
            <w:u w:val="single"/>
            <w:rtl w:val="0"/>
          </w:rPr>
          <w:t xml:space="preserve">https://www.supremecourt.gov/opinions/24pdf/25a169_5h25.pdf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480" w:lineRule="auto"/>
        <w:ind w:left="720" w:hanging="720"/>
        <w:rPr/>
      </w:pPr>
      <w:r w:rsidDel="00000000" w:rsidR="00000000" w:rsidRPr="00000000">
        <w:rPr>
          <w:rFonts w:ascii="Times New Roman" w:cs="Times New Roman" w:eastAsia="Times New Roman" w:hAnsi="Times New Roman"/>
          <w:rtl w:val="0"/>
        </w:rPr>
        <w:t xml:space="preserve">Shah, N. (2024, October 31). </w:t>
      </w:r>
      <w:r w:rsidDel="00000000" w:rsidR="00000000" w:rsidRPr="00000000">
        <w:rPr>
          <w:rFonts w:ascii="Times New Roman" w:cs="Times New Roman" w:eastAsia="Times New Roman" w:hAnsi="Times New Roman"/>
          <w:i w:val="1"/>
          <w:rtl w:val="0"/>
        </w:rPr>
        <w:t xml:space="preserve">How Trump is using the Alien Enemies Act to deport millions</w:t>
      </w:r>
      <w:r w:rsidDel="00000000" w:rsidR="00000000" w:rsidRPr="00000000">
        <w:rPr>
          <w:rFonts w:ascii="Times New Roman" w:cs="Times New Roman" w:eastAsia="Times New Roman" w:hAnsi="Times New Roman"/>
          <w:rtl w:val="0"/>
        </w:rPr>
        <w:t xml:space="preserve">. ACLU. </w:t>
      </w:r>
      <w:hyperlink r:id="rId11">
        <w:r w:rsidDel="00000000" w:rsidR="00000000" w:rsidRPr="00000000">
          <w:rPr>
            <w:rFonts w:ascii="Times New Roman" w:cs="Times New Roman" w:eastAsia="Times New Roman" w:hAnsi="Times New Roman"/>
            <w:color w:val="1155cc"/>
            <w:u w:val="single"/>
            <w:rtl w:val="0"/>
          </w:rPr>
          <w:t xml:space="preserve">https://www.aclu.org/news/immigrants-rights/anti-immigrant-extremists-want-to-use-this-226-year-old-law-to-implement-a-mass-deportation-program</w:t>
        </w:r>
      </w:hyperlink>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Labour Contract (proposed by em, seconded by claire, ian approved)</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work on this project should operate by a means-based distribution. What this means is that the expected labour input of all members should not exceed the capacity they are able to healthily give, within the context of their own circumstances. </w:t>
      </w:r>
      <w:r w:rsidDel="00000000" w:rsidR="00000000" w:rsidRPr="00000000">
        <w:rPr>
          <w:rFonts w:ascii="Times New Roman" w:cs="Times New Roman" w:eastAsia="Times New Roman" w:hAnsi="Times New Roman"/>
          <w:u w:val="single"/>
          <w:rtl w:val="0"/>
        </w:rPr>
        <w:t xml:space="preserve">If the scope of the labour for any individual at any time exceeds their capabilities</w:t>
      </w:r>
      <w:r w:rsidDel="00000000" w:rsidR="00000000" w:rsidRPr="00000000">
        <w:rPr>
          <w:rFonts w:ascii="Times New Roman" w:cs="Times New Roman" w:eastAsia="Times New Roman" w:hAnsi="Times New Roman"/>
          <w:rtl w:val="0"/>
        </w:rPr>
        <w:t xml:space="preserve">, they will request the group to meet or otherwise converse, and the group will discuss distribution such that the stress on all members is as low as possible. This requires good-faith acknowledgement of reasonable levels of work and stress, where all members are expected to evaluate their capacities to work and prioritize as they see fit.</w:t>
      </w:r>
    </w:p>
    <w:p w:rsidR="00000000" w:rsidDel="00000000" w:rsidP="00000000" w:rsidRDefault="00000000" w:rsidRPr="00000000" w14:paraId="0000001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group, different members have different capabilities: labour such as github management, script writing, report writing, and research will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be entrusted into the sole purview of any one member, but instead should be undertaken alternately by all members at certain points. That being said, given that we all have different skills and interests, neither shall this labour be </w:t>
      </w:r>
      <w:r w:rsidDel="00000000" w:rsidR="00000000" w:rsidRPr="00000000">
        <w:rPr>
          <w:rFonts w:ascii="Times New Roman" w:cs="Times New Roman" w:eastAsia="Times New Roman" w:hAnsi="Times New Roman"/>
          <w:b w:val="1"/>
          <w:rtl w:val="0"/>
        </w:rPr>
        <w:t xml:space="preserve">equally</w:t>
      </w:r>
      <w:r w:rsidDel="00000000" w:rsidR="00000000" w:rsidRPr="00000000">
        <w:rPr>
          <w:rFonts w:ascii="Times New Roman" w:cs="Times New Roman" w:eastAsia="Times New Roman" w:hAnsi="Times New Roman"/>
          <w:rtl w:val="0"/>
        </w:rPr>
        <w:t xml:space="preserve"> distributed. Instead, practices such as pair programming &amp; collaborative writing shall be undertaken by all, but deference to or guidance by one member on an area of specialty </w:t>
      </w:r>
      <w:r w:rsidDel="00000000" w:rsidR="00000000" w:rsidRPr="00000000">
        <w:rPr>
          <w:rFonts w:ascii="Times New Roman" w:cs="Times New Roman" w:eastAsia="Times New Roman" w:hAnsi="Times New Roman"/>
          <w:i w:val="1"/>
          <w:rtl w:val="0"/>
        </w:rPr>
        <w:t xml:space="preserve">may</w:t>
      </w:r>
      <w:r w:rsidDel="00000000" w:rsidR="00000000" w:rsidRPr="00000000">
        <w:rPr>
          <w:rFonts w:ascii="Times New Roman" w:cs="Times New Roman" w:eastAsia="Times New Roman" w:hAnsi="Times New Roman"/>
          <w:rtl w:val="0"/>
        </w:rPr>
        <w:t xml:space="preserve"> also occur.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clu.org/news/immigrants-rights/anti-immigrant-extremists-want-to-use-this-226-year-old-law-to-implement-a-mass-deportation-program" TargetMode="External"/><Relationship Id="rId10" Type="http://schemas.openxmlformats.org/officeDocument/2006/relationships/hyperlink" Target="https://www.supremecourt.gov/opinions/24pdf/25a169_5h25.pdf" TargetMode="External"/><Relationship Id="rId9" Type="http://schemas.openxmlformats.org/officeDocument/2006/relationships/hyperlink" Target="https://law.ucla.edu/sites/default/files/PDFs/Center_for_Immigration_Law_and_Policy/Cruel_Indifference.pdf" TargetMode="External"/><Relationship Id="rId5" Type="http://schemas.openxmlformats.org/officeDocument/2006/relationships/styles" Target="styles.xml"/><Relationship Id="rId6" Type="http://schemas.openxmlformats.org/officeDocument/2006/relationships/hyperlink" Target="https://drive.google.com/drive/folders/1tC1GmXV51mEeywB6ZN0hkrYtJ38owuLB?usp=sharing" TargetMode="External"/><Relationship Id="rId7" Type="http://schemas.openxmlformats.org/officeDocument/2006/relationships/hyperlink" Target="https://deportationdata.org/data/ice.html" TargetMode="External"/><Relationship Id="rId8" Type="http://schemas.openxmlformats.org/officeDocument/2006/relationships/hyperlink" Target="https://deportationdata.org/foia/cilp-v-ice-2024/2%20District%20Court%20Compla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