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Breakdown of information to clarify with the client (CoW).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1. On Deliverables &amp; Requirements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Audience and Format: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Who is the primary audience for the Governance Report (e.g., legal counsel, C-level) versus the System Requirements (e.g., IT architects, developers)? This will determine the level of technical detail and tone. What format (e.g., PDF, Word, slide deck) do you expect for each?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Prioritization: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new data environment, what is the single most important outcome? Is it performance, security, cost-savings, or ease of use for analysts? This helps us prioritize non-functional requirements.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Specific Standards: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governance review, are there specific industry standards (e.g., NIST, ISO 27001, HIPAA) or internal policies that are an absolute must to benchmark against?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2. On Expectations &amp; Success Criteria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Definition of "Done":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What does a successful project look like to you on October 24th? What key question must be answered by our deliverables for you to consider this a success?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Business Drivers: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What specific event or business problem triggered this project now? Understanding this "why" helps us focus on solving the most critical issue.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Decision-Maker: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Who is the final sign-off authority for these documents? We want to ensure we get their feedback before the final delivery date.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3. On Constraints &amp; Resources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Personnel: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Who are the essential subject matter experts we must speak with in your IT and Legal departments? What is their availability over the next 1-2 weeks?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Technical Constraints: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Are there any immovable technical constraints? (e.g., "Must use Azure," "Cannot use open-source software," "Must integrate with System X").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Future State: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While we are defining requirements now, is there an anticipated budget or scope for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implementation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the new system? This ensures our requirements are realistic and achievable.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