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360"/>
      </w:pPr>
    </w:p>
    <w:p>
      <w:pPr>
        <w:spacing w:after="360"/>
        <w:jc w:val="center"/>
      </w:pPr>
      <w:r>
        <w:rPr>
          <w:rFonts w:ascii="Calibri" w:hAnsi="Calibri"/>
          <w:b/>
          <w:color w:val="2E74B5"/>
          <w:sz w:val="20"/>
        </w:rPr>
        <w:t>TECHNICAL PROJECT PLAN</w:t>
      </w:r>
    </w:p>
    <w:p>
      <w:pPr>
        <w:pStyle w:val="Title"/>
        <w:jc w:val="center"/>
      </w:pPr>
      <w:r>
        <w:t>Mixing-Length Convection for HELIOS–VULCAN</w:t>
      </w:r>
    </w:p>
    <w:p>
      <w:pPr>
        <w:pStyle w:val="Subtitle"/>
        <w:jc w:val="center"/>
      </w:pPr>
      <w:r>
        <w:t>From a closed dry-H₂ column to radiative–convective–photochemical equilibrium</w:t>
      </w:r>
    </w:p>
    <w:p>
      <w:pPr>
        <w:spacing w:before="440" w:after="120"/>
        <w:jc w:val="center"/>
      </w:pPr>
      <w:r>
        <w:rPr>
          <w:rFonts w:ascii="Calibri" w:hAnsi="Calibri"/>
          <w:i/>
          <w:color w:val="5D6773"/>
          <w:sz w:val="21"/>
        </w:rPr>
        <w:t>Project baseline: bethany-burt/ConvectionMLT + HELIOS/VULCAN + shone/JAX opacity and solver patterns</w:t>
      </w:r>
    </w:p>
    <w:p>
      <w:pPr>
        <w:jc w:val="center"/>
      </w:pPr>
      <w:r>
        <w:rPr>
          <w:rFonts w:ascii="Calibri" w:hAnsi="Calibri"/>
          <w:b/>
          <w:color w:val="5D6773"/>
          <w:sz w:val="20"/>
        </w:rPr>
        <w:t>Prepared 8 August 2026  •  Version 1.1</w:t>
      </w:r>
    </w:p>
    <w:p>
      <w:pPr>
        <w:spacing w:before="840" w:after="0"/>
        <w:jc w:val="center"/>
      </w:pPr>
      <w:r>
        <w:rPr>
          <w:rFonts w:ascii="Calibri" w:hAnsi="Calibri"/>
          <w:color w:val="0B2545"/>
          <w:sz w:val="22"/>
        </w:rPr>
        <w:t>Primary destination: rocky exoplanet atmospheres</w:t>
        <w:br/>
        <w:t>Secondary destination: sub-Neptunes</w:t>
        <w:br/>
        <w:t>First controlled system: dry ideal H₂</w:t>
      </w:r>
    </w:p>
    <w:p>
      <w:r>
        <w:br w:type="page"/>
      </w:r>
    </w:p>
    <w:p>
      <w:pPr>
        <w:pStyle w:val="Heading1"/>
      </w:pPr>
      <w:r>
        <w:t>Executive summary</w:t>
      </w:r>
    </w:p>
    <w:p>
      <w:pPr>
        <w:spacing w:before="100" w:after="160" w:line="288" w:lineRule="auto"/>
        <w:ind w:left="202" w:right="144"/>
        <w:shd w:fill="F4F6F9"/>
        <w:pBdr>
          <w:left w:val="single" w:sz="18" w:space="8" w:color="2E74B5"/>
        </w:pBdr>
      </w:pPr>
      <w:r>
        <w:rPr>
          <w:b/>
          <w:color w:val="0B2545"/>
        </w:rPr>
        <w:t xml:space="preserve">RECOMMENDATION  </w:t>
      </w:r>
      <w:r>
        <w:t>Treat the standalone ConvectionMLT repository as a reference laboratory, not as the final HELIOS implementation. Rebuild the core around cell-centred thermodynamics, interface fluxes, a conservative finite-volume energy update, and an interchangeable thermodynamics provider. Validate an explicit dry-H₂ solver first; then port the same flux operator into HELIOS and add faster steady-state solvers only after the reference solution is trusted.</w:t>
      </w:r>
    </w:p>
    <w:p>
      <w:r>
        <w:t>The project should progress through controlled layers of complexity. Each stage adds one major physical or numerical feedback and has a mandatory exit gate. A feature enters the coupled HELIOS–VULCAN model only after it reproduces a limiting case, conserves the relevant quantity, and remains stable under resolution and timestep refinement. This prevents convection, radiation, chemistry, condensation, and solver behaviour from becoming entangled during debugging.</w:t>
      </w:r>
    </w:p>
    <w:p>
      <w:pPr>
        <w:pStyle w:val="Heading2"/>
      </w:pPr>
      <w:r>
        <w:t>Five design rules govern the programme:</w:t>
      </w:r>
    </w:p>
    <w:p>
      <w:pPr>
        <w:spacing w:after="80" w:line="300" w:lineRule="auto"/>
        <w:numPr>
          <w:ilvl w:val="0"/>
          <w:numId w:val="10"/>
        </w:numPr>
      </w:pPr>
      <w:r>
        <w:t>Conservation first: compute all energy fluxes on N+1 interfaces and update N layers by their conservative divergence.</w:t>
      </w:r>
    </w:p>
    <w:p>
      <w:pPr>
        <w:spacing w:after="80" w:line="300" w:lineRule="auto"/>
        <w:numPr>
          <w:ilvl w:val="0"/>
          <w:numId w:val="10"/>
        </w:numPr>
      </w:pPr>
      <w:r>
        <w:t>Separate physics from numerics: the explicit timestep is a route to equilibrium; it is not the convective turnover time.</w:t>
      </w:r>
    </w:p>
    <w:p>
      <w:pPr>
        <w:spacing w:after="80" w:line="300" w:lineRule="auto"/>
        <w:numPr>
          <w:ilvl w:val="0"/>
          <w:numId w:val="10"/>
        </w:numPr>
      </w:pPr>
      <w:r>
        <w:t>Keep numerical, closure, and physical parameters distinct. Grid spacing and timestep are not calibration parameters; the mixing-length coefficient is.</w:t>
      </w:r>
    </w:p>
    <w:p>
      <w:pPr>
        <w:spacing w:after="80" w:line="300" w:lineRule="auto"/>
        <w:numPr>
          <w:ilvl w:val="0"/>
          <w:numId w:val="10"/>
        </w:numPr>
      </w:pPr>
      <w:r>
        <w:t>Preserve a trusted reference path. The explicit CPU column remains available even after a semi-implicit, Newton, or GPU solver is introduced.</w:t>
      </w:r>
    </w:p>
    <w:p>
      <w:pPr>
        <w:spacing w:after="80" w:line="300" w:lineRule="auto"/>
        <w:numPr>
          <w:ilvl w:val="0"/>
          <w:numId w:val="10"/>
        </w:numPr>
      </w:pPr>
      <w:r>
        <w:t>Increase coupling strength gradually: convection only → absorption-only radiation → fixed-composition RCE → surfaces and phase change → interactive chemistry/opacity → scattering and clouds.</w:t>
      </w:r>
    </w:p>
    <w:tbl>
      <w:tblPr>
        <w:tblStyle w:val="TableGrid"/>
        <w:tblW w:type="dxa" w:w="9360"/>
        <w:jc w:val="left"/>
        <w:tblLayout w:type="fixed"/>
        <w:tblLook w:firstColumn="1" w:firstRow="1" w:lastColumn="0" w:lastRow="0" w:noHBand="0" w:noVBand="1" w:val="04A0"/>
        <w:tblInd w:type="dxa" w:w="120"/>
      </w:tblPr>
      <w:tblGrid>
        <w:gridCol w:w="1750"/>
        <w:gridCol w:w="3800"/>
        <w:gridCol w:w="3810"/>
      </w:tblGrid>
      <w:tr>
        <w:trPr>
          <w:tblHeader w:val="true"/>
          <w:cantSplit w:val="true"/>
        </w:trPr>
        <w:tc>
          <w:tcPr>
            <w:tcW w:type="dxa" w:w="1750"/>
            <w:shd w:fill="E8EEF5"/>
            <w:vAlign w:val="center"/>
            <w:tcMar>
              <w:top w:w="80" w:type="dxa"/>
              <w:bottom w:w="80" w:type="dxa"/>
              <w:start w:w="120" w:type="dxa"/>
              <w:end w:w="120" w:type="dxa"/>
            </w:tcMar>
          </w:tcPr>
          <w:p>
            <w:pPr>
              <w:spacing w:before="0" w:after="0" w:line="252" w:lineRule="auto"/>
            </w:pPr>
            <w:r>
              <w:rPr>
                <w:rFonts w:ascii="Calibri" w:hAnsi="Calibri"/>
                <w:b/>
                <w:color w:val="0B2545"/>
                <w:sz w:val="18"/>
              </w:rPr>
              <w:t>Phase</w:t>
            </w:r>
          </w:p>
        </w:tc>
        <w:tc>
          <w:tcPr>
            <w:tcW w:type="dxa" w:w="3800"/>
            <w:shd w:fill="E8EEF5"/>
            <w:vAlign w:val="center"/>
            <w:tcMar>
              <w:top w:w="80" w:type="dxa"/>
              <w:bottom w:w="80" w:type="dxa"/>
              <w:start w:w="120" w:type="dxa"/>
              <w:end w:w="120" w:type="dxa"/>
            </w:tcMar>
          </w:tcPr>
          <w:p>
            <w:pPr>
              <w:spacing w:before="0" w:after="0" w:line="252" w:lineRule="auto"/>
            </w:pPr>
            <w:r>
              <w:rPr>
                <w:rFonts w:ascii="Calibri" w:hAnsi="Calibri"/>
                <w:b/>
                <w:color w:val="0B2545"/>
                <w:sz w:val="18"/>
              </w:rPr>
              <w:t>Scientific capability</w:t>
            </w:r>
          </w:p>
        </w:tc>
        <w:tc>
          <w:tcPr>
            <w:tcW w:type="dxa" w:w="3810"/>
            <w:shd w:fill="E8EEF5"/>
            <w:vAlign w:val="center"/>
            <w:tcMar>
              <w:top w:w="80" w:type="dxa"/>
              <w:bottom w:w="80" w:type="dxa"/>
              <w:start w:w="120" w:type="dxa"/>
              <w:end w:w="120" w:type="dxa"/>
            </w:tcMar>
          </w:tcPr>
          <w:p>
            <w:pPr>
              <w:spacing w:before="0" w:after="0" w:line="252" w:lineRule="auto"/>
            </w:pPr>
            <w:r>
              <w:rPr>
                <w:rFonts w:ascii="Calibri" w:hAnsi="Calibri"/>
                <w:b/>
                <w:color w:val="0B2545"/>
                <w:sz w:val="18"/>
              </w:rPr>
              <w:t>Primary proof</w:t>
            </w:r>
          </w:p>
        </w:tc>
      </w:tr>
      <w:tr>
        <w:trPr>
          <w:cantSplit w:val="true"/>
        </w:trPr>
        <w:tc>
          <w:tcPr>
            <w:tcW w:type="dxa" w:w="1750"/>
            <w:vAlign w:val="center"/>
            <w:tcMar>
              <w:top w:w="80" w:type="dxa"/>
              <w:bottom w:w="80" w:type="dxa"/>
              <w:start w:w="120" w:type="dxa"/>
              <w:end w:w="120" w:type="dxa"/>
            </w:tcMar>
          </w:tcPr>
          <w:p>
            <w:pPr>
              <w:spacing w:before="0" w:after="0" w:line="259" w:lineRule="auto"/>
            </w:pPr>
            <w:r>
              <w:rPr>
                <w:rFonts w:ascii="Calibri" w:hAnsi="Calibri"/>
                <w:color w:val="000000"/>
                <w:sz w:val="18"/>
              </w:rPr>
              <w:t>Foundation</w:t>
            </w:r>
          </w:p>
        </w:tc>
        <w:tc>
          <w:tcPr>
            <w:tcW w:type="dxa" w:w="3800"/>
            <w:vAlign w:val="center"/>
            <w:tcMar>
              <w:top w:w="80" w:type="dxa"/>
              <w:bottom w:w="80" w:type="dxa"/>
              <w:start w:w="120" w:type="dxa"/>
              <w:end w:w="120" w:type="dxa"/>
            </w:tcMar>
          </w:tcPr>
          <w:p>
            <w:pPr>
              <w:spacing w:before="0" w:after="0" w:line="259" w:lineRule="auto"/>
            </w:pPr>
            <w:r>
              <w:rPr>
                <w:rFonts w:ascii="Calibri" w:hAnsi="Calibri"/>
                <w:color w:val="000000"/>
                <w:sz w:val="18"/>
              </w:rPr>
              <w:t>Dry H₂ convection in a closed column</w:t>
            </w:r>
          </w:p>
        </w:tc>
        <w:tc>
          <w:tcPr>
            <w:tcW w:type="dxa" w:w="3810"/>
            <w:vAlign w:val="center"/>
            <w:tcMar>
              <w:top w:w="80" w:type="dxa"/>
              <w:bottom w:w="80" w:type="dxa"/>
              <w:start w:w="120" w:type="dxa"/>
              <w:end w:w="120" w:type="dxa"/>
            </w:tcMar>
          </w:tcPr>
          <w:p>
            <w:pPr>
              <w:spacing w:before="0" w:after="0" w:line="259" w:lineRule="auto"/>
            </w:pPr>
            <w:r>
              <w:rPr>
                <w:rFonts w:ascii="Calibri" w:hAnsi="Calibri"/>
                <w:color w:val="000000"/>
                <w:sz w:val="18"/>
              </w:rPr>
              <w:t>Same enthalpy-conserving adiabat for all converged resolutions and non-zero mixing lengths</w:t>
            </w:r>
          </w:p>
        </w:tc>
      </w:tr>
      <w:tr>
        <w:trPr>
          <w:cantSplit w:val="true"/>
        </w:trPr>
        <w:tc>
          <w:tcPr>
            <w:tcW w:type="dxa" w:w="1750"/>
            <w:vAlign w:val="center"/>
            <w:shd w:fill="FAFBFC"/>
            <w:tcMar>
              <w:top w:w="80" w:type="dxa"/>
              <w:bottom w:w="80" w:type="dxa"/>
              <w:start w:w="120" w:type="dxa"/>
              <w:end w:w="120" w:type="dxa"/>
            </w:tcMar>
          </w:tcPr>
          <w:p>
            <w:pPr>
              <w:spacing w:before="0" w:after="0" w:line="259" w:lineRule="auto"/>
            </w:pPr>
            <w:r>
              <w:rPr>
                <w:rFonts w:ascii="Calibri" w:hAnsi="Calibri"/>
                <w:color w:val="000000"/>
                <w:sz w:val="18"/>
              </w:rPr>
              <w:t>Radiative foundation</w:t>
            </w:r>
          </w:p>
        </w:tc>
        <w:tc>
          <w:tcPr>
            <w:tcW w:type="dxa" w:w="3800"/>
            <w:vAlign w:val="center"/>
            <w:shd w:fill="FAFBFC"/>
            <w:tcMar>
              <w:top w:w="80" w:type="dxa"/>
              <w:bottom w:w="80" w:type="dxa"/>
              <w:start w:w="120" w:type="dxa"/>
              <w:end w:w="120" w:type="dxa"/>
            </w:tcMar>
          </w:tcPr>
          <w:p>
            <w:pPr>
              <w:spacing w:before="0" w:after="0" w:line="259" w:lineRule="auto"/>
            </w:pPr>
            <w:r>
              <w:rPr>
                <w:rFonts w:ascii="Calibri" w:hAnsi="Calibri"/>
                <w:color w:val="000000"/>
                <w:sz w:val="18"/>
              </w:rPr>
              <w:t>Staggered absorption-only two-stream transfer with fixed opacity</w:t>
            </w:r>
          </w:p>
        </w:tc>
        <w:tc>
          <w:tcPr>
            <w:tcW w:type="dxa" w:w="3810"/>
            <w:vAlign w:val="center"/>
            <w:shd w:fill="FAFBFC"/>
            <w:tcMar>
              <w:top w:w="80" w:type="dxa"/>
              <w:bottom w:w="80" w:type="dxa"/>
              <w:start w:w="120" w:type="dxa"/>
              <w:end w:w="120" w:type="dxa"/>
            </w:tcMar>
          </w:tcPr>
          <w:p>
            <w:pPr>
              <w:spacing w:before="0" w:after="0" w:line="259" w:lineRule="auto"/>
            </w:pPr>
            <w:r>
              <w:rPr>
                <w:rFonts w:ascii="Calibri" w:hAnsi="Calibri"/>
                <w:color w:val="000000"/>
                <w:sz w:val="18"/>
              </w:rPr>
              <w:t>Analytic limits, conservative heating, and Thomas/dense/sweep agreement</w:t>
            </w:r>
          </w:p>
        </w:tc>
      </w:tr>
      <w:tr>
        <w:trPr>
          <w:cantSplit w:val="true"/>
        </w:trPr>
        <w:tc>
          <w:tcPr>
            <w:tcW w:type="dxa" w:w="1750"/>
            <w:vAlign w:val="center"/>
            <w:tcMar>
              <w:top w:w="80" w:type="dxa"/>
              <w:bottom w:w="80" w:type="dxa"/>
              <w:start w:w="120" w:type="dxa"/>
              <w:end w:w="120" w:type="dxa"/>
            </w:tcMar>
          </w:tcPr>
          <w:p>
            <w:pPr>
              <w:spacing w:before="0" w:after="0" w:line="259" w:lineRule="auto"/>
            </w:pPr>
            <w:r>
              <w:rPr>
                <w:rFonts w:ascii="Calibri" w:hAnsi="Calibri"/>
                <w:color w:val="000000"/>
                <w:sz w:val="18"/>
              </w:rPr>
              <w:t>Fixed-composition RCE</w:t>
            </w:r>
          </w:p>
        </w:tc>
        <w:tc>
          <w:tcPr>
            <w:tcW w:type="dxa" w:w="3800"/>
            <w:vAlign w:val="center"/>
            <w:tcMar>
              <w:top w:w="80" w:type="dxa"/>
              <w:bottom w:w="80" w:type="dxa"/>
              <w:start w:w="120" w:type="dxa"/>
              <w:end w:w="120" w:type="dxa"/>
            </w:tcMar>
          </w:tcPr>
          <w:p>
            <w:pPr>
              <w:spacing w:before="0" w:after="0" w:line="259" w:lineRule="auto"/>
            </w:pPr>
            <w:r>
              <w:rPr>
                <w:rFonts w:ascii="Calibri" w:hAnsi="Calibri"/>
                <w:color w:val="000000"/>
                <w:sz w:val="18"/>
              </w:rPr>
              <w:t>MLT + radiative flux with production opacity interpolation</w:t>
            </w:r>
          </w:p>
        </w:tc>
        <w:tc>
          <w:tcPr>
            <w:tcW w:type="dxa" w:w="3810"/>
            <w:vAlign w:val="center"/>
            <w:tcMar>
              <w:top w:w="80" w:type="dxa"/>
              <w:bottom w:w="80" w:type="dxa"/>
              <w:start w:w="120" w:type="dxa"/>
              <w:end w:w="120" w:type="dxa"/>
            </w:tcMar>
          </w:tcPr>
          <w:p>
            <w:pPr>
              <w:spacing w:before="0" w:after="0" w:line="259" w:lineRule="auto"/>
            </w:pPr>
            <w:r>
              <w:rPr>
                <w:rFonts w:ascii="Calibri" w:hAnsi="Calibri"/>
                <w:color w:val="000000"/>
                <w:sz w:val="18"/>
              </w:rPr>
              <w:t>Constant total flux, grid-converged RCB, and measured operator bottlenecks</w:t>
            </w:r>
          </w:p>
        </w:tc>
      </w:tr>
      <w:tr>
        <w:trPr>
          <w:cantSplit w:val="true"/>
        </w:trPr>
        <w:tc>
          <w:tcPr>
            <w:tcW w:type="dxa" w:w="1750"/>
            <w:vAlign w:val="center"/>
            <w:shd w:fill="FAFBFC"/>
            <w:tcMar>
              <w:top w:w="80" w:type="dxa"/>
              <w:bottom w:w="80" w:type="dxa"/>
              <w:start w:w="120" w:type="dxa"/>
              <w:end w:w="120" w:type="dxa"/>
            </w:tcMar>
          </w:tcPr>
          <w:p>
            <w:pPr>
              <w:spacing w:before="0" w:after="0" w:line="259" w:lineRule="auto"/>
            </w:pPr>
            <w:r>
              <w:rPr>
                <w:rFonts w:ascii="Calibri" w:hAnsi="Calibri"/>
                <w:color w:val="000000"/>
                <w:sz w:val="18"/>
              </w:rPr>
              <w:t>Rocky-planet modules</w:t>
            </w:r>
          </w:p>
        </w:tc>
        <w:tc>
          <w:tcPr>
            <w:tcW w:type="dxa" w:w="3800"/>
            <w:vAlign w:val="center"/>
            <w:shd w:fill="FAFBFC"/>
            <w:tcMar>
              <w:top w:w="80" w:type="dxa"/>
              <w:bottom w:w="80" w:type="dxa"/>
              <w:start w:w="120" w:type="dxa"/>
              <w:end w:w="120" w:type="dxa"/>
            </w:tcMar>
          </w:tcPr>
          <w:p>
            <w:pPr>
              <w:spacing w:before="0" w:after="0" w:line="259" w:lineRule="auto"/>
            </w:pPr>
            <w:r>
              <w:rPr>
                <w:rFonts w:ascii="Calibri" w:hAnsi="Calibri"/>
                <w:color w:val="000000"/>
                <w:sz w:val="18"/>
              </w:rPr>
              <w:t>Multi-component gases, surface, condensation and latent energy</w:t>
            </w:r>
          </w:p>
        </w:tc>
        <w:tc>
          <w:tcPr>
            <w:tcW w:type="dxa" w:w="3810"/>
            <w:vAlign w:val="center"/>
            <w:shd w:fill="FAFBFC"/>
            <w:tcMar>
              <w:top w:w="80" w:type="dxa"/>
              <w:bottom w:w="80" w:type="dxa"/>
              <w:start w:w="120" w:type="dxa"/>
              <w:end w:w="120" w:type="dxa"/>
            </w:tcMar>
          </w:tcPr>
          <w:p>
            <w:pPr>
              <w:spacing w:before="0" w:after="0" w:line="259" w:lineRule="auto"/>
            </w:pPr>
            <w:r>
              <w:rPr>
                <w:rFonts w:ascii="Calibri" w:hAnsi="Calibri"/>
                <w:color w:val="000000"/>
                <w:sz w:val="18"/>
              </w:rPr>
              <w:t>Closed mass and energy budgets before interactive opacity feedback</w:t>
            </w:r>
          </w:p>
        </w:tc>
      </w:tr>
      <w:tr>
        <w:trPr>
          <w:cantSplit w:val="true"/>
        </w:trPr>
        <w:tc>
          <w:tcPr>
            <w:tcW w:type="dxa" w:w="1750"/>
            <w:vAlign w:val="center"/>
            <w:tcMar>
              <w:top w:w="80" w:type="dxa"/>
              <w:bottom w:w="80" w:type="dxa"/>
              <w:start w:w="120" w:type="dxa"/>
              <w:end w:w="120" w:type="dxa"/>
            </w:tcMar>
          </w:tcPr>
          <w:p>
            <w:pPr>
              <w:spacing w:before="0" w:after="0" w:line="259" w:lineRule="auto"/>
            </w:pPr>
            <w:r>
              <w:rPr>
                <w:rFonts w:ascii="Calibri" w:hAnsi="Calibri"/>
                <w:color w:val="000000"/>
                <w:sz w:val="18"/>
              </w:rPr>
              <w:t>Coupled thermochemical</w:t>
            </w:r>
          </w:p>
        </w:tc>
        <w:tc>
          <w:tcPr>
            <w:tcW w:type="dxa" w:w="3800"/>
            <w:vAlign w:val="center"/>
            <w:tcMar>
              <w:top w:w="80" w:type="dxa"/>
              <w:bottom w:w="80" w:type="dxa"/>
              <w:start w:w="120" w:type="dxa"/>
              <w:end w:w="120" w:type="dxa"/>
            </w:tcMar>
          </w:tcPr>
          <w:p>
            <w:pPr>
              <w:spacing w:before="0" w:after="0" w:line="259" w:lineRule="auto"/>
            </w:pPr>
            <w:r>
              <w:rPr>
                <w:rFonts w:ascii="Calibri" w:hAnsi="Calibri"/>
                <w:color w:val="000000"/>
                <w:sz w:val="18"/>
              </w:rPr>
              <w:t>VULCAN composition, MLT-derived Kzz, gas-opacity feedback, then scattering/clouds</w:t>
            </w:r>
          </w:p>
        </w:tc>
        <w:tc>
          <w:tcPr>
            <w:tcW w:type="dxa" w:w="3810"/>
            <w:vAlign w:val="center"/>
            <w:tcMar>
              <w:top w:w="80" w:type="dxa"/>
              <w:bottom w:w="80" w:type="dxa"/>
              <w:start w:w="120" w:type="dxa"/>
              <w:end w:w="120" w:type="dxa"/>
            </w:tcMar>
          </w:tcPr>
          <w:p>
            <w:pPr>
              <w:spacing w:before="0" w:after="0" w:line="259" w:lineRule="auto"/>
            </w:pPr>
            <w:r>
              <w:rPr>
                <w:rFonts w:ascii="Calibri" w:hAnsi="Calibri"/>
                <w:color w:val="000000"/>
                <w:sz w:val="18"/>
              </w:rPr>
              <w:t>Joint convergence of T(P), composition, opacity, thermodynamics, and flux</w:t>
            </w:r>
          </w:p>
        </w:tc>
      </w:tr>
    </w:tbl>
    <w:p>
      <w:pPr>
        <w:spacing w:after="20"/>
      </w:pPr>
    </w:p>
    <w:p>
      <w:pPr>
        <w:pStyle w:val="Heading2"/>
      </w:pPr>
      <w:r>
        <w:t>How to read this plan</w:t>
      </w:r>
    </w:p>
    <w:p>
      <w:r>
        <w:t>Sections 1–3 define scope, architecture, and the reference equations. Section 4 is the staged roadmap. Sections 5–9 define validation, variables, timescales, performance, and coupling. Section 10 compares the design with existing codes. Sections 11–13 give project governance, immediate actions, and references.</w:t>
      </w:r>
    </w:p>
    <w:p>
      <w:pPr>
        <w:pStyle w:val="Heading1"/>
      </w:pPr>
      <w:r>
        <w:t>1. Scientific objective and scope</w:t>
      </w:r>
    </w:p>
    <w:p>
      <w:r>
        <w:t>The scientific objective is a one-dimensional atmosphere framework that can calculate radiative–convective equilibrium (RCE) with an explicit mixing-length convective flux, exchange temperature and mixing information with VULCAN, and eventually model high-molecular-weight rocky-planet atmospheres with surfaces and condensable species. The initial H₂ case is a numerical calibration problem, not the final application.</w:t>
      </w:r>
    </w:p>
    <w:p>
      <w:pPr>
        <w:pStyle w:val="Heading2"/>
      </w:pPr>
      <w:r>
        <w:t>Scope decisions</w:t>
      </w:r>
    </w:p>
    <w:tbl>
      <w:tblPr>
        <w:tblStyle w:val="TableGrid"/>
        <w:tblW w:type="dxa" w:w="9360"/>
        <w:jc w:val="left"/>
        <w:tblLayout w:type="fixed"/>
        <w:tblLook w:firstColumn="1" w:firstRow="1" w:lastColumn="0" w:lastRow="0" w:noHBand="0" w:noVBand="1" w:val="04A0"/>
        <w:tblInd w:type="dxa" w:w="120"/>
      </w:tblPr>
      <w:tblGrid>
        <w:gridCol w:w="1900"/>
        <w:gridCol w:w="7460"/>
      </w:tblGrid>
      <w:tr>
        <w:trPr>
          <w:tblHeader w:val="true"/>
          <w:cantSplit w:val="true"/>
        </w:trPr>
        <w:tc>
          <w:tcPr>
            <w:tcW w:type="dxa" w:w="1900"/>
            <w:shd w:fill="E8EEF5"/>
            <w:vAlign w:val="center"/>
            <w:tcMar>
              <w:top w:w="80" w:type="dxa"/>
              <w:bottom w:w="80" w:type="dxa"/>
              <w:start w:w="120" w:type="dxa"/>
              <w:end w:w="120" w:type="dxa"/>
            </w:tcMar>
          </w:tcPr>
          <w:p>
            <w:pPr>
              <w:spacing w:before="0" w:after="0" w:line="252" w:lineRule="auto"/>
            </w:pPr>
            <w:r>
              <w:rPr>
                <w:rFonts w:ascii="Calibri" w:hAnsi="Calibri"/>
                <w:b/>
                <w:color w:val="0B2545"/>
                <w:sz w:val="18"/>
              </w:rPr>
              <w:t>Decision</w:t>
            </w:r>
          </w:p>
        </w:tc>
        <w:tc>
          <w:tcPr>
            <w:tcW w:type="dxa" w:w="7460"/>
            <w:shd w:fill="E8EEF5"/>
            <w:vAlign w:val="center"/>
            <w:tcMar>
              <w:top w:w="80" w:type="dxa"/>
              <w:bottom w:w="80" w:type="dxa"/>
              <w:start w:w="120" w:type="dxa"/>
              <w:end w:w="120" w:type="dxa"/>
            </w:tcMar>
          </w:tcPr>
          <w:p>
            <w:pPr>
              <w:spacing w:before="0" w:after="0" w:line="252" w:lineRule="auto"/>
            </w:pPr>
            <w:r>
              <w:rPr>
                <w:rFonts w:ascii="Calibri" w:hAnsi="Calibri"/>
                <w:b/>
                <w:color w:val="0B2545"/>
                <w:sz w:val="18"/>
              </w:rPr>
              <w:t>Project interpretation</w:t>
            </w:r>
          </w:p>
        </w:tc>
      </w:tr>
      <w:tr>
        <w:trPr>
          <w:cantSplit w:val="true"/>
        </w:trPr>
        <w:tc>
          <w:tcPr>
            <w:tcW w:type="dxa" w:w="1900"/>
            <w:vAlign w:val="center"/>
            <w:tcMar>
              <w:top w:w="80" w:type="dxa"/>
              <w:bottom w:w="80" w:type="dxa"/>
              <w:start w:w="120" w:type="dxa"/>
              <w:end w:w="120" w:type="dxa"/>
            </w:tcMar>
          </w:tcPr>
          <w:p>
            <w:pPr>
              <w:spacing w:before="0" w:after="0" w:line="259" w:lineRule="auto"/>
            </w:pPr>
            <w:r>
              <w:rPr>
                <w:rFonts w:ascii="Calibri" w:hAnsi="Calibri"/>
                <w:color w:val="000000"/>
                <w:sz w:val="18"/>
              </w:rPr>
              <w:t>Initial composition</w:t>
            </w:r>
          </w:p>
        </w:tc>
        <w:tc>
          <w:tcPr>
            <w:tcW w:type="dxa" w:w="7460"/>
            <w:vAlign w:val="center"/>
            <w:tcMar>
              <w:top w:w="80" w:type="dxa"/>
              <w:bottom w:w="80" w:type="dxa"/>
              <w:start w:w="120" w:type="dxa"/>
              <w:end w:w="120" w:type="dxa"/>
            </w:tcMar>
          </w:tcPr>
          <w:p>
            <w:pPr>
              <w:spacing w:before="0" w:after="0" w:line="259" w:lineRule="auto"/>
            </w:pPr>
            <w:r>
              <w:rPr>
                <w:rFonts w:ascii="Calibri" w:hAnsi="Calibri"/>
                <w:color w:val="000000"/>
                <w:sz w:val="18"/>
              </w:rPr>
              <w:t>Pure H₂ represented as a constant-cp ideal diatomic gas. This is a deliberately controlled EOS, not a claim that real H₂ has constant heat capacity across all temperatures.</w:t>
            </w:r>
          </w:p>
        </w:tc>
      </w:tr>
      <w:tr>
        <w:trPr>
          <w:cantSplit w:val="true"/>
        </w:trPr>
        <w:tc>
          <w:tcPr>
            <w:tcW w:type="dxa" w:w="1900"/>
            <w:vAlign w:val="center"/>
            <w:shd w:fill="FAFBFC"/>
            <w:tcMar>
              <w:top w:w="80" w:type="dxa"/>
              <w:bottom w:w="80" w:type="dxa"/>
              <w:start w:w="120" w:type="dxa"/>
              <w:end w:w="120" w:type="dxa"/>
            </w:tcMar>
          </w:tcPr>
          <w:p>
            <w:pPr>
              <w:spacing w:before="0" w:after="0" w:line="259" w:lineRule="auto"/>
            </w:pPr>
            <w:r>
              <w:rPr>
                <w:rFonts w:ascii="Calibri" w:hAnsi="Calibri"/>
                <w:color w:val="000000"/>
                <w:sz w:val="18"/>
              </w:rPr>
              <w:t>Initial convection</w:t>
            </w:r>
          </w:p>
        </w:tc>
        <w:tc>
          <w:tcPr>
            <w:tcW w:type="dxa" w:w="7460"/>
            <w:vAlign w:val="center"/>
            <w:shd w:fill="FAFBFC"/>
            <w:tcMar>
              <w:top w:w="80" w:type="dxa"/>
              <w:bottom w:w="80" w:type="dxa"/>
              <w:start w:w="120" w:type="dxa"/>
              <w:end w:w="120" w:type="dxa"/>
            </w:tcMar>
          </w:tcPr>
          <w:p>
            <w:pPr>
              <w:spacing w:before="0" w:after="0" w:line="259" w:lineRule="auto"/>
            </w:pPr>
            <w:r>
              <w:rPr>
                <w:rFonts w:ascii="Calibri" w:hAnsi="Calibri"/>
                <w:color w:val="000000"/>
                <w:sz w:val="18"/>
              </w:rPr>
              <w:t>Dry Schwarzschild instability and local MLT. No latent heating, condensate loading, or molecular-weight stratification.</w:t>
            </w:r>
          </w:p>
        </w:tc>
      </w:tr>
      <w:tr>
        <w:trPr>
          <w:cantSplit w:val="true"/>
        </w:trPr>
        <w:tc>
          <w:tcPr>
            <w:tcW w:type="dxa" w:w="1900"/>
            <w:vAlign w:val="center"/>
            <w:tcMar>
              <w:top w:w="80" w:type="dxa"/>
              <w:bottom w:w="80" w:type="dxa"/>
              <w:start w:w="120" w:type="dxa"/>
              <w:end w:w="120" w:type="dxa"/>
            </w:tcMar>
          </w:tcPr>
          <w:p>
            <w:pPr>
              <w:spacing w:before="0" w:after="0" w:line="259" w:lineRule="auto"/>
            </w:pPr>
            <w:r>
              <w:rPr>
                <w:rFonts w:ascii="Calibri" w:hAnsi="Calibri"/>
                <w:color w:val="000000"/>
                <w:sz w:val="18"/>
              </w:rPr>
              <w:t>Initial geometry</w:t>
            </w:r>
          </w:p>
        </w:tc>
        <w:tc>
          <w:tcPr>
            <w:tcW w:type="dxa" w:w="7460"/>
            <w:vAlign w:val="center"/>
            <w:tcMar>
              <w:top w:w="80" w:type="dxa"/>
              <w:bottom w:w="80" w:type="dxa"/>
              <w:start w:w="120" w:type="dxa"/>
              <w:end w:w="120" w:type="dxa"/>
            </w:tcMar>
          </w:tcPr>
          <w:p>
            <w:pPr>
              <w:spacing w:before="0" w:after="0" w:line="259" w:lineRule="auto"/>
            </w:pPr>
            <w:r>
              <w:rPr>
                <w:rFonts w:ascii="Calibri" w:hAnsi="Calibri"/>
                <w:color w:val="000000"/>
                <w:sz w:val="18"/>
              </w:rPr>
              <w:t>Plane-parallel, hydrostatic, fixed gravity, pressure-coordinate grid.</w:t>
            </w:r>
          </w:p>
        </w:tc>
      </w:tr>
      <w:tr>
        <w:trPr>
          <w:cantSplit w:val="true"/>
        </w:trPr>
        <w:tc>
          <w:tcPr>
            <w:tcW w:type="dxa" w:w="1900"/>
            <w:vAlign w:val="center"/>
            <w:shd w:fill="FAFBFC"/>
            <w:tcMar>
              <w:top w:w="80" w:type="dxa"/>
              <w:bottom w:w="80" w:type="dxa"/>
              <w:start w:w="120" w:type="dxa"/>
              <w:end w:w="120" w:type="dxa"/>
            </w:tcMar>
          </w:tcPr>
          <w:p>
            <w:pPr>
              <w:spacing w:before="0" w:after="0" w:line="259" w:lineRule="auto"/>
            </w:pPr>
            <w:r>
              <w:rPr>
                <w:rFonts w:ascii="Calibri" w:hAnsi="Calibri"/>
                <w:color w:val="000000"/>
                <w:sz w:val="18"/>
              </w:rPr>
              <w:t>Initial boundary conditions</w:t>
            </w:r>
          </w:p>
        </w:tc>
        <w:tc>
          <w:tcPr>
            <w:tcW w:type="dxa" w:w="7460"/>
            <w:vAlign w:val="center"/>
            <w:shd w:fill="FAFBFC"/>
            <w:tcMar>
              <w:top w:w="80" w:type="dxa"/>
              <w:bottom w:w="80" w:type="dxa"/>
              <w:start w:w="120" w:type="dxa"/>
              <w:end w:w="120" w:type="dxa"/>
            </w:tcMar>
          </w:tcPr>
          <w:p>
            <w:pPr>
              <w:spacing w:before="0" w:after="0" w:line="259" w:lineRule="auto"/>
            </w:pPr>
            <w:r>
              <w:rPr>
                <w:rFonts w:ascii="Calibri" w:hAnsi="Calibri"/>
                <w:color w:val="000000"/>
                <w:sz w:val="18"/>
              </w:rPr>
              <w:t>Closed convection-only column with zero convective flux at top and bottom.</w:t>
            </w:r>
          </w:p>
        </w:tc>
      </w:tr>
      <w:tr>
        <w:trPr>
          <w:cantSplit w:val="true"/>
        </w:trPr>
        <w:tc>
          <w:tcPr>
            <w:tcW w:type="dxa" w:w="1900"/>
            <w:vAlign w:val="center"/>
            <w:tcMar>
              <w:top w:w="80" w:type="dxa"/>
              <w:bottom w:w="80" w:type="dxa"/>
              <w:start w:w="120" w:type="dxa"/>
              <w:end w:w="120" w:type="dxa"/>
            </w:tcMar>
          </w:tcPr>
          <w:p>
            <w:pPr>
              <w:spacing w:before="0" w:after="0" w:line="259" w:lineRule="auto"/>
            </w:pPr>
            <w:r>
              <w:rPr>
                <w:rFonts w:ascii="Calibri" w:hAnsi="Calibri"/>
                <w:color w:val="000000"/>
                <w:sz w:val="18"/>
              </w:rPr>
              <w:t>Use of time</w:t>
            </w:r>
          </w:p>
        </w:tc>
        <w:tc>
          <w:tcPr>
            <w:tcW w:type="dxa" w:w="7460"/>
            <w:vAlign w:val="center"/>
            <w:tcMar>
              <w:top w:w="80" w:type="dxa"/>
              <w:bottom w:w="80" w:type="dxa"/>
              <w:start w:w="120" w:type="dxa"/>
              <w:end w:w="120" w:type="dxa"/>
            </w:tcMar>
          </w:tcPr>
          <w:p>
            <w:pPr>
              <w:spacing w:before="0" w:after="0" w:line="259" w:lineRule="auto"/>
            </w:pPr>
            <w:r>
              <w:rPr>
                <w:rFonts w:ascii="Calibri" w:hAnsi="Calibri"/>
                <w:color w:val="000000"/>
                <w:sz w:val="18"/>
              </w:rPr>
              <w:t>Numerical relaxation to equilibrium. Physical turnover, mixing, radiative, and chemical times are diagnosed separately.</w:t>
            </w:r>
          </w:p>
        </w:tc>
      </w:tr>
      <w:tr>
        <w:trPr>
          <w:cantSplit w:val="true"/>
        </w:trPr>
        <w:tc>
          <w:tcPr>
            <w:tcW w:type="dxa" w:w="1900"/>
            <w:vAlign w:val="center"/>
            <w:shd w:fill="FAFBFC"/>
            <w:tcMar>
              <w:top w:w="80" w:type="dxa"/>
              <w:bottom w:w="80" w:type="dxa"/>
              <w:start w:w="120" w:type="dxa"/>
              <w:end w:w="120" w:type="dxa"/>
            </w:tcMar>
          </w:tcPr>
          <w:p>
            <w:pPr>
              <w:spacing w:before="0" w:after="0" w:line="259" w:lineRule="auto"/>
            </w:pPr>
            <w:r>
              <w:rPr>
                <w:rFonts w:ascii="Calibri" w:hAnsi="Calibri"/>
                <w:color w:val="000000"/>
                <w:sz w:val="18"/>
              </w:rPr>
              <w:t>Priority order</w:t>
            </w:r>
          </w:p>
        </w:tc>
        <w:tc>
          <w:tcPr>
            <w:tcW w:type="dxa" w:w="7460"/>
            <w:vAlign w:val="center"/>
            <w:shd w:fill="FAFBFC"/>
            <w:tcMar>
              <w:top w:w="80" w:type="dxa"/>
              <w:bottom w:w="80" w:type="dxa"/>
              <w:start w:w="120" w:type="dxa"/>
              <w:end w:w="120" w:type="dxa"/>
            </w:tcMar>
          </w:tcPr>
          <w:p>
            <w:pPr>
              <w:spacing w:before="0" w:after="0" w:line="259" w:lineRule="auto"/>
            </w:pPr>
            <w:r>
              <w:rPr>
                <w:rFonts w:ascii="Calibri" w:hAnsi="Calibri"/>
                <w:color w:val="000000"/>
                <w:sz w:val="18"/>
              </w:rPr>
              <w:t>Rocky planets first; sub-Neptunes second. H₂ is the clean validation medium.</w:t>
            </w:r>
          </w:p>
        </w:tc>
      </w:tr>
    </w:tbl>
    <w:p>
      <w:pPr>
        <w:spacing w:after="20"/>
      </w:pPr>
    </w:p>
    <w:p>
      <w:pPr>
        <w:pStyle w:val="Heading2"/>
      </w:pPr>
      <w:r>
        <w:t>Explicit non-goals for the first release</w:t>
      </w:r>
    </w:p>
    <w:p>
      <w:pPr>
        <w:spacing w:after="80" w:line="300" w:lineRule="auto"/>
        <w:numPr>
          <w:ilvl w:val="0"/>
          <w:numId w:val="10"/>
        </w:numPr>
      </w:pPr>
      <w:r>
        <w:t>No moist adiabat or latent heat in the closed-column milestone.</w:t>
      </w:r>
    </w:p>
    <w:p>
      <w:pPr>
        <w:spacing w:after="80" w:line="300" w:lineRule="auto"/>
        <w:numPr>
          <w:ilvl w:val="0"/>
          <w:numId w:val="10"/>
        </w:numPr>
      </w:pPr>
      <w:r>
        <w:t>No assumption that MLT alone supplies Kzz in radiative regions.</w:t>
      </w:r>
    </w:p>
    <w:p>
      <w:pPr>
        <w:spacing w:after="80" w:line="300" w:lineRule="auto"/>
        <w:numPr>
          <w:ilvl w:val="0"/>
          <w:numId w:val="10"/>
        </w:numPr>
      </w:pPr>
      <w:r>
        <w:t>No calibration of the mixing-length coefficient against observations before numerical convergence is established.</w:t>
      </w:r>
    </w:p>
    <w:p>
      <w:pPr>
        <w:spacing w:after="80" w:line="300" w:lineRule="auto"/>
        <w:numPr>
          <w:ilvl w:val="0"/>
          <w:numId w:val="10"/>
        </w:numPr>
      </w:pPr>
      <w:r>
        <w:t>No fully synchronous radiation–chemistry–convection time integration until steady coupled solutions are reliable.</w:t>
      </w:r>
    </w:p>
    <w:p>
      <w:pPr>
        <w:spacing w:after="80" w:line="300" w:lineRule="auto"/>
        <w:numPr>
          <w:ilvl w:val="0"/>
          <w:numId w:val="10"/>
        </w:numPr>
      </w:pPr>
      <w:r>
        <w:t>No claim that a 1D local MLT closure captures plumes, rotation, shear, or horizontally inhomogeneous convection.</w:t>
      </w:r>
    </w:p>
    <w:p>
      <w:pPr>
        <w:pStyle w:val="Heading1"/>
      </w:pPr>
      <w:r>
        <w:t>2. Target software architecture</w:t>
      </w:r>
    </w:p>
    <w:p>
      <w:r>
        <w:t>Use one set of physics kernels across the standalone test model and HELIOS. Thermodynamic state and opacity live at layer centres; radiative, convective, latent, and sensible fluxes live at interfaces. The standalone model provides transparent reference solvers; HELIOS remains an integration and comparison target; VULCAN owns chemical kinetics and species transport. The project-owned radiative kernel and opacity adapter must remain independently testable so later improvements do not invalidate the MLT reference.</w:t>
      </w:r>
    </w:p>
    <w:tbl>
      <w:tblPr>
        <w:tblStyle w:val="TableGrid"/>
        <w:tblW w:type="dxa" w:w="9360"/>
        <w:jc w:val="left"/>
        <w:tblLayout w:type="fixed"/>
        <w:tblLook w:firstColumn="1" w:firstRow="1" w:lastColumn="0" w:lastRow="0" w:noHBand="0" w:noVBand="1" w:val="04A0"/>
        <w:tblInd w:type="dxa" w:w="120"/>
      </w:tblPr>
      <w:tblGrid>
        <w:gridCol w:w="1800"/>
        <w:gridCol w:w="3800"/>
        <w:gridCol w:w="3760"/>
      </w:tblGrid>
      <w:tr>
        <w:trPr>
          <w:tblHeader w:val="true"/>
          <w:cantSplit w:val="true"/>
        </w:trPr>
        <w:tc>
          <w:tcPr>
            <w:tcW w:type="dxa" w:w="1800"/>
            <w:shd w:fill="E8EEF5"/>
            <w:vAlign w:val="center"/>
            <w:tcMar>
              <w:top w:w="80" w:type="dxa"/>
              <w:bottom w:w="80" w:type="dxa"/>
              <w:start w:w="120" w:type="dxa"/>
              <w:end w:w="120" w:type="dxa"/>
            </w:tcMar>
          </w:tcPr>
          <w:p>
            <w:pPr>
              <w:spacing w:before="0" w:after="0" w:line="252" w:lineRule="auto"/>
            </w:pPr>
            <w:r>
              <w:rPr>
                <w:rFonts w:ascii="Calibri" w:hAnsi="Calibri"/>
                <w:b/>
                <w:color w:val="0B2545"/>
                <w:sz w:val="17"/>
              </w:rPr>
              <w:t>Component</w:t>
            </w:r>
          </w:p>
        </w:tc>
        <w:tc>
          <w:tcPr>
            <w:tcW w:type="dxa" w:w="3800"/>
            <w:shd w:fill="E8EEF5"/>
            <w:vAlign w:val="center"/>
            <w:tcMar>
              <w:top w:w="80" w:type="dxa"/>
              <w:bottom w:w="80" w:type="dxa"/>
              <w:start w:w="120" w:type="dxa"/>
              <w:end w:w="120" w:type="dxa"/>
            </w:tcMar>
          </w:tcPr>
          <w:p>
            <w:pPr>
              <w:spacing w:before="0" w:after="0" w:line="252" w:lineRule="auto"/>
            </w:pPr>
            <w:r>
              <w:rPr>
                <w:rFonts w:ascii="Calibri" w:hAnsi="Calibri"/>
                <w:b/>
                <w:color w:val="0B2545"/>
                <w:sz w:val="17"/>
              </w:rPr>
              <w:t>Owns</w:t>
            </w:r>
          </w:p>
        </w:tc>
        <w:tc>
          <w:tcPr>
            <w:tcW w:type="dxa" w:w="3760"/>
            <w:shd w:fill="E8EEF5"/>
            <w:vAlign w:val="center"/>
            <w:tcMar>
              <w:top w:w="80" w:type="dxa"/>
              <w:bottom w:w="80" w:type="dxa"/>
              <w:start w:w="120" w:type="dxa"/>
              <w:end w:w="120" w:type="dxa"/>
            </w:tcMar>
          </w:tcPr>
          <w:p>
            <w:pPr>
              <w:spacing w:before="0" w:after="0" w:line="252" w:lineRule="auto"/>
            </w:pPr>
            <w:r>
              <w:rPr>
                <w:rFonts w:ascii="Calibri" w:hAnsi="Calibri"/>
                <w:b/>
                <w:color w:val="0B2545"/>
                <w:sz w:val="17"/>
              </w:rPr>
              <w:t>Must not own</w:t>
            </w:r>
          </w:p>
        </w:tc>
      </w:tr>
      <w:tr>
        <w:trPr>
          <w:cantSplit w:val="true"/>
        </w:trPr>
        <w:tc>
          <w:tcPr>
            <w:tcW w:type="dxa" w:w="1800"/>
            <w:vAlign w:val="center"/>
            <w:tcMar>
              <w:top w:w="80" w:type="dxa"/>
              <w:bottom w:w="80" w:type="dxa"/>
              <w:start w:w="120" w:type="dxa"/>
              <w:end w:w="120" w:type="dxa"/>
            </w:tcMar>
          </w:tcPr>
          <w:p>
            <w:pPr>
              <w:spacing w:before="0" w:after="0" w:line="259" w:lineRule="auto"/>
            </w:pPr>
            <w:r>
              <w:rPr>
                <w:rFonts w:ascii="Calibri" w:hAnsi="Calibri"/>
                <w:color w:val="000000"/>
                <w:sz w:val="17"/>
              </w:rPr>
              <w:t>Grid</w:t>
            </w:r>
          </w:p>
        </w:tc>
        <w:tc>
          <w:tcPr>
            <w:tcW w:type="dxa" w:w="3800"/>
            <w:vAlign w:val="center"/>
            <w:tcMar>
              <w:top w:w="80" w:type="dxa"/>
              <w:bottom w:w="80" w:type="dxa"/>
              <w:start w:w="120" w:type="dxa"/>
              <w:end w:w="120" w:type="dxa"/>
            </w:tcMar>
          </w:tcPr>
          <w:p>
            <w:pPr>
              <w:spacing w:before="0" w:after="0" w:line="259" w:lineRule="auto"/>
            </w:pPr>
            <w:r>
              <w:rPr>
                <w:rFonts w:ascii="Calibri" w:hAnsi="Calibri"/>
                <w:color w:val="000000"/>
                <w:sz w:val="17"/>
              </w:rPr>
              <w:t>Pressure centres/interfaces, layer mass, hydrostatic height</w:t>
            </w:r>
          </w:p>
        </w:tc>
        <w:tc>
          <w:tcPr>
            <w:tcW w:type="dxa" w:w="3760"/>
            <w:vAlign w:val="center"/>
            <w:tcMar>
              <w:top w:w="80" w:type="dxa"/>
              <w:bottom w:w="80" w:type="dxa"/>
              <w:start w:w="120" w:type="dxa"/>
              <w:end w:w="120" w:type="dxa"/>
            </w:tcMar>
          </w:tcPr>
          <w:p>
            <w:pPr>
              <w:spacing w:before="0" w:after="0" w:line="259" w:lineRule="auto"/>
            </w:pPr>
            <w:r>
              <w:rPr>
                <w:rFonts w:ascii="Calibri" w:hAnsi="Calibri"/>
                <w:color w:val="000000"/>
                <w:sz w:val="17"/>
              </w:rPr>
              <w:t>Convection closure or radiative assumptions</w:t>
            </w:r>
          </w:p>
        </w:tc>
      </w:tr>
      <w:tr>
        <w:trPr>
          <w:cantSplit w:val="true"/>
        </w:trPr>
        <w:tc>
          <w:tcPr>
            <w:tcW w:type="dxa" w:w="180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Thermodynamics provider</w:t>
            </w:r>
          </w:p>
        </w:tc>
        <w:tc>
          <w:tcPr>
            <w:tcW w:type="dxa" w:w="380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rho, cp, mu, nabla_ad, enthalpy, optional derivatives</w:t>
            </w:r>
          </w:p>
        </w:tc>
        <w:tc>
          <w:tcPr>
            <w:tcW w:type="dxa" w:w="376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Timestepping and flux divergence</w:t>
            </w:r>
          </w:p>
        </w:tc>
      </w:tr>
      <w:tr>
        <w:trPr>
          <w:cantSplit w:val="true"/>
        </w:trPr>
        <w:tc>
          <w:tcPr>
            <w:tcW w:type="dxa" w:w="1800"/>
            <w:vAlign w:val="center"/>
            <w:tcMar>
              <w:top w:w="80" w:type="dxa"/>
              <w:bottom w:w="80" w:type="dxa"/>
              <w:start w:w="120" w:type="dxa"/>
              <w:end w:w="120" w:type="dxa"/>
            </w:tcMar>
          </w:tcPr>
          <w:p>
            <w:pPr>
              <w:spacing w:before="0" w:after="0" w:line="259" w:lineRule="auto"/>
            </w:pPr>
            <w:r>
              <w:rPr>
                <w:rFonts w:ascii="Calibri" w:hAnsi="Calibri"/>
                <w:color w:val="000000"/>
                <w:sz w:val="17"/>
              </w:rPr>
              <w:t>MLT kernel</w:t>
            </w:r>
          </w:p>
        </w:tc>
        <w:tc>
          <w:tcPr>
            <w:tcW w:type="dxa" w:w="3800"/>
            <w:vAlign w:val="center"/>
            <w:tcMar>
              <w:top w:w="80" w:type="dxa"/>
              <w:bottom w:w="80" w:type="dxa"/>
              <w:start w:w="120" w:type="dxa"/>
              <w:end w:w="120" w:type="dxa"/>
            </w:tcMar>
          </w:tcPr>
          <w:p>
            <w:pPr>
              <w:spacing w:before="0" w:after="0" w:line="259" w:lineRule="auto"/>
            </w:pPr>
            <w:r>
              <w:rPr>
                <w:rFonts w:ascii="Calibri" w:hAnsi="Calibri"/>
                <w:color w:val="000000"/>
                <w:sz w:val="17"/>
              </w:rPr>
              <w:t>Instability, mixing length, velocity, Fconv, Kzz_conv</w:t>
            </w:r>
          </w:p>
        </w:tc>
        <w:tc>
          <w:tcPr>
            <w:tcW w:type="dxa" w:w="3760"/>
            <w:vAlign w:val="center"/>
            <w:tcMar>
              <w:top w:w="80" w:type="dxa"/>
              <w:bottom w:w="80" w:type="dxa"/>
              <w:start w:w="120" w:type="dxa"/>
              <w:end w:w="120" w:type="dxa"/>
            </w:tcMar>
          </w:tcPr>
          <w:p>
            <w:pPr>
              <w:spacing w:before="0" w:after="0" w:line="259" w:lineRule="auto"/>
            </w:pPr>
            <w:r>
              <w:rPr>
                <w:rFonts w:ascii="Calibri" w:hAnsi="Calibri"/>
                <w:color w:val="000000"/>
                <w:sz w:val="17"/>
              </w:rPr>
              <w:t>Profile evolution or plotting</w:t>
            </w:r>
          </w:p>
        </w:tc>
      </w:tr>
      <w:tr>
        <w:trPr>
          <w:cantSplit w:val="true"/>
        </w:trPr>
        <w:tc>
          <w:tcPr>
            <w:tcW w:type="dxa" w:w="180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Radiative kernel</w:t>
            </w:r>
          </w:p>
        </w:tc>
        <w:tc>
          <w:tcPr>
            <w:tcW w:type="dxa" w:w="380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Two-stream interface fluxes, boundary conditions, conservative heating</w:t>
            </w:r>
          </w:p>
        </w:tc>
        <w:tc>
          <w:tcPr>
            <w:tcW w:type="dxa" w:w="376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Opacity acquisition or chemistry</w:t>
            </w:r>
          </w:p>
        </w:tc>
      </w:tr>
      <w:tr>
        <w:trPr>
          <w:cantSplit w:val="true"/>
        </w:trPr>
        <w:tc>
          <w:tcPr>
            <w:tcW w:type="dxa" w:w="1800"/>
            <w:vAlign w:val="center"/>
            <w:tcMar>
              <w:top w:w="80" w:type="dxa"/>
              <w:bottom w:w="80" w:type="dxa"/>
              <w:start w:w="120" w:type="dxa"/>
              <w:end w:w="120" w:type="dxa"/>
            </w:tcMar>
          </w:tcPr>
          <w:p>
            <w:pPr>
              <w:spacing w:before="0" w:after="0" w:line="259" w:lineRule="auto"/>
            </w:pPr>
            <w:r>
              <w:rPr>
                <w:rFonts w:ascii="Calibri" w:hAnsi="Calibri"/>
                <w:color w:val="000000"/>
                <w:sz w:val="17"/>
              </w:rPr>
              <w:t>Opacity provider</w:t>
            </w:r>
          </w:p>
        </w:tc>
        <w:tc>
          <w:tcPr>
            <w:tcW w:type="dxa" w:w="3800"/>
            <w:vAlign w:val="center"/>
            <w:tcMar>
              <w:top w:w="80" w:type="dxa"/>
              <w:bottom w:w="80" w:type="dxa"/>
              <w:start w:w="120" w:type="dxa"/>
              <w:end w:w="120" w:type="dxa"/>
            </w:tcMar>
          </w:tcPr>
          <w:p>
            <w:pPr>
              <w:spacing w:before="0" w:after="0" w:line="259" w:lineRule="auto"/>
            </w:pPr>
            <w:r>
              <w:rPr>
                <w:rFonts w:ascii="Calibri" w:hAnsi="Calibri"/>
                <w:color w:val="000000"/>
                <w:sz w:val="17"/>
              </w:rPr>
              <w:t>Species tables, P–T interpolation, mixture assembly, spectral metadata</w:t>
            </w:r>
          </w:p>
        </w:tc>
        <w:tc>
          <w:tcPr>
            <w:tcW w:type="dxa" w:w="3760"/>
            <w:vAlign w:val="center"/>
            <w:tcMar>
              <w:top w:w="80" w:type="dxa"/>
              <w:bottom w:w="80" w:type="dxa"/>
              <w:start w:w="120" w:type="dxa"/>
              <w:end w:w="120" w:type="dxa"/>
            </w:tcMar>
          </w:tcPr>
          <w:p>
            <w:pPr>
              <w:spacing w:before="0" w:after="0" w:line="259" w:lineRule="auto"/>
            </w:pPr>
            <w:r>
              <w:rPr>
                <w:rFonts w:ascii="Calibri" w:hAnsi="Calibri"/>
                <w:color w:val="000000"/>
                <w:sz w:val="17"/>
              </w:rPr>
              <w:t>RCE iteration or phase-change bookkeeping</w:t>
            </w:r>
          </w:p>
        </w:tc>
      </w:tr>
      <w:tr>
        <w:trPr>
          <w:cantSplit w:val="true"/>
        </w:trPr>
        <w:tc>
          <w:tcPr>
            <w:tcW w:type="dxa" w:w="180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Energy operator</w:t>
            </w:r>
          </w:p>
        </w:tc>
        <w:tc>
          <w:tcPr>
            <w:tcW w:type="dxa" w:w="380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Conservative flux divergence and boundary fluxes</w:t>
            </w:r>
          </w:p>
        </w:tc>
        <w:tc>
          <w:tcPr>
            <w:tcW w:type="dxa" w:w="376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Opacity or reaction networks</w:t>
            </w:r>
          </w:p>
        </w:tc>
      </w:tr>
      <w:tr>
        <w:trPr>
          <w:cantSplit w:val="true"/>
        </w:trPr>
        <w:tc>
          <w:tcPr>
            <w:tcW w:type="dxa" w:w="1800"/>
            <w:vAlign w:val="center"/>
            <w:tcMar>
              <w:top w:w="80" w:type="dxa"/>
              <w:bottom w:w="80" w:type="dxa"/>
              <w:start w:w="120" w:type="dxa"/>
              <w:end w:w="120" w:type="dxa"/>
            </w:tcMar>
          </w:tcPr>
          <w:p>
            <w:pPr>
              <w:spacing w:before="0" w:after="0" w:line="259" w:lineRule="auto"/>
            </w:pPr>
            <w:r>
              <w:rPr>
                <w:rFonts w:ascii="Calibri" w:hAnsi="Calibri"/>
                <w:color w:val="000000"/>
                <w:sz w:val="17"/>
              </w:rPr>
              <w:t>Solver</w:t>
            </w:r>
          </w:p>
        </w:tc>
        <w:tc>
          <w:tcPr>
            <w:tcW w:type="dxa" w:w="3800"/>
            <w:vAlign w:val="center"/>
            <w:tcMar>
              <w:top w:w="80" w:type="dxa"/>
              <w:bottom w:w="80" w:type="dxa"/>
              <w:start w:w="120" w:type="dxa"/>
              <w:end w:w="120" w:type="dxa"/>
            </w:tcMar>
          </w:tcPr>
          <w:p>
            <w:pPr>
              <w:spacing w:before="0" w:after="0" w:line="259" w:lineRule="auto"/>
            </w:pPr>
            <w:r>
              <w:rPr>
                <w:rFonts w:ascii="Calibri" w:hAnsi="Calibri"/>
                <w:color w:val="000000"/>
                <w:sz w:val="17"/>
              </w:rPr>
              <w:t>Explicit, semi-implicit, or steady nonlinear update</w:t>
            </w:r>
          </w:p>
        </w:tc>
        <w:tc>
          <w:tcPr>
            <w:tcW w:type="dxa" w:w="3760"/>
            <w:vAlign w:val="center"/>
            <w:tcMar>
              <w:top w:w="80" w:type="dxa"/>
              <w:bottom w:w="80" w:type="dxa"/>
              <w:start w:w="120" w:type="dxa"/>
              <w:end w:w="120" w:type="dxa"/>
            </w:tcMar>
          </w:tcPr>
          <w:p>
            <w:pPr>
              <w:spacing w:before="0" w:after="0" w:line="259" w:lineRule="auto"/>
            </w:pPr>
            <w:r>
              <w:rPr>
                <w:rFonts w:ascii="Calibri" w:hAnsi="Calibri"/>
                <w:color w:val="000000"/>
                <w:sz w:val="17"/>
              </w:rPr>
              <w:t>Physical closure choices</w:t>
            </w:r>
          </w:p>
        </w:tc>
      </w:tr>
      <w:tr>
        <w:trPr>
          <w:cantSplit w:val="true"/>
        </w:trPr>
        <w:tc>
          <w:tcPr>
            <w:tcW w:type="dxa" w:w="180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Diagnostics</w:t>
            </w:r>
          </w:p>
        </w:tc>
        <w:tc>
          <w:tcPr>
            <w:tcW w:type="dxa" w:w="380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Budgets, residuals, timescales, convergence and performance</w:t>
            </w:r>
          </w:p>
        </w:tc>
        <w:tc>
          <w:tcPr>
            <w:tcW w:type="dxa" w:w="376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State mutation</w:t>
            </w:r>
          </w:p>
        </w:tc>
      </w:tr>
      <w:tr>
        <w:trPr>
          <w:cantSplit w:val="true"/>
        </w:trPr>
        <w:tc>
          <w:tcPr>
            <w:tcW w:type="dxa" w:w="1800"/>
            <w:vAlign w:val="center"/>
            <w:tcMar>
              <w:top w:w="80" w:type="dxa"/>
              <w:bottom w:w="80" w:type="dxa"/>
              <w:start w:w="120" w:type="dxa"/>
              <w:end w:w="120" w:type="dxa"/>
            </w:tcMar>
          </w:tcPr>
          <w:p>
            <w:pPr>
              <w:spacing w:before="0" w:after="0" w:line="259" w:lineRule="auto"/>
            </w:pPr>
            <w:r>
              <w:rPr>
                <w:rFonts w:ascii="Calibri" w:hAnsi="Calibri"/>
                <w:color w:val="000000"/>
                <w:sz w:val="17"/>
              </w:rPr>
              <w:t>Adapters</w:t>
            </w:r>
          </w:p>
        </w:tc>
        <w:tc>
          <w:tcPr>
            <w:tcW w:type="dxa" w:w="3800"/>
            <w:vAlign w:val="center"/>
            <w:tcMar>
              <w:top w:w="80" w:type="dxa"/>
              <w:bottom w:w="80" w:type="dxa"/>
              <w:start w:w="120" w:type="dxa"/>
              <w:end w:w="120" w:type="dxa"/>
            </w:tcMar>
          </w:tcPr>
          <w:p>
            <w:pPr>
              <w:spacing w:before="0" w:after="0" w:line="259" w:lineRule="auto"/>
            </w:pPr>
            <w:r>
              <w:rPr>
                <w:rFonts w:ascii="Calibri" w:hAnsi="Calibri"/>
                <w:color w:val="000000"/>
                <w:sz w:val="17"/>
              </w:rPr>
              <w:t>HELIOS and VULCAN array/layout conversion</w:t>
            </w:r>
          </w:p>
        </w:tc>
        <w:tc>
          <w:tcPr>
            <w:tcW w:type="dxa" w:w="3760"/>
            <w:vAlign w:val="center"/>
            <w:tcMar>
              <w:top w:w="80" w:type="dxa"/>
              <w:bottom w:w="80" w:type="dxa"/>
              <w:start w:w="120" w:type="dxa"/>
              <w:end w:w="120" w:type="dxa"/>
            </w:tcMar>
          </w:tcPr>
          <w:p>
            <w:pPr>
              <w:spacing w:before="0" w:after="0" w:line="259" w:lineRule="auto"/>
            </w:pPr>
            <w:r>
              <w:rPr>
                <w:rFonts w:ascii="Calibri" w:hAnsi="Calibri"/>
                <w:color w:val="000000"/>
                <w:sz w:val="17"/>
              </w:rPr>
              <w:t>Duplicate physics formulas</w:t>
            </w:r>
          </w:p>
        </w:tc>
      </w:tr>
    </w:tbl>
    <w:p>
      <w:pPr>
        <w:spacing w:after="20"/>
      </w:pPr>
    </w:p>
    <w:p>
      <w:pPr>
        <w:pStyle w:val="Heading2"/>
      </w:pPr>
      <w:r>
        <w:t>Recommended repository layout</w:t>
      </w:r>
    </w:p>
    <w:p>
      <w:pPr>
        <w:pStyle w:val="Equation"/>
      </w:pPr>
      <w:r>
        <w:t>convection_mlt/</w:t>
        <w:br/>
        <w:t xml:space="preserve">    grid.py                 pressure grid, layer mass, hydrostatic height</w:t>
        <w:br/>
        <w:t xml:space="preserve">    thermodynamics.py       constant-H₂ and later general providers</w:t>
        <w:br/>
        <w:t xml:space="preserve">    closure.py              interface MLT flux, velocity, length, Kzz</w:t>
        <w:br/>
        <w:t xml:space="preserve">    radiation.py            absorption-only two-stream reference kernel</w:t>
        <w:br/>
        <w:t xml:space="preserve">    tridiagonal.py          NumPy Thomas reference; JAX production solve</w:t>
        <w:br/>
        <w:t xml:space="preserve">    opacities.py            fixed and shone-backed opacity providers</w:t>
        <w:br/>
        <w:t xml:space="preserve">    energy.py               conservative divergence and boundaries</w:t>
        <w:br/>
        <w:t xml:space="preserve">    solvers.py              explicit reference; later implicit/steady</w:t>
        <w:br/>
        <w:t xml:space="preserve">    diagnostics.py          budgets, residuals, timescales</w:t>
        <w:br/>
        <w:t xml:space="preserve">    adapters/helios.py      HELIOS data mapping</w:t>
        <w:br/>
        <w:t xml:space="preserve">    adapters/vulcan.py      VULCAN T(P), composition and Kzz mapping</w:t>
        <w:br/>
        <w:t>tests/                      unit, invariant, convergence, regression</w:t>
        <w:br/>
        <w:t>experiments/                reproducible parameter sweeps</w:t>
        <w:br/>
        <w:t>legacy/                     preserved v2/v3 scripts and notebooks</w:t>
      </w:r>
    </w:p>
    <w:p>
      <w:pPr>
        <w:spacing w:before="100" w:after="160" w:line="288" w:lineRule="auto"/>
        <w:ind w:left="202" w:right="144"/>
        <w:shd w:fill="FFF3D6"/>
        <w:pBdr>
          <w:left w:val="single" w:sz="18" w:space="8" w:color="A06A00"/>
        </w:pBdr>
      </w:pPr>
      <w:r>
        <w:rPr>
          <w:b/>
          <w:color w:val="0B2545"/>
        </w:rPr>
        <w:t xml:space="preserve">MIGRATION RULE  </w:t>
      </w:r>
      <w:r>
        <w:t>Do not delete the existing v2/v3 scripts until every useful profile, parameter sweep, and diagnostic has a named replacement. Freeze them under legacy/ and stop extending them once the new reference kernel passes Stage 1.</w:t>
      </w:r>
    </w:p>
    <w:p>
      <w:pPr>
        <w:pStyle w:val="Heading2"/>
      </w:pPr>
      <w:r>
        <w:t>Grid and state convention</w:t>
      </w:r>
    </w:p>
    <w:tbl>
      <w:tblPr>
        <w:tblStyle w:val="TableGrid"/>
        <w:tblW w:type="dxa" w:w="9360"/>
        <w:jc w:val="left"/>
        <w:tblLayout w:type="fixed"/>
        <w:tblLook w:firstColumn="1" w:firstRow="1" w:lastColumn="0" w:lastRow="0" w:noHBand="0" w:noVBand="1" w:val="04A0"/>
        <w:tblInd w:type="dxa" w:w="120"/>
      </w:tblPr>
      <w:tblGrid>
        <w:gridCol w:w="4300"/>
        <w:gridCol w:w="3160"/>
        <w:gridCol w:w="1900"/>
      </w:tblGrid>
      <w:tr>
        <w:trPr>
          <w:tblHeader w:val="true"/>
          <w:cantSplit w:val="true"/>
        </w:trPr>
        <w:tc>
          <w:tcPr>
            <w:tcW w:type="dxa" w:w="4300"/>
            <w:shd w:fill="E8EEF5"/>
            <w:vAlign w:val="center"/>
            <w:tcMar>
              <w:top w:w="80" w:type="dxa"/>
              <w:bottom w:w="80" w:type="dxa"/>
              <w:start w:w="120" w:type="dxa"/>
              <w:end w:w="120" w:type="dxa"/>
            </w:tcMar>
          </w:tcPr>
          <w:p>
            <w:pPr>
              <w:spacing w:before="0" w:after="0" w:line="252" w:lineRule="auto"/>
            </w:pPr>
            <w:r>
              <w:rPr>
                <w:rFonts w:ascii="Calibri" w:hAnsi="Calibri"/>
                <w:b/>
                <w:color w:val="0B2545"/>
                <w:sz w:val="18"/>
              </w:rPr>
              <w:t>Quantity</w:t>
            </w:r>
          </w:p>
        </w:tc>
        <w:tc>
          <w:tcPr>
            <w:tcW w:type="dxa" w:w="3160"/>
            <w:shd w:fill="E8EEF5"/>
            <w:vAlign w:val="center"/>
            <w:tcMar>
              <w:top w:w="80" w:type="dxa"/>
              <w:bottom w:w="80" w:type="dxa"/>
              <w:start w:w="120" w:type="dxa"/>
              <w:end w:w="120" w:type="dxa"/>
            </w:tcMar>
          </w:tcPr>
          <w:p>
            <w:pPr>
              <w:spacing w:before="0" w:after="0" w:line="252" w:lineRule="auto"/>
            </w:pPr>
            <w:r>
              <w:rPr>
                <w:rFonts w:ascii="Calibri" w:hAnsi="Calibri"/>
                <w:b/>
                <w:color w:val="0B2545"/>
                <w:sz w:val="18"/>
              </w:rPr>
              <w:t>Location</w:t>
            </w:r>
          </w:p>
        </w:tc>
        <w:tc>
          <w:tcPr>
            <w:tcW w:type="dxa" w:w="1900"/>
            <w:shd w:fill="E8EEF5"/>
            <w:vAlign w:val="center"/>
            <w:tcMar>
              <w:top w:w="80" w:type="dxa"/>
              <w:bottom w:w="80" w:type="dxa"/>
              <w:start w:w="120" w:type="dxa"/>
              <w:end w:w="120" w:type="dxa"/>
            </w:tcMar>
          </w:tcPr>
          <w:p>
            <w:pPr>
              <w:spacing w:before="0" w:after="0" w:line="252" w:lineRule="auto"/>
            </w:pPr>
            <w:r>
              <w:rPr>
                <w:rFonts w:ascii="Calibri" w:hAnsi="Calibri"/>
                <w:b/>
                <w:color w:val="0B2545"/>
                <w:sz w:val="18"/>
              </w:rPr>
              <w:t>Shape</w:t>
            </w:r>
          </w:p>
        </w:tc>
      </w:tr>
      <w:tr>
        <w:trPr>
          <w:cantSplit w:val="true"/>
        </w:trPr>
        <w:tc>
          <w:tcPr>
            <w:tcW w:type="dxa" w:w="4300"/>
            <w:vAlign w:val="center"/>
            <w:tcMar>
              <w:top w:w="80" w:type="dxa"/>
              <w:bottom w:w="80" w:type="dxa"/>
              <w:start w:w="120" w:type="dxa"/>
              <w:end w:w="120" w:type="dxa"/>
            </w:tcMar>
          </w:tcPr>
          <w:p>
            <w:pPr>
              <w:spacing w:before="0" w:after="0" w:line="259" w:lineRule="auto"/>
            </w:pPr>
            <w:r>
              <w:rPr>
                <w:rFonts w:ascii="Calibri" w:hAnsi="Calibri"/>
                <w:color w:val="000000"/>
                <w:sz w:val="18"/>
              </w:rPr>
              <w:t>Pressure, temperature, density, cp, mu, composition</w:t>
            </w:r>
          </w:p>
        </w:tc>
        <w:tc>
          <w:tcPr>
            <w:tcW w:type="dxa" w:w="3160"/>
            <w:vAlign w:val="center"/>
            <w:tcMar>
              <w:top w:w="80" w:type="dxa"/>
              <w:bottom w:w="80" w:type="dxa"/>
              <w:start w:w="120" w:type="dxa"/>
              <w:end w:w="120" w:type="dxa"/>
            </w:tcMar>
          </w:tcPr>
          <w:p>
            <w:pPr>
              <w:spacing w:before="0" w:after="0" w:line="259" w:lineRule="auto"/>
            </w:pPr>
            <w:r>
              <w:rPr>
                <w:rFonts w:ascii="Calibri" w:hAnsi="Calibri"/>
                <w:color w:val="000000"/>
                <w:sz w:val="18"/>
              </w:rPr>
              <w:t>Layer centres</w:t>
            </w:r>
          </w:p>
        </w:tc>
        <w:tc>
          <w:tcPr>
            <w:tcW w:type="dxa" w:w="1900"/>
            <w:vAlign w:val="center"/>
            <w:tcMar>
              <w:top w:w="80" w:type="dxa"/>
              <w:bottom w:w="80" w:type="dxa"/>
              <w:start w:w="120" w:type="dxa"/>
              <w:end w:w="120" w:type="dxa"/>
            </w:tcMar>
          </w:tcPr>
          <w:p>
            <w:pPr>
              <w:spacing w:before="0" w:after="0" w:line="259" w:lineRule="auto"/>
            </w:pPr>
            <w:r>
              <w:rPr>
                <w:rFonts w:ascii="Calibri" w:hAnsi="Calibri"/>
                <w:color w:val="000000"/>
                <w:sz w:val="18"/>
              </w:rPr>
              <w:t>N</w:t>
            </w:r>
          </w:p>
        </w:tc>
      </w:tr>
      <w:tr>
        <w:trPr>
          <w:cantSplit w:val="true"/>
        </w:trPr>
        <w:tc>
          <w:tcPr>
            <w:tcW w:type="dxa" w:w="4300"/>
            <w:vAlign w:val="center"/>
            <w:shd w:fill="FAFBFC"/>
            <w:tcMar>
              <w:top w:w="80" w:type="dxa"/>
              <w:bottom w:w="80" w:type="dxa"/>
              <w:start w:w="120" w:type="dxa"/>
              <w:end w:w="120" w:type="dxa"/>
            </w:tcMar>
          </w:tcPr>
          <w:p>
            <w:pPr>
              <w:spacing w:before="0" w:after="0" w:line="259" w:lineRule="auto"/>
            </w:pPr>
            <w:r>
              <w:rPr>
                <w:rFonts w:ascii="Calibri" w:hAnsi="Calibri"/>
                <w:color w:val="000000"/>
                <w:sz w:val="18"/>
              </w:rPr>
              <w:t>Pressure interfaces, radiative/convective/latent/sensible flux</w:t>
            </w:r>
          </w:p>
        </w:tc>
        <w:tc>
          <w:tcPr>
            <w:tcW w:type="dxa" w:w="3160"/>
            <w:vAlign w:val="center"/>
            <w:shd w:fill="FAFBFC"/>
            <w:tcMar>
              <w:top w:w="80" w:type="dxa"/>
              <w:bottom w:w="80" w:type="dxa"/>
              <w:start w:w="120" w:type="dxa"/>
              <w:end w:w="120" w:type="dxa"/>
            </w:tcMar>
          </w:tcPr>
          <w:p>
            <w:pPr>
              <w:spacing w:before="0" w:after="0" w:line="259" w:lineRule="auto"/>
            </w:pPr>
            <w:r>
              <w:rPr>
                <w:rFonts w:ascii="Calibri" w:hAnsi="Calibri"/>
                <w:color w:val="000000"/>
                <w:sz w:val="18"/>
              </w:rPr>
              <w:t>Layer interfaces</w:t>
            </w:r>
          </w:p>
        </w:tc>
        <w:tc>
          <w:tcPr>
            <w:tcW w:type="dxa" w:w="1900"/>
            <w:vAlign w:val="center"/>
            <w:shd w:fill="FAFBFC"/>
            <w:tcMar>
              <w:top w:w="80" w:type="dxa"/>
              <w:bottom w:w="80" w:type="dxa"/>
              <w:start w:w="120" w:type="dxa"/>
              <w:end w:w="120" w:type="dxa"/>
            </w:tcMar>
          </w:tcPr>
          <w:p>
            <w:pPr>
              <w:spacing w:before="0" w:after="0" w:line="259" w:lineRule="auto"/>
            </w:pPr>
            <w:r>
              <w:rPr>
                <w:rFonts w:ascii="Calibri" w:hAnsi="Calibri"/>
                <w:color w:val="000000"/>
                <w:sz w:val="18"/>
              </w:rPr>
              <w:t>N+1</w:t>
            </w:r>
          </w:p>
        </w:tc>
      </w:tr>
      <w:tr>
        <w:trPr>
          <w:cantSplit w:val="true"/>
        </w:trPr>
        <w:tc>
          <w:tcPr>
            <w:tcW w:type="dxa" w:w="4300"/>
            <w:vAlign w:val="center"/>
            <w:tcMar>
              <w:top w:w="80" w:type="dxa"/>
              <w:bottom w:w="80" w:type="dxa"/>
              <w:start w:w="120" w:type="dxa"/>
              <w:end w:w="120" w:type="dxa"/>
            </w:tcMar>
          </w:tcPr>
          <w:p>
            <w:pPr>
              <w:spacing w:before="0" w:after="0" w:line="259" w:lineRule="auto"/>
            </w:pPr>
            <w:r>
              <w:rPr>
                <w:rFonts w:ascii="Calibri" w:hAnsi="Calibri"/>
                <w:color w:val="000000"/>
                <w:sz w:val="18"/>
              </w:rPr>
              <w:t>Internal MLT velocity, mixing length, Kzz</w:t>
            </w:r>
          </w:p>
        </w:tc>
        <w:tc>
          <w:tcPr>
            <w:tcW w:type="dxa" w:w="3160"/>
            <w:vAlign w:val="center"/>
            <w:tcMar>
              <w:top w:w="80" w:type="dxa"/>
              <w:bottom w:w="80" w:type="dxa"/>
              <w:start w:w="120" w:type="dxa"/>
              <w:end w:w="120" w:type="dxa"/>
            </w:tcMar>
          </w:tcPr>
          <w:p>
            <w:pPr>
              <w:spacing w:before="0" w:after="0" w:line="259" w:lineRule="auto"/>
            </w:pPr>
            <w:r>
              <w:rPr>
                <w:rFonts w:ascii="Calibri" w:hAnsi="Calibri"/>
                <w:color w:val="000000"/>
                <w:sz w:val="18"/>
              </w:rPr>
              <w:t>Internal interfaces; boundary values set explicitly</w:t>
            </w:r>
          </w:p>
        </w:tc>
        <w:tc>
          <w:tcPr>
            <w:tcW w:type="dxa" w:w="1900"/>
            <w:vAlign w:val="center"/>
            <w:tcMar>
              <w:top w:w="80" w:type="dxa"/>
              <w:bottom w:w="80" w:type="dxa"/>
              <w:start w:w="120" w:type="dxa"/>
              <w:end w:w="120" w:type="dxa"/>
            </w:tcMar>
          </w:tcPr>
          <w:p>
            <w:pPr>
              <w:spacing w:before="0" w:after="0" w:line="259" w:lineRule="auto"/>
            </w:pPr>
            <w:r>
              <w:rPr>
                <w:rFonts w:ascii="Calibri" w:hAnsi="Calibri"/>
                <w:color w:val="000000"/>
                <w:sz w:val="18"/>
              </w:rPr>
              <w:t>N+1</w:t>
            </w:r>
          </w:p>
        </w:tc>
      </w:tr>
      <w:tr>
        <w:trPr>
          <w:cantSplit w:val="true"/>
        </w:trPr>
        <w:tc>
          <w:tcPr>
            <w:tcW w:type="dxa" w:w="4300"/>
            <w:vAlign w:val="center"/>
            <w:shd w:fill="FAFBFC"/>
            <w:tcMar>
              <w:top w:w="80" w:type="dxa"/>
              <w:bottom w:w="80" w:type="dxa"/>
              <w:start w:w="120" w:type="dxa"/>
              <w:end w:w="120" w:type="dxa"/>
            </w:tcMar>
          </w:tcPr>
          <w:p>
            <w:pPr>
              <w:spacing w:before="0" w:after="0" w:line="259" w:lineRule="auto"/>
            </w:pPr>
            <w:r>
              <w:rPr>
                <w:rFonts w:ascii="Calibri" w:hAnsi="Calibri"/>
                <w:color w:val="000000"/>
                <w:sz w:val="18"/>
              </w:rPr>
              <w:t>Layer mass per unit area</w:t>
            </w:r>
          </w:p>
        </w:tc>
        <w:tc>
          <w:tcPr>
            <w:tcW w:type="dxa" w:w="3160"/>
            <w:vAlign w:val="center"/>
            <w:shd w:fill="FAFBFC"/>
            <w:tcMar>
              <w:top w:w="80" w:type="dxa"/>
              <w:bottom w:w="80" w:type="dxa"/>
              <w:start w:w="120" w:type="dxa"/>
              <w:end w:w="120" w:type="dxa"/>
            </w:tcMar>
          </w:tcPr>
          <w:p>
            <w:pPr>
              <w:spacing w:before="0" w:after="0" w:line="259" w:lineRule="auto"/>
            </w:pPr>
            <w:r>
              <w:rPr>
                <w:rFonts w:ascii="Calibri" w:hAnsi="Calibri"/>
                <w:color w:val="000000"/>
                <w:sz w:val="18"/>
              </w:rPr>
              <w:t>Layer-integrated</w:t>
            </w:r>
          </w:p>
        </w:tc>
        <w:tc>
          <w:tcPr>
            <w:tcW w:type="dxa" w:w="1900"/>
            <w:vAlign w:val="center"/>
            <w:shd w:fill="FAFBFC"/>
            <w:tcMar>
              <w:top w:w="80" w:type="dxa"/>
              <w:bottom w:w="80" w:type="dxa"/>
              <w:start w:w="120" w:type="dxa"/>
              <w:end w:w="120" w:type="dxa"/>
            </w:tcMar>
          </w:tcPr>
          <w:p>
            <w:pPr>
              <w:spacing w:before="0" w:after="0" w:line="259" w:lineRule="auto"/>
            </w:pPr>
            <w:r>
              <w:rPr>
                <w:rFonts w:ascii="Calibri" w:hAnsi="Calibri"/>
                <w:color w:val="000000"/>
                <w:sz w:val="18"/>
              </w:rPr>
              <w:t>N</w:t>
            </w:r>
          </w:p>
        </w:tc>
      </w:tr>
    </w:tbl>
    <w:p>
      <w:pPr>
        <w:spacing w:after="20"/>
      </w:pPr>
    </w:p>
    <w:p>
      <w:r>
        <w:t>Use a single sign convention everywhere: positive flux is upward; pressure increases downward. Store the convention in module documentation and assert it in unit tests.</w:t>
      </w:r>
    </w:p>
    <w:p>
      <w:pPr>
        <w:pStyle w:val="Heading1"/>
      </w:pPr>
      <w:r>
        <w:t>3. Reference physics and conservative update</w:t>
      </w:r>
    </w:p>
    <w:p>
      <w:r>
        <w:t>For adjacent layer centres bracketing interface j, define the atmospheric logarithmic gradient and instability excess as</w:t>
      </w:r>
    </w:p>
    <w:p>
      <w:pPr>
        <w:pStyle w:val="Equation"/>
        <w:shd w:fill="F2F4F7"/>
      </w:pPr>
      <w:r>
        <w:t>nabla_j = (ln T_lower - ln T_upper) / (ln P_lower - ln P_upper);    Delta_j = max(nabla_j - nabla_ad,j, 0).</w:t>
      </w:r>
    </w:p>
    <w:p>
      <w:r>
        <w:t>For the first closure, follow the simple pressure-coordinate formulation used by AGNI and Lee, Tan &amp; Tsai:</w:t>
      </w:r>
    </w:p>
    <w:p>
      <w:pPr>
        <w:pStyle w:val="Equation"/>
        <w:shd w:fill="F2F4F7"/>
      </w:pPr>
      <w:r>
        <w:t>H_p,j = R_specific T_j / g_j;    ell_j = alpha H_p,j;    w_j = ell_j sqrt[(g_j/H_p,j) Delta_j].</w:t>
      </w:r>
    </w:p>
    <w:p>
      <w:pPr>
        <w:pStyle w:val="Equation"/>
        <w:shd w:fill="F2F4F7"/>
      </w:pPr>
      <w:r>
        <w:t>F_conv,j = (1/2) rho_j cp_j w_j T_j (ell_j/H_p,j) Delta_j;    Kzz_conv,j = w_j ell_j.</w:t>
      </w:r>
    </w:p>
    <w:p>
      <w:r>
        <w:t>The coefficient 1/2 and the exact mixing-length convention are closure choices. Record them in model metadata. Do not absorb them silently into alpha.</w:t>
      </w:r>
    </w:p>
    <w:p>
      <w:r>
        <w:t>For layer i with column mass Delta m_i = (P_bottom - P_top)/g, update temperature from total interface flux by</w:t>
      </w:r>
    </w:p>
    <w:p>
      <w:pPr>
        <w:pStyle w:val="Equation"/>
        <w:shd w:fill="F2F4F7"/>
      </w:pPr>
      <w:r>
        <w:t>dT_i/dt = [F_tot,bottom(i) - F_tot,top(i)] / [cp_i Delta m_i], where F_tot = F_rad + F_conv + F_lat + F_sens + F_other.</w:t>
      </w:r>
    </w:p>
    <w:p>
      <w:r>
        <w:t>This finite-volume form makes internal fluxes telescope. With zero top and bottom flux, the column enthalpy is conserved to solver tolerance. With imposed boundary fluxes, the enthalpy change must equal the time-integrated net boundary input.</w:t>
      </w:r>
    </w:p>
    <w:p>
      <w:pPr>
        <w:pStyle w:val="Heading2"/>
      </w:pPr>
      <w:r>
        <w:t>Dry-H₂ baseline</w:t>
      </w:r>
    </w:p>
    <w:p>
      <w:pPr>
        <w:pStyle w:val="Equation"/>
        <w:shd w:fill="F2F4F7"/>
      </w:pPr>
      <w:r>
        <w:t>mu = 2.01588e-3 kg mol^-1;    R_specific = R/mu;    cp = (7/2) R_specific;    nabla_ad = R_specific/cp = 2/7.</w:t>
      </w:r>
    </w:p>
    <w:p>
      <w:pPr>
        <w:pStyle w:val="SmallNote"/>
        <w:spacing w:before="80" w:after="80"/>
      </w:pPr>
      <w:r>
        <w:t>Validity note: this fixed 7/2 heat capacity assumes rotational modes are active and vibrational modes are inactive. Later stages replace it with a temperature- and composition-dependent provider.</w:t>
      </w:r>
    </w:p>
    <w:p>
      <w:pPr>
        <w:pStyle w:val="Heading2"/>
      </w:pPr>
      <w:r>
        <w:t>Boundary treatment</w:t>
      </w:r>
    </w:p>
    <w:p>
      <w:pPr>
        <w:spacing w:after="80" w:line="300" w:lineRule="auto"/>
        <w:numPr>
          <w:ilvl w:val="0"/>
          <w:numId w:val="10"/>
        </w:numPr>
      </w:pPr>
      <w:r>
        <w:t>Closed-column validation: Fconv = 0 at both boundaries.</w:t>
      </w:r>
    </w:p>
    <w:p>
      <w:pPr>
        <w:spacing w:after="80" w:line="300" w:lineRule="auto"/>
        <w:numPr>
          <w:ilvl w:val="0"/>
          <w:numId w:val="10"/>
        </w:numPr>
      </w:pPr>
      <w:r>
        <w:t>Gas-giant/deep atmosphere: ell = alpha Hp is an adequate baseline.</w:t>
      </w:r>
    </w:p>
    <w:p>
      <w:pPr>
        <w:spacing w:after="80" w:line="300" w:lineRule="auto"/>
        <w:numPr>
          <w:ilvl w:val="0"/>
          <w:numId w:val="10"/>
        </w:numPr>
      </w:pPr>
      <w:r>
        <w:t>Rocky atmosphere with a surface: add a surface-aware limiter such as AGNI’s Blackadar-like ell = kv z / (1 + kv z/Hp), plus a distinct sensible heat flux.</w:t>
      </w:r>
    </w:p>
    <w:p>
      <w:pPr>
        <w:spacing w:after="80" w:line="300" w:lineRule="auto"/>
        <w:numPr>
          <w:ilvl w:val="0"/>
          <w:numId w:val="10"/>
        </w:numPr>
      </w:pPr>
      <w:r>
        <w:t>Radiative regions: set Fconv = 0. Any non-zero Kzz there must come from a documented overshoot or background-mixing prescription, not from relabelling the MLT result.</w:t>
      </w:r>
    </w:p>
    <w:p>
      <w:pPr>
        <w:pStyle w:val="Heading2"/>
      </w:pPr>
      <w:r>
        <w:t>Radiative-transfer baseline</w:t>
      </w:r>
    </w:p>
    <w:p>
      <w:r>
        <w:t>Use the same staggering for radiation: T, P, density and opacity are evaluated at N layer centres, while upward, downward and net radiative fluxes are evaluated at N+1 interfaces. For mass opacity kappa in layer i,</w:t>
      </w:r>
    </w:p>
    <w:p>
      <w:pPr>
        <w:pStyle w:val="Equation"/>
        <w:shd w:fill="F2F4F7"/>
      </w:pPr>
      <w:r>
        <w:t>Delta tau_i,lambda = kappa_i,lambda Delta P_i / g_i;    (dT_i/dt)_rad = [F_rad,bottom(i) - F_rad,top(i)] / [cp_i Delta m_i].</w:t>
      </w:r>
    </w:p>
    <w:p>
      <w:r>
        <w:t>The first radiative kernel is two stream, pure absorption and fixed composition. Derive the layered equations in tridiagonal form, solve a small transparent reference with a NumPy Thomas algorithm, and retain an independent directional sweep/dense solve for verification. The production implementation may use JAX compilation, batching and automatic differentiation, but JAX is the execution framework rather than the physical closure or the matrix algorithm.</w:t>
      </w:r>
    </w:p>
    <w:p>
      <w:pPr>
        <w:spacing w:before="100" w:after="160" w:line="288" w:lineRule="auto"/>
        <w:ind w:left="202" w:right="144"/>
        <w:shd w:fill="E8EEF5"/>
        <w:pBdr>
          <w:left w:val="single" w:sz="18" w:space="8" w:color="2E74B5"/>
        </w:pBdr>
      </w:pPr>
      <w:r>
        <w:rPr>
          <w:b/>
          <w:color w:val="0B2545"/>
        </w:rPr>
        <w:t xml:space="preserve">DEPENDENCY RULE  </w:t>
      </w:r>
      <w:r>
        <w:t>Move interactive composition–opacity feedback later, but do not postpone the radiative operator or fixed-composition opacity provider. Dry-surface and latent-energy tests need a trusted energy-flux framework; they do not need two-way photochemical opacity feedback.</w:t>
      </w:r>
    </w:p>
    <w:p>
      <w:pPr>
        <w:pStyle w:val="Heading1"/>
      </w:pPr>
      <w:r>
        <w:t>4. Staged development roadmap</w:t>
      </w:r>
    </w:p>
    <w:p>
      <w:r>
        <w:t>Stages are ordered by coupling strength, not by scientific prestige. Every exit gate is required before the next stage becomes the default branch.</w:t>
      </w:r>
    </w:p>
    <w:p>
      <w:pPr>
        <w:pStyle w:val="Heading2"/>
      </w:pPr>
      <w:r>
        <w:t>0. Foundation and reproducibility</w:t>
      </w:r>
    </w:p>
    <w:p>
      <w:r>
        <w:rPr>
          <w:b/>
        </w:rPr>
        <w:t xml:space="preserve">Objective. </w:t>
      </w:r>
      <w:r>
        <w:t>Create a small, testable package while retaining the existing repository history.</w:t>
      </w:r>
    </w:p>
    <w:p>
      <w:r>
        <w:rPr>
          <w:b/>
        </w:rPr>
        <w:t xml:space="preserve">Build. </w:t>
      </w:r>
      <w:r>
        <w:t>Correct the constant-H₂ heat capacity; adopt centre temperatures/interface fluxes; define units, signs, configuration objects, deterministic outputs, and CI.</w:t>
      </w:r>
    </w:p>
    <w:p>
      <w:r>
        <w:rPr>
          <w:b/>
        </w:rPr>
        <w:t xml:space="preserve">Variables to sweep. </w:t>
      </w:r>
      <w:r>
        <w:t>No broad science sweep. Use two tiny deterministic fixtures and one production-sized case.</w:t>
      </w:r>
    </w:p>
    <w:p>
      <w:pPr>
        <w:spacing w:after="80" w:line="300" w:lineRule="auto"/>
        <w:numPr>
          <w:ilvl w:val="0"/>
          <w:numId w:val="10"/>
        </w:numPr>
      </w:pPr>
      <w:r>
        <w:t>Unit and dimensional tests for cp, rho, Hp, nabla_ad, layer mass, height integration, and array shapes.</w:t>
      </w:r>
    </w:p>
    <w:p>
      <w:pPr>
        <w:spacing w:after="80" w:line="300" w:lineRule="auto"/>
        <w:numPr>
          <w:ilvl w:val="0"/>
          <w:numId w:val="10"/>
        </w:numPr>
      </w:pPr>
      <w:r>
        <w:t>Static checks that every public result records git commit, configuration, closure prefactor, units, and convergence status.</w:t>
      </w:r>
    </w:p>
    <w:p>
      <w:pPr>
        <w:spacing w:after="80" w:line="300" w:lineRule="auto"/>
        <w:numPr>
          <w:ilvl w:val="0"/>
          <w:numId w:val="10"/>
        </w:numPr>
      </w:pPr>
      <w:r>
        <w:t>Legacy comparison that reproduces one v2/v3 result closely enough to explain differences from the corrected discretisation.</w:t>
      </w:r>
    </w:p>
    <w:p>
      <w:pPr>
        <w:spacing w:before="100" w:after="160" w:line="288" w:lineRule="auto"/>
        <w:ind w:left="202" w:right="144"/>
        <w:shd w:fill="E8F2EC"/>
        <w:pBdr>
          <w:left w:val="single" w:sz="18" w:space="8" w:color="3A7D5C"/>
        </w:pBdr>
      </w:pPr>
      <w:r>
        <w:rPr>
          <w:b/>
          <w:color w:val="0B2545"/>
        </w:rPr>
        <w:t xml:space="preserve">EXIT GATE  </w:t>
      </w:r>
      <w:r>
        <w:t>The package installs in a clean environment; all deterministic unit tests pass; one command reproduces a baseline result and metadata.</w:t>
      </w:r>
    </w:p>
    <w:p>
      <w:pPr>
        <w:pStyle w:val="Heading2"/>
      </w:pPr>
      <w:r>
        <w:t>1. Closed dry-H₂ convective column</w:t>
      </w:r>
    </w:p>
    <w:p>
      <w:r>
        <w:rPr>
          <w:b/>
        </w:rPr>
        <w:t xml:space="preserve">Objective. </w:t>
      </w:r>
      <w:r>
        <w:t>Prove that the convection operator recovers the correct enthalpy-conserving adiabat independent of numerical resolution, stable timestep, and non-zero mixing length.</w:t>
      </w:r>
    </w:p>
    <w:p>
      <w:r>
        <w:rPr>
          <w:b/>
        </w:rPr>
        <w:t xml:space="preserve">Build. </w:t>
      </w:r>
      <w:r>
        <w:t>Convection only, fixed gravity, constant cp and mu, zero boundary flux, explicit global timestep, analytic final adiabat.</w:t>
      </w:r>
    </w:p>
    <w:p>
      <w:r>
        <w:rPr>
          <w:b/>
        </w:rPr>
        <w:t xml:space="preserve">Variables to sweep. </w:t>
      </w:r>
      <w:r>
        <w:t>N = 25, 50, 100, 200, 400; alpha = 0.25, 0.5, 1, 2, 4; uniform and perturbed log-pressure grids; multiple superadiabatic initial profiles; timestep safety factors across stable and unstable regimes.</w:t>
      </w:r>
    </w:p>
    <w:p>
      <w:pPr>
        <w:spacing w:after="80" w:line="300" w:lineRule="auto"/>
        <w:numPr>
          <w:ilvl w:val="0"/>
          <w:numId w:val="10"/>
        </w:numPr>
      </w:pPr>
      <w:r>
        <w:t>Stable-profile test: subadiabatic input remains unchanged and Fconv is identically zero.</w:t>
      </w:r>
    </w:p>
    <w:p>
      <w:pPr>
        <w:spacing w:after="80" w:line="300" w:lineRule="auto"/>
        <w:numPr>
          <w:ilvl w:val="0"/>
          <w:numId w:val="10"/>
        </w:numPr>
      </w:pPr>
      <w:r>
        <w:t>Exact-adiabat test: arbitrary log-pressure grids give zero flux to roundoff/discretisation tolerance.</w:t>
      </w:r>
    </w:p>
    <w:p>
      <w:pPr>
        <w:spacing w:after="80" w:line="300" w:lineRule="auto"/>
        <w:numPr>
          <w:ilvl w:val="0"/>
          <w:numId w:val="10"/>
        </w:numPr>
      </w:pPr>
      <w:r>
        <w:t>Manufactured one-interface case: w, ell, Fconv and Kzz match a hand calculation.</w:t>
      </w:r>
    </w:p>
    <w:p>
      <w:pPr>
        <w:spacing w:after="80" w:line="300" w:lineRule="auto"/>
        <w:numPr>
          <w:ilvl w:val="0"/>
          <w:numId w:val="10"/>
        </w:numPr>
      </w:pPr>
      <w:r>
        <w:t>Column enthalpy test: zero-flux boundaries conserve sum(cp T Delta m).</w:t>
      </w:r>
    </w:p>
    <w:p>
      <w:pPr>
        <w:spacing w:after="80" w:line="300" w:lineRule="auto"/>
        <w:numPr>
          <w:ilvl w:val="0"/>
          <w:numId w:val="10"/>
        </w:numPr>
      </w:pPr>
      <w:r>
        <w:t>Analytic equilibrium test: final T(P) has slope 2/7 and the normalization fixed by initial enthalpy.</w:t>
      </w:r>
    </w:p>
    <w:p>
      <w:pPr>
        <w:spacing w:after="80" w:line="300" w:lineRule="auto"/>
        <w:numPr>
          <w:ilvl w:val="0"/>
          <w:numId w:val="10"/>
        </w:numPr>
      </w:pPr>
      <w:r>
        <w:t>Resolution, alpha and timestep sweeps; transient forward-Euler error should approach first order in dt while the converged state is dt-independent below the stability limit.</w:t>
      </w:r>
    </w:p>
    <w:p>
      <w:pPr>
        <w:spacing w:after="80" w:line="300" w:lineRule="auto"/>
        <w:numPr>
          <w:ilvl w:val="0"/>
          <w:numId w:val="10"/>
        </w:numPr>
      </w:pPr>
      <w:r>
        <w:t>Near-adiabat overshoot test: no layer freezes spuriously subadiabatic because of an excessive step.</w:t>
      </w:r>
    </w:p>
    <w:p>
      <w:pPr>
        <w:spacing w:before="100" w:after="160" w:line="288" w:lineRule="auto"/>
        <w:ind w:left="202" w:right="144"/>
        <w:shd w:fill="E8F2EC"/>
        <w:pBdr>
          <w:left w:val="single" w:sz="18" w:space="8" w:color="3A7D5C"/>
        </w:pBdr>
      </w:pPr>
      <w:r>
        <w:rPr>
          <w:b/>
          <w:color w:val="0B2545"/>
        </w:rPr>
        <w:t xml:space="preserve">EXIT GATE  </w:t>
      </w:r>
      <w:r>
        <w:t>All converged cases reach the same analytic adiabat within declared tolerances; alpha changes relaxation rate but not equilibrium; enthalpy drift and boundary-flux error remain below tolerance; stable/unstable timestep boundary is documented.</w:t>
      </w:r>
    </w:p>
    <w:p>
      <w:pPr>
        <w:pStyle w:val="Heading2"/>
      </w:pPr>
      <w:r>
        <w:t>2. Realistic H₂ thermodynamics and hydrostatics</w:t>
      </w:r>
    </w:p>
    <w:p>
      <w:r>
        <w:rPr>
          <w:b/>
        </w:rPr>
        <w:t xml:space="preserve">Objective. </w:t>
      </w:r>
      <w:r>
        <w:t>Remove the constant-cp simplification without adding radiation or chemistry.</w:t>
      </w:r>
    </w:p>
    <w:p>
      <w:r>
        <w:rPr>
          <w:b/>
        </w:rPr>
        <w:t xml:space="preserve">Build. </w:t>
      </w:r>
      <w:r>
        <w:t>Temperature-dependent cp and nabla_ad; consistent enthalpy function h(T); optional H₂/He mixture; recomputed height, density, and gravity profile.</w:t>
      </w:r>
    </w:p>
    <w:p>
      <w:r>
        <w:rPr>
          <w:b/>
        </w:rPr>
        <w:t xml:space="preserve">Variables to sweep. </w:t>
      </w:r>
      <w:r>
        <w:t>Temperature range, pressure range, H₂/He fraction, constant versus varying gravity, grid placement.</w:t>
      </w:r>
    </w:p>
    <w:p>
      <w:pPr>
        <w:spacing w:after="80" w:line="300" w:lineRule="auto"/>
        <w:numPr>
          <w:ilvl w:val="0"/>
          <w:numId w:val="10"/>
        </w:numPr>
      </w:pPr>
      <w:r>
        <w:t>Thermodynamic identity tests: dh/dT = cp and EOS consistency.</w:t>
      </w:r>
    </w:p>
    <w:p>
      <w:pPr>
        <w:spacing w:after="80" w:line="300" w:lineRule="auto"/>
        <w:numPr>
          <w:ilvl w:val="0"/>
          <w:numId w:val="10"/>
        </w:numPr>
      </w:pPr>
      <w:r>
        <w:t>Numerically integrated isentrope benchmark replacing the power-law 2/7 adiabat.</w:t>
      </w:r>
    </w:p>
    <w:p>
      <w:pPr>
        <w:spacing w:after="80" w:line="300" w:lineRule="auto"/>
        <w:numPr>
          <w:ilvl w:val="0"/>
          <w:numId w:val="10"/>
        </w:numPr>
      </w:pPr>
      <w:r>
        <w:t>Conservation test in enthalpy rather than cp T.</w:t>
      </w:r>
    </w:p>
    <w:p>
      <w:pPr>
        <w:spacing w:after="80" w:line="300" w:lineRule="auto"/>
        <w:numPr>
          <w:ilvl w:val="0"/>
          <w:numId w:val="10"/>
        </w:numPr>
      </w:pPr>
      <w:r>
        <w:t>Round-trip hydrostatic test: pressure-to-height and height-to-pressure remain consistent under grid refinement.</w:t>
      </w:r>
    </w:p>
    <w:p>
      <w:pPr>
        <w:spacing w:before="100" w:after="160" w:line="288" w:lineRule="auto"/>
        <w:ind w:left="202" w:right="144"/>
        <w:shd w:fill="E8F2EC"/>
        <w:pBdr>
          <w:left w:val="single" w:sz="18" w:space="8" w:color="3A7D5C"/>
        </w:pBdr>
      </w:pPr>
      <w:r>
        <w:rPr>
          <w:b/>
          <w:color w:val="0B2545"/>
        </w:rPr>
        <w:t xml:space="preserve">EXIT GATE  </w:t>
      </w:r>
      <w:r>
        <w:t>The solver converges to a grid-independent variable-thermodynamic adiabat and conserves the correct total enthalpy.</w:t>
      </w:r>
    </w:p>
    <w:p>
      <w:pPr>
        <w:pStyle w:val="Heading2"/>
      </w:pPr>
      <w:r>
        <w:t>3. Staggered absorption-only radiative transfer</w:t>
      </w:r>
    </w:p>
    <w:p>
      <w:r>
        <w:rPr>
          <w:b/>
        </w:rPr>
        <w:t xml:space="preserve">Objective. </w:t>
      </w:r>
      <w:r>
        <w:t>Build the simplest independently testable radiative operator before coupling it to MLT or production opacities.</w:t>
      </w:r>
    </w:p>
    <w:p>
      <w:r>
        <w:rPr>
          <w:b/>
        </w:rPr>
        <w:t xml:space="preserve">Build. </w:t>
      </w:r>
      <w:r>
        <w:t>Cell-centred T, P and opacity; N+1 upward/downward fluxes; no scattering; layer optical depth from kappa Delta P/g; explicit top and lower boundary conditions. Derive the layered two-stream equations as a tridiagonal system.</w:t>
      </w:r>
    </w:p>
    <w:p>
      <w:r>
        <w:rPr>
          <w:b/>
        </w:rPr>
        <w:t xml:space="preserve">Variables to sweep. </w:t>
      </w:r>
      <w:r>
        <w:t>N, optical-depth spacing, angular/diffusivity factor, spectral points or grey bands, top irradiation, lower flux/temperature, numerical precision.</w:t>
      </w:r>
    </w:p>
    <w:p>
      <w:pPr>
        <w:spacing w:after="80" w:line="300" w:lineRule="auto"/>
        <w:numPr>
          <w:ilvl w:val="0"/>
          <w:numId w:val="10"/>
        </w:numPr>
      </w:pPr>
      <w:r>
        <w:t>Transparent, isothermal, single-layer, pure-absorption and optically thick limiting cases.</w:t>
      </w:r>
    </w:p>
    <w:p>
      <w:pPr>
        <w:spacing w:after="80" w:line="300" w:lineRule="auto"/>
        <w:numPr>
          <w:ilvl w:val="0"/>
          <w:numId w:val="10"/>
        </w:numPr>
      </w:pPr>
      <w:r>
        <w:t>Thomas solve versus a dense linear solve for small columns.</w:t>
      </w:r>
    </w:p>
    <w:p>
      <w:pPr>
        <w:spacing w:after="80" w:line="300" w:lineRule="auto"/>
        <w:numPr>
          <w:ilvl w:val="0"/>
          <w:numId w:val="10"/>
        </w:numPr>
      </w:pPr>
      <w:r>
        <w:t>Tridiagonal solution versus independent upward/downward sweeps where the absorption-only equations decouple.</w:t>
      </w:r>
    </w:p>
    <w:p>
      <w:pPr>
        <w:spacing w:after="80" w:line="300" w:lineRule="auto"/>
        <w:numPr>
          <w:ilvl w:val="0"/>
          <w:numId w:val="10"/>
        </w:numPr>
      </w:pPr>
      <w:r>
        <w:t>Conservative layer heating from interface-flux divergence and exact accounting of top/bottom boundary flux.</w:t>
      </w:r>
    </w:p>
    <w:p>
      <w:pPr>
        <w:spacing w:after="80" w:line="300" w:lineRule="auto"/>
        <w:numPr>
          <w:ilvl w:val="0"/>
          <w:numId w:val="10"/>
        </w:numPr>
      </w:pPr>
      <w:r>
        <w:t>Grid and optical-depth convergence; positive intensity/flux and monotonic attenuation tests.</w:t>
      </w:r>
    </w:p>
    <w:p>
      <w:pPr>
        <w:spacing w:after="80" w:line="300" w:lineRule="auto"/>
        <w:numPr>
          <w:ilvl w:val="0"/>
          <w:numId w:val="10"/>
        </w:numPr>
      </w:pPr>
      <w:r>
        <w:t>NumPy reference versus jitted and batched JAX implementation in float64.</w:t>
      </w:r>
    </w:p>
    <w:p>
      <w:pPr>
        <w:spacing w:before="100" w:after="160" w:line="288" w:lineRule="auto"/>
        <w:ind w:left="202" w:right="144"/>
        <w:shd w:fill="E8F2EC"/>
        <w:pBdr>
          <w:left w:val="single" w:sz="18" w:space="8" w:color="3A7D5C"/>
        </w:pBdr>
      </w:pPr>
      <w:r>
        <w:rPr>
          <w:b/>
          <w:color w:val="0B2545"/>
        </w:rPr>
        <w:t xml:space="preserve">EXIT GATE  </w:t>
      </w:r>
      <w:r>
        <w:t>All three reference routes agree within tolerance; analytic limits and column energy close; the JAX result is numerically equivalent after compilation.</w:t>
      </w:r>
    </w:p>
    <w:p>
      <w:pPr>
        <w:pStyle w:val="Heading2"/>
      </w:pPr>
      <w:r>
        <w:t>4. Fixed-composition H₂ radiative–convective equilibrium</w:t>
      </w:r>
    </w:p>
    <w:p>
      <w:r>
        <w:rPr>
          <w:b/>
        </w:rPr>
        <w:t xml:space="preserve">Objective. </w:t>
      </w:r>
      <w:r>
        <w:t>Combine the validated MLT and absorption-only radiative operators on one staggered finite-volume grid.</w:t>
      </w:r>
    </w:p>
    <w:p>
      <w:r>
        <w:rPr>
          <w:b/>
        </w:rPr>
        <w:t xml:space="preserve">Build. </w:t>
      </w:r>
      <w:r>
        <w:t>Fixed grey or prescribed spectral opacity, shared interface-flux convention, explicit operator-split reference integration, HELIOS adapter/parity cases, and existing HELIOS convective adjustment retained as a benchmark.</w:t>
      </w:r>
    </w:p>
    <w:p>
      <w:r>
        <w:rPr>
          <w:b/>
        </w:rPr>
        <w:t xml:space="preserve">Variables to sweep. </w:t>
      </w:r>
      <w:r>
        <w:t>Layer count and pressure range, irradiation/internal flux, optical-depth profile, lower boundary, alpha, radiative/convective update cadence, operator tolerances.</w:t>
      </w:r>
    </w:p>
    <w:p>
      <w:pPr>
        <w:spacing w:after="80" w:line="300" w:lineRule="auto"/>
        <w:numPr>
          <w:ilvl w:val="0"/>
          <w:numId w:val="10"/>
        </w:numPr>
      </w:pPr>
      <w:r>
        <w:t>Manufactured prescribed-heating equilibrium before activating the full radiative solve.</w:t>
      </w:r>
    </w:p>
    <w:p>
      <w:pPr>
        <w:spacing w:after="80" w:line="300" w:lineRule="auto"/>
        <w:numPr>
          <w:ilvl w:val="0"/>
          <w:numId w:val="10"/>
        </w:numPr>
      </w:pPr>
      <w:r>
        <w:t>Constant F_rad + F_conv and grid convergence of T(P), RCB pressure, and flux partition.</w:t>
      </w:r>
    </w:p>
    <w:p>
      <w:pPr>
        <w:spacing w:after="80" w:line="300" w:lineRule="auto"/>
        <w:numPr>
          <w:ilvl w:val="0"/>
          <w:numId w:val="10"/>
        </w:numPr>
      </w:pPr>
      <w:r>
        <w:t>MLT versus HELIOS convective adjustment in the efficient-convection limit.</w:t>
      </w:r>
    </w:p>
    <w:p>
      <w:pPr>
        <w:spacing w:after="80" w:line="300" w:lineRule="auto"/>
        <w:numPr>
          <w:ilvl w:val="0"/>
          <w:numId w:val="10"/>
        </w:numPr>
      </w:pPr>
      <w:r>
        <w:t>Convection-off regression and array-orientation/sign tests at the HELIOS boundary.</w:t>
      </w:r>
    </w:p>
    <w:p>
      <w:pPr>
        <w:spacing w:after="80" w:line="300" w:lineRule="auto"/>
        <w:numPr>
          <w:ilvl w:val="0"/>
          <w:numId w:val="10"/>
        </w:numPr>
      </w:pPr>
      <w:r>
        <w:t>Frozen-operator experiments that separately measure stable dt_rad and dt_MLT, physical relaxation, call counts, and wall time.</w:t>
      </w:r>
    </w:p>
    <w:p>
      <w:pPr>
        <w:spacing w:after="80" w:line="300" w:lineRule="auto"/>
        <w:numPr>
          <w:ilvl w:val="0"/>
          <w:numId w:val="10"/>
        </w:numPr>
      </w:pPr>
      <w:r>
        <w:t>Restart and hot/cold initial-profile convergence tests.</w:t>
      </w:r>
    </w:p>
    <w:p>
      <w:pPr>
        <w:spacing w:before="100" w:after="160" w:line="288" w:lineRule="auto"/>
        <w:ind w:left="202" w:right="144"/>
        <w:shd w:fill="E8F2EC"/>
        <w:pBdr>
          <w:left w:val="single" w:sz="18" w:space="8" w:color="3A7D5C"/>
        </w:pBdr>
      </w:pPr>
      <w:r>
        <w:rPr>
          <w:b/>
          <w:color w:val="0B2545"/>
        </w:rPr>
        <w:t xml:space="preserve">EXIT GATE  </w:t>
      </w:r>
      <w:r>
        <w:t>Fixed-composition H₂ reaches the same RCE under timestep refinement and independent solver paths; total flux closes; the radiative versus convective bottleneck is measured rather than assumed.</w:t>
      </w:r>
    </w:p>
    <w:p>
      <w:pPr>
        <w:pStyle w:val="Heading2"/>
      </w:pPr>
      <w:r>
        <w:t>5. Production gas-opacity infrastructure</w:t>
      </w:r>
    </w:p>
    <w:p>
      <w:r>
        <w:rPr>
          <w:b/>
        </w:rPr>
        <w:t xml:space="preserve">Objective. </w:t>
      </w:r>
      <w:r>
        <w:t>Replace toy opacity with reproducible species tables and interpolation while keeping composition fixed.</w:t>
      </w:r>
    </w:p>
    <w:p>
      <w:r>
        <w:rPr>
          <w:b/>
        </w:rPr>
        <w:t xml:space="preserve">Build. </w:t>
      </w:r>
      <w:r>
        <w:t>A project-owned opacity-provider interface; shone/DACE download and cache patterns where suitable; P–T–wavelength or correlated-k interpolation; mixture rules; units, provenance, bounds, and cache invalidation.</w:t>
      </w:r>
    </w:p>
    <w:p>
      <w:r>
        <w:rPr>
          <w:b/>
        </w:rPr>
        <w:t xml:space="preserve">Variables to sweep. </w:t>
      </w:r>
      <w:r>
        <w:t>Species list, line/continuum source, spectral grid, P–T bounds, abundance basis, interpolation order, extrapolation policy, precision, correlated-k settings.</w:t>
      </w:r>
    </w:p>
    <w:p>
      <w:pPr>
        <w:spacing w:after="80" w:line="300" w:lineRule="auto"/>
        <w:numPr>
          <w:ilvl w:val="0"/>
          <w:numId w:val="10"/>
        </w:numPr>
      </w:pPr>
      <w:r>
        <w:t>Exact-grid-node recovery and synthetic analytic interpolation fixtures.</w:t>
      </w:r>
    </w:p>
    <w:p>
      <w:pPr>
        <w:spacing w:after="80" w:line="300" w:lineRule="auto"/>
        <w:numPr>
          <w:ilvl w:val="0"/>
          <w:numId w:val="10"/>
        </w:numPr>
      </w:pPr>
      <w:r>
        <w:t>Unit conversions, species-name mapping, abundance-weighting, and zero-opacity limits.</w:t>
      </w:r>
    </w:p>
    <w:p>
      <w:pPr>
        <w:spacing w:after="80" w:line="300" w:lineRule="auto"/>
        <w:numPr>
          <w:ilvl w:val="0"/>
          <w:numId w:val="10"/>
        </w:numPr>
      </w:pPr>
      <w:r>
        <w:t>Out-of-domain and cache-invalidation tests with explicit failures rather than silent extrapolation.</w:t>
      </w:r>
    </w:p>
    <w:p>
      <w:pPr>
        <w:spacing w:after="80" w:line="300" w:lineRule="auto"/>
        <w:numPr>
          <w:ilvl w:val="0"/>
          <w:numId w:val="10"/>
        </w:numPr>
      </w:pPr>
      <w:r>
        <w:t>Opacity-source comparison at selected P–T points and reproducible spectra/heating rates.</w:t>
      </w:r>
    </w:p>
    <w:p>
      <w:pPr>
        <w:spacing w:after="80" w:line="300" w:lineRule="auto"/>
        <w:numPr>
          <w:ilvl w:val="0"/>
          <w:numId w:val="10"/>
        </w:numPr>
      </w:pPr>
      <w:r>
        <w:t>Gradient checks where JAX automatic differentiation will later support RCE Jacobians.</w:t>
      </w:r>
    </w:p>
    <w:p>
      <w:pPr>
        <w:spacing w:after="80" w:line="300" w:lineRule="auto"/>
        <w:numPr>
          <w:ilvl w:val="0"/>
          <w:numId w:val="10"/>
        </w:numPr>
      </w:pPr>
      <w:r>
        <w:t>Benchmark interpolation and transfer separately over layers, wavelengths and g-points.</w:t>
      </w:r>
    </w:p>
    <w:p>
      <w:pPr>
        <w:spacing w:before="100" w:after="160" w:line="288" w:lineRule="auto"/>
        <w:ind w:left="202" w:right="144"/>
        <w:shd w:fill="E8F2EC"/>
        <w:pBdr>
          <w:left w:val="single" w:sz="18" w:space="8" w:color="3A7D5C"/>
        </w:pBdr>
      </w:pPr>
      <w:r>
        <w:rPr>
          <w:b/>
          <w:color w:val="0B2545"/>
        </w:rPr>
        <w:t xml:space="preserve">EXIT GATE  </w:t>
      </w:r>
      <w:r>
        <w:t>A fixed-composition opacity case is reproducible from recorded provenance, passes interpolation/units tests, and produces grid-converged fluxes without chemistry feedback.</w:t>
      </w:r>
    </w:p>
    <w:p>
      <w:pPr>
        <w:pStyle w:val="Heading2"/>
      </w:pPr>
      <w:r>
        <w:t>6. Fast steady RCE solver</w:t>
      </w:r>
    </w:p>
    <w:p>
      <w:r>
        <w:rPr>
          <w:b/>
        </w:rPr>
        <w:t xml:space="preserve">Objective. </w:t>
      </w:r>
      <w:r>
        <w:t>Reduce wall-clock cost without changing the validated fixed-composition equilibrium.</w:t>
      </w:r>
    </w:p>
    <w:p>
      <w:r>
        <w:rPr>
          <w:b/>
        </w:rPr>
        <w:t xml:space="preserve">Build. </w:t>
      </w:r>
      <w:r>
        <w:t>JAX jit/vmap over spectral samples; batched tridiagonal solve; semi-implicit MLT or direct total-flux residual solve; line search/trust region; explicit NumPy reference retained.</w:t>
      </w:r>
    </w:p>
    <w:p>
      <w:r>
        <w:rPr>
          <w:b/>
        </w:rPr>
        <w:t xml:space="preserve">Variables to sweep. </w:t>
      </w:r>
      <w:r>
        <w:t>Solver tolerances, Jacobian/automatic-differentiation strategy, update clipping, continuation schedule, opacity-refresh threshold, hardware and batch size.</w:t>
      </w:r>
    </w:p>
    <w:p>
      <w:pPr>
        <w:spacing w:after="80" w:line="300" w:lineRule="auto"/>
        <w:numPr>
          <w:ilvl w:val="0"/>
          <w:numId w:val="10"/>
        </w:numPr>
      </w:pPr>
      <w:r>
        <w:t>Solution equivalence against the explicit reference across the RCE benchmark suite.</w:t>
      </w:r>
    </w:p>
    <w:p>
      <w:pPr>
        <w:spacing w:after="80" w:line="300" w:lineRule="auto"/>
        <w:numPr>
          <w:ilvl w:val="0"/>
          <w:numId w:val="10"/>
        </w:numPr>
      </w:pPr>
      <w:r>
        <w:t>Thomas versus JAX tridiagonal parity and compilation-versus-steady-runtime accounting.</w:t>
      </w:r>
    </w:p>
    <w:p>
      <w:pPr>
        <w:spacing w:after="80" w:line="300" w:lineRule="auto"/>
        <w:numPr>
          <w:ilvl w:val="0"/>
          <w:numId w:val="10"/>
        </w:numPr>
      </w:pPr>
      <w:r>
        <w:t>Residual monotonicity and recovery from poor initial profiles.</w:t>
      </w:r>
    </w:p>
    <w:p>
      <w:pPr>
        <w:spacing w:after="80" w:line="300" w:lineRule="auto"/>
        <w:numPr>
          <w:ilvl w:val="0"/>
          <w:numId w:val="10"/>
        </w:numPr>
      </w:pPr>
      <w:r>
        <w:t>Scaling with N, spectral resolution, g-points and optical-depth range.</w:t>
      </w:r>
    </w:p>
    <w:p>
      <w:pPr>
        <w:spacing w:after="80" w:line="300" w:lineRule="auto"/>
        <w:numPr>
          <w:ilvl w:val="0"/>
          <w:numId w:val="10"/>
        </w:numPr>
      </w:pPr>
      <w:r>
        <w:t>No hidden dependence of the converged state on clipping, cache threshold, update ordering or solver path.</w:t>
      </w:r>
    </w:p>
    <w:p>
      <w:pPr>
        <w:spacing w:before="100" w:after="160" w:line="288" w:lineRule="auto"/>
        <w:ind w:left="202" w:right="144"/>
        <w:shd w:fill="E8F2EC"/>
        <w:pBdr>
          <w:left w:val="single" w:sz="18" w:space="8" w:color="3A7D5C"/>
        </w:pBdr>
      </w:pPr>
      <w:r>
        <w:rPr>
          <w:b/>
          <w:color w:val="0B2545"/>
        </w:rPr>
        <w:t xml:space="preserve">EXIT GATE  </w:t>
      </w:r>
      <w:r>
        <w:t>The accelerated solver reproduces reference T(P), fluxes and RCB within tolerance and shows a documented speedup in the workload regime where JAX batching is advantageous.</w:t>
      </w:r>
    </w:p>
    <w:p>
      <w:pPr>
        <w:pStyle w:val="Heading2"/>
      </w:pPr>
      <w:r>
        <w:t>7. One-way VULCAN coupling</w:t>
      </w:r>
    </w:p>
    <w:p>
      <w:r>
        <w:rPr>
          <w:b/>
        </w:rPr>
        <w:t xml:space="preserve">Objective. </w:t>
      </w:r>
      <w:r>
        <w:t>Use the fixed-composition RCE state to drive photochemistry without allowing chemistry to alter thermodynamics or opacity.</w:t>
      </w:r>
    </w:p>
    <w:p>
      <w:r>
        <w:rPr>
          <w:b/>
        </w:rPr>
        <w:t xml:space="preserve">Build. </w:t>
      </w:r>
      <w:r>
        <w:t>Interpolation of T(P), interface Kzz, pressure, gravity and composition metadata to the VULCAN grid; explicit background/overshoot Kzz policy.</w:t>
      </w:r>
    </w:p>
    <w:p>
      <w:r>
        <w:rPr>
          <w:b/>
        </w:rPr>
        <w:t xml:space="preserve">Variables to sweep. </w:t>
      </w:r>
      <w:r>
        <w:t>VULCAN resolution, network, stellar UV, boundary conditions, Kzz floor/overshoot, chemical tolerances and opacity-composition freeze policy.</w:t>
      </w:r>
    </w:p>
    <w:p>
      <w:pPr>
        <w:spacing w:after="80" w:line="300" w:lineRule="auto"/>
        <w:numPr>
          <w:ilvl w:val="0"/>
          <w:numId w:val="10"/>
        </w:numPr>
      </w:pPr>
      <w:r>
        <w:t>Conservative/shape-preserving interpolation and unit checks (m² s⁻¹ versus cm² s⁻¹).</w:t>
      </w:r>
    </w:p>
    <w:p>
      <w:pPr>
        <w:spacing w:after="80" w:line="300" w:lineRule="auto"/>
        <w:numPr>
          <w:ilvl w:val="0"/>
          <w:numId w:val="10"/>
        </w:numPr>
      </w:pPr>
      <w:r>
        <w:t>Species/element conservation and chemical steady-state diagnostics.</w:t>
      </w:r>
    </w:p>
    <w:p>
      <w:pPr>
        <w:spacing w:after="80" w:line="300" w:lineRule="auto"/>
        <w:numPr>
          <w:ilvl w:val="0"/>
          <w:numId w:val="10"/>
        </w:numPr>
      </w:pPr>
      <w:r>
        <w:t>Kzz sensitivity and quench-level tests.</w:t>
      </w:r>
    </w:p>
    <w:p>
      <w:pPr>
        <w:spacing w:after="80" w:line="300" w:lineRule="auto"/>
        <w:numPr>
          <w:ilvl w:val="0"/>
          <w:numId w:val="10"/>
        </w:numPr>
      </w:pPr>
      <w:r>
        <w:t>Comparison with a prescribed-Kzz VULCAN baseline.</w:t>
      </w:r>
    </w:p>
    <w:p>
      <w:pPr>
        <w:spacing w:after="80" w:line="300" w:lineRule="auto"/>
        <w:numPr>
          <w:ilvl w:val="0"/>
          <w:numId w:val="10"/>
        </w:numPr>
      </w:pPr>
      <w:r>
        <w:t>Audit that VULCAN output does not feed back into Stage 7 radiation.</w:t>
      </w:r>
    </w:p>
    <w:p>
      <w:pPr>
        <w:spacing w:before="100" w:after="160" w:line="288" w:lineRule="auto"/>
        <w:ind w:left="202" w:right="144"/>
        <w:shd w:fill="E8F2EC"/>
        <w:pBdr>
          <w:left w:val="single" w:sz="18" w:space="8" w:color="3A7D5C"/>
        </w:pBdr>
      </w:pPr>
      <w:r>
        <w:rPr>
          <w:b/>
          <w:color w:val="0B2545"/>
        </w:rPr>
        <w:t xml:space="preserve">EXIT GATE  </w:t>
      </w:r>
      <w:r>
        <w:t>VULCAN converges reproducibly from RCE output; T and Kzz mapping is traceable; quench behaviour is grid stable; the coupling remains demonstrably one way.</w:t>
      </w:r>
    </w:p>
    <w:p>
      <w:pPr>
        <w:pStyle w:val="Heading2"/>
      </w:pPr>
      <w:r>
        <w:t>8. Dry rocky-planet atmospheres and a surface</w:t>
      </w:r>
    </w:p>
    <w:p>
      <w:r>
        <w:rPr>
          <w:b/>
        </w:rPr>
        <w:t xml:space="preserve">Objective. </w:t>
      </w:r>
      <w:r>
        <w:t>Move to the primary science target while composition and opacity remain prescribed.</w:t>
      </w:r>
    </w:p>
    <w:p>
      <w:r>
        <w:rPr>
          <w:b/>
        </w:rPr>
        <w:t xml:space="preserve">Build. </w:t>
      </w:r>
      <w:r>
        <w:t>General multi-component EOS and cp; surface energy balance; sensible heat; surface-limited mixing length; fixed-composition gas opacity; optional Ledoux diagnostic without changing the Schwarzschild baseline.</w:t>
      </w:r>
    </w:p>
    <w:p>
      <w:r>
        <w:rPr>
          <w:b/>
        </w:rPr>
        <w:t xml:space="preserve">Variables to sweep. </w:t>
      </w:r>
      <w:r>
        <w:t>N₂, CO₂, H₂O-as-noncondensing-tracer and mixtures; surface T/albedo/emissivity; pressure, gravity, stellar spectrum, internal flux and sensible-exchange coefficient.</w:t>
      </w:r>
    </w:p>
    <w:p>
      <w:pPr>
        <w:spacing w:after="80" w:line="300" w:lineRule="auto"/>
        <w:numPr>
          <w:ilvl w:val="0"/>
          <w:numId w:val="10"/>
        </w:numPr>
      </w:pPr>
      <w:r>
        <w:t>Dry-adiabat benchmarks for pure gases and selected mixtures.</w:t>
      </w:r>
    </w:p>
    <w:p>
      <w:pPr>
        <w:spacing w:after="80" w:line="300" w:lineRule="auto"/>
        <w:numPr>
          <w:ilvl w:val="0"/>
          <w:numId w:val="10"/>
        </w:numPr>
      </w:pPr>
      <w:r>
        <w:t>Surface plus atmosphere energy-budget closure.</w:t>
      </w:r>
    </w:p>
    <w:p>
      <w:pPr>
        <w:spacing w:after="80" w:line="300" w:lineRule="auto"/>
        <w:numPr>
          <w:ilvl w:val="0"/>
          <w:numId w:val="10"/>
        </w:numPr>
      </w:pPr>
      <w:r>
        <w:t>AGNI intercomparison for matched dry fixed-composition cases.</w:t>
      </w:r>
    </w:p>
    <w:p>
      <w:pPr>
        <w:spacing w:after="80" w:line="300" w:lineRule="auto"/>
        <w:numPr>
          <w:ilvl w:val="0"/>
          <w:numId w:val="10"/>
        </w:numPr>
      </w:pPr>
      <w:r>
        <w:t>Sensitivity of near-surface flux to mixing-length limiter and sensible exchange.</w:t>
      </w:r>
    </w:p>
    <w:p>
      <w:pPr>
        <w:spacing w:after="80" w:line="300" w:lineRule="auto"/>
        <w:numPr>
          <w:ilvl w:val="0"/>
          <w:numId w:val="10"/>
        </w:numPr>
      </w:pPr>
      <w:r>
        <w:t>H₂ and absorption-only radiative regressions remain unchanged.</w:t>
      </w:r>
    </w:p>
    <w:p>
      <w:pPr>
        <w:spacing w:before="100" w:after="160" w:line="288" w:lineRule="auto"/>
        <w:ind w:left="202" w:right="144"/>
        <w:shd w:fill="E8F2EC"/>
        <w:pBdr>
          <w:left w:val="single" w:sz="18" w:space="8" w:color="3A7D5C"/>
        </w:pBdr>
      </w:pPr>
      <w:r>
        <w:rPr>
          <w:b/>
          <w:color w:val="0B2545"/>
        </w:rPr>
        <w:t xml:space="preserve">EXIT GATE  </w:t>
      </w:r>
      <w:r>
        <w:t>Matched dry rocky cases agree with independent calculations within declared tolerances; surface and column energy close; earlier gates remain green.</w:t>
      </w:r>
    </w:p>
    <w:p>
      <w:pPr>
        <w:pStyle w:val="Heading2"/>
      </w:pPr>
      <w:r>
        <w:t>9. Phase change, rainout and latent energy with frozen opacity</w:t>
      </w:r>
    </w:p>
    <w:p>
      <w:r>
        <w:rPr>
          <w:b/>
        </w:rPr>
        <w:t xml:space="preserve">Objective. </w:t>
      </w:r>
      <w:r>
        <w:t>Validate moist-process mass and energy bookkeeping before closing the composition–opacity loop.</w:t>
      </w:r>
    </w:p>
    <w:p>
      <w:r>
        <w:rPr>
          <w:b/>
        </w:rPr>
        <w:t xml:space="preserve">Build. </w:t>
      </w:r>
      <w:r>
        <w:t>Saturation adjustment/rainout, gas–condensate–rained reservoirs, latent heating/transport as a distinct energy term, re-evaporation policy and composition-dependent buoyancy. Gas opacity is prescribed or deliberately frozen; cloud opacity is off.</w:t>
      </w:r>
    </w:p>
    <w:p>
      <w:r>
        <w:rPr>
          <w:b/>
        </w:rPr>
        <w:t xml:space="preserve">Variables to sweep. </w:t>
      </w:r>
      <w:r>
        <w:t>Condensable identity/abundance, saturation curve, latent heat, precipitation efficiency, retention, re-evaporation and surface reservoir policy.</w:t>
      </w:r>
    </w:p>
    <w:p>
      <w:pPr>
        <w:spacing w:after="80" w:line="300" w:lineRule="auto"/>
        <w:numPr>
          <w:ilvl w:val="0"/>
          <w:numId w:val="10"/>
        </w:numPr>
      </w:pPr>
      <w:r>
        <w:t>Single-condensable pseudo-moist adiabat benchmark.</w:t>
      </w:r>
    </w:p>
    <w:p>
      <w:pPr>
        <w:spacing w:after="80" w:line="300" w:lineRule="auto"/>
        <w:numPr>
          <w:ilvl w:val="0"/>
          <w:numId w:val="10"/>
        </w:numPr>
      </w:pPr>
      <w:r>
        <w:t>Closed-box conservation of gas + condensate + rained-out mass and each relevant element.</w:t>
      </w:r>
    </w:p>
    <w:p>
      <w:pPr>
        <w:spacing w:after="80" w:line="300" w:lineRule="auto"/>
        <w:numPr>
          <w:ilvl w:val="0"/>
          <w:numId w:val="10"/>
        </w:numPr>
      </w:pPr>
      <w:r>
        <w:t>Energy conservation including sensible and latent enthalpy.</w:t>
      </w:r>
    </w:p>
    <w:p>
      <w:pPr>
        <w:spacing w:after="80" w:line="300" w:lineRule="auto"/>
        <w:numPr>
          <w:ilvl w:val="0"/>
          <w:numId w:val="10"/>
        </w:numPr>
      </w:pPr>
      <w:r>
        <w:t>Dry limit as condensable abundance tends to zero and latent heat tends to zero.</w:t>
      </w:r>
    </w:p>
    <w:p>
      <w:pPr>
        <w:spacing w:after="80" w:line="300" w:lineRule="auto"/>
        <w:numPr>
          <w:ilvl w:val="0"/>
          <w:numId w:val="10"/>
        </w:numPr>
      </w:pPr>
      <w:r>
        <w:t>Comparison of VULCAN rainout-only behaviour with the energy-closed operator.</w:t>
      </w:r>
    </w:p>
    <w:p>
      <w:pPr>
        <w:spacing w:after="80" w:line="300" w:lineRule="auto"/>
        <w:numPr>
          <w:ilvl w:val="0"/>
          <w:numId w:val="10"/>
        </w:numPr>
      </w:pPr>
      <w:r>
        <w:t>Frozen-opacity assertion prevents phase-change composition from silently changing radiation.</w:t>
      </w:r>
    </w:p>
    <w:p>
      <w:pPr>
        <w:spacing w:before="100" w:after="160" w:line="288" w:lineRule="auto"/>
        <w:ind w:left="202" w:right="144"/>
        <w:shd w:fill="E8F2EC"/>
        <w:pBdr>
          <w:left w:val="single" w:sz="18" w:space="8" w:color="3A7D5C"/>
        </w:pBdr>
      </w:pPr>
      <w:r>
        <w:rPr>
          <w:b/>
          <w:color w:val="0B2545"/>
        </w:rPr>
        <w:t xml:space="preserve">EXIT GATE  </w:t>
      </w:r>
      <w:r>
        <w:t>Mass and total energy close across phase change; dry and pseudo-moist limits are recovered; results are grid converged independently of interactive opacity.</w:t>
      </w:r>
    </w:p>
    <w:p>
      <w:pPr>
        <w:pStyle w:val="Heading2"/>
      </w:pPr>
      <w:r>
        <w:t>10. Two-way composition–thermodynamic–gas-opacity feedback</w:t>
      </w:r>
    </w:p>
    <w:p>
      <w:r>
        <w:rPr>
          <w:b/>
        </w:rPr>
        <w:t xml:space="preserve">Objective. </w:t>
      </w:r>
      <w:r>
        <w:t>Close the VULCAN feedback loop only after radiation, opacity interpolation, surfaces and phase-change bookkeeping are independently trusted.</w:t>
      </w:r>
    </w:p>
    <w:p>
      <w:r>
        <w:rPr>
          <w:b/>
        </w:rPr>
        <w:t xml:space="preserve">Build. </w:t>
      </w:r>
      <w:r>
        <w:t>Outer fixed-point or block iteration; updated mu, cp, nabla_ad and gas opacity from VULCAN composition; under-relaxation or Anderson acceleration; selective opacity refresh with explicit error control.</w:t>
      </w:r>
    </w:p>
    <w:p>
      <w:r>
        <w:rPr>
          <w:b/>
        </w:rPr>
        <w:t xml:space="preserve">Variables to sweep. </w:t>
      </w:r>
      <w:r>
        <w:t>Coupling relaxation, update frequency, chemistry tolerance, opacity threshold, convergence norms, initial composition and condensation-coupling mode.</w:t>
      </w:r>
    </w:p>
    <w:p>
      <w:pPr>
        <w:spacing w:after="80" w:line="300" w:lineRule="auto"/>
        <w:numPr>
          <w:ilvl w:val="0"/>
          <w:numId w:val="10"/>
        </w:numPr>
      </w:pPr>
      <w:r>
        <w:t>Joint residuals for flux, temperature, abundances, elemental inventory, thermodynamics and opacity.</w:t>
      </w:r>
    </w:p>
    <w:p>
      <w:pPr>
        <w:spacing w:after="80" w:line="300" w:lineRule="auto"/>
        <w:numPr>
          <w:ilvl w:val="0"/>
          <w:numId w:val="10"/>
        </w:numPr>
      </w:pPr>
      <w:r>
        <w:t>Path-independence from hot/cold and equilibrium/disequilibrium initial states.</w:t>
      </w:r>
    </w:p>
    <w:p>
      <w:pPr>
        <w:spacing w:after="80" w:line="300" w:lineRule="auto"/>
        <w:numPr>
          <w:ilvl w:val="0"/>
          <w:numId w:val="10"/>
        </w:numPr>
      </w:pPr>
      <w:r>
        <w:t>Freeze-one-block experiments isolating radiation, convection, chemistry, thermodynamics and opacity feedback.</w:t>
      </w:r>
    </w:p>
    <w:p>
      <w:pPr>
        <w:spacing w:after="80" w:line="300" w:lineRule="auto"/>
        <w:numPr>
          <w:ilvl w:val="0"/>
          <w:numId w:val="10"/>
        </w:numPr>
      </w:pPr>
      <w:r>
        <w:t>Restart tests and cache-threshold refinement.</w:t>
      </w:r>
    </w:p>
    <w:p>
      <w:pPr>
        <w:spacing w:after="80" w:line="300" w:lineRule="auto"/>
        <w:numPr>
          <w:ilvl w:val="0"/>
          <w:numId w:val="10"/>
        </w:numPr>
      </w:pPr>
      <w:r>
        <w:t>Turnover, mixing, radiative and chemical times remain distinct from outer iteration count.</w:t>
      </w:r>
    </w:p>
    <w:p>
      <w:pPr>
        <w:spacing w:before="100" w:after="160" w:line="288" w:lineRule="auto"/>
        <w:ind w:left="202" w:right="144"/>
        <w:shd w:fill="E8F2EC"/>
        <w:pBdr>
          <w:left w:val="single" w:sz="18" w:space="8" w:color="3A7D5C"/>
        </w:pBdr>
      </w:pPr>
      <w:r>
        <w:rPr>
          <w:b/>
          <w:color w:val="0B2545"/>
        </w:rPr>
        <w:t xml:space="preserve">EXIT GATE  </w:t>
      </w:r>
      <w:r>
        <w:t>All blocks converge simultaneously; restarting changes no field above tolerance; energy and elemental budgets close; the frozen-opacity limit reproduces Stage 7 or 9 as appropriate.</w:t>
      </w:r>
    </w:p>
    <w:p>
      <w:pPr>
        <w:pStyle w:val="Heading2"/>
      </w:pPr>
      <w:r>
        <w:t>11. Fully coupled condensing rocky RCE</w:t>
      </w:r>
    </w:p>
    <w:p>
      <w:r>
        <w:rPr>
          <w:b/>
        </w:rPr>
        <w:t xml:space="preserve">Objective. </w:t>
      </w:r>
      <w:r>
        <w:t>Combine the validated rocky surface, phase-change energy operator and interactive gas-opacity feedback.</w:t>
      </w:r>
    </w:p>
    <w:p>
      <w:r>
        <w:rPr>
          <w:b/>
        </w:rPr>
        <w:t xml:space="preserve">Build. </w:t>
      </w:r>
      <w:r>
        <w:t>Joint solution of surface temperature, atmospheric RCE, chemistry/transport, condensation/rainout reservoirs and gas opacity. Continue to exclude scattering/cloud opacity so the new feedback is isolated.</w:t>
      </w:r>
    </w:p>
    <w:p>
      <w:r>
        <w:rPr>
          <w:b/>
        </w:rPr>
        <w:t xml:space="preserve">Variables to sweep. </w:t>
      </w:r>
      <w:r>
        <w:t>Condensable inventory, surface reservoir, rainout/re-evaporation, chemistry cadence, opacity cadence, coupling acceleration and convergence tolerances.</w:t>
      </w:r>
    </w:p>
    <w:p>
      <w:pPr>
        <w:spacing w:after="80" w:line="300" w:lineRule="auto"/>
        <w:numPr>
          <w:ilvl w:val="0"/>
          <w:numId w:val="10"/>
        </w:numPr>
      </w:pPr>
      <w:r>
        <w:t>Grid-independent moist RCE and surface/atmosphere total-energy closure.</w:t>
      </w:r>
    </w:p>
    <w:p>
      <w:pPr>
        <w:spacing w:after="80" w:line="300" w:lineRule="auto"/>
        <w:numPr>
          <w:ilvl w:val="0"/>
          <w:numId w:val="10"/>
        </w:numPr>
      </w:pPr>
      <w:r>
        <w:t>Path independence and restart reproducibility.</w:t>
      </w:r>
    </w:p>
    <w:p>
      <w:pPr>
        <w:spacing w:after="80" w:line="300" w:lineRule="auto"/>
        <w:numPr>
          <w:ilvl w:val="0"/>
          <w:numId w:val="10"/>
        </w:numPr>
      </w:pPr>
      <w:r>
        <w:t>Dry, frozen-opacity and no-chemistry limits recover Stages 8–10.</w:t>
      </w:r>
    </w:p>
    <w:p>
      <w:pPr>
        <w:spacing w:after="80" w:line="300" w:lineRule="auto"/>
        <w:numPr>
          <w:ilvl w:val="0"/>
          <w:numId w:val="10"/>
        </w:numPr>
      </w:pPr>
      <w:r>
        <w:t>Matched AGNI cases where assumptions overlap.</w:t>
      </w:r>
    </w:p>
    <w:p>
      <w:pPr>
        <w:spacing w:after="80" w:line="300" w:lineRule="auto"/>
        <w:numPr>
          <w:ilvl w:val="0"/>
          <w:numId w:val="10"/>
        </w:numPr>
      </w:pPr>
      <w:r>
        <w:t>Process-tendency and wall-time profiles identify the actual coupled bottleneck.</w:t>
      </w:r>
    </w:p>
    <w:p>
      <w:pPr>
        <w:spacing w:before="100" w:after="160" w:line="288" w:lineRule="auto"/>
        <w:ind w:left="202" w:right="144"/>
        <w:shd w:fill="E8F2EC"/>
        <w:pBdr>
          <w:left w:val="single" w:sz="18" w:space="8" w:color="3A7D5C"/>
        </w:pBdr>
      </w:pPr>
      <w:r>
        <w:rPr>
          <w:b/>
          <w:color w:val="0B2545"/>
        </w:rPr>
        <w:t xml:space="preserve">EXIT GATE  </w:t>
      </w:r>
      <w:r>
        <w:t>The condensing rocky solution closes mass, elemental and energy budgets and is insensitive to numerical path within declared tolerances.</w:t>
      </w:r>
    </w:p>
    <w:p>
      <w:pPr>
        <w:pStyle w:val="Heading2"/>
      </w:pPr>
      <w:r>
        <w:t>12. Scattering, clouds and advanced physical-time experiments</w:t>
      </w:r>
    </w:p>
    <w:p>
      <w:r>
        <w:rPr>
          <w:b/>
        </w:rPr>
        <w:t xml:space="preserve">Objective. </w:t>
      </w:r>
      <w:r>
        <w:t>Add radiative and dynamical complexity only after absorption-only coupled solutions are established.</w:t>
      </w:r>
    </w:p>
    <w:p>
      <w:r>
        <w:rPr>
          <w:b/>
        </w:rPr>
        <w:t xml:space="preserve">Build. </w:t>
      </w:r>
      <w:r>
        <w:t>Two-stream scattering, Rayleigh scattering, condensate/cloud opacity and later microphysics; Ledoux stability, overshoot, non-ideal EOS, dissociation/ionisation and truly time-dependent perturbations as science requires.</w:t>
      </w:r>
    </w:p>
    <w:p>
      <w:r>
        <w:rPr>
          <w:b/>
        </w:rPr>
        <w:t xml:space="preserve">Variables to sweep. </w:t>
      </w:r>
      <w:r>
        <w:t>Single-scattering albedo, asymmetry factor, cloud particles, molecular-weight gradient, overshoot decay, forcing amplitude/period and model-dependent transport parameters.</w:t>
      </w:r>
    </w:p>
    <w:p>
      <w:pPr>
        <w:spacing w:after="80" w:line="300" w:lineRule="auto"/>
        <w:numPr>
          <w:ilvl w:val="0"/>
          <w:numId w:val="10"/>
        </w:numPr>
      </w:pPr>
      <w:r>
        <w:t>Pure-scattering, absorbing-scattering and zero-scattering limits.</w:t>
      </w:r>
    </w:p>
    <w:p>
      <w:pPr>
        <w:spacing w:after="80" w:line="300" w:lineRule="auto"/>
        <w:numPr>
          <w:ilvl w:val="0"/>
          <w:numId w:val="10"/>
        </w:numPr>
      </w:pPr>
      <w:r>
        <w:t>Comparison with HELIOS, DISORT or another trusted solver for matched columns.</w:t>
      </w:r>
    </w:p>
    <w:p>
      <w:pPr>
        <w:spacing w:after="80" w:line="300" w:lineRule="auto"/>
        <w:numPr>
          <w:ilvl w:val="0"/>
          <w:numId w:val="10"/>
        </w:numPr>
      </w:pPr>
      <w:r>
        <w:t>Each added feature has a zero-effect limit reproducing the previous stage.</w:t>
      </w:r>
    </w:p>
    <w:p>
      <w:pPr>
        <w:spacing w:after="80" w:line="300" w:lineRule="auto"/>
        <w:numPr>
          <w:ilvl w:val="0"/>
          <w:numId w:val="10"/>
        </w:numPr>
      </w:pPr>
      <w:r>
        <w:t>Time-dependent experiments compare response functions and physical relaxation times, not solver iteration counts.</w:t>
      </w:r>
    </w:p>
    <w:p>
      <w:pPr>
        <w:spacing w:after="80" w:line="300" w:lineRule="auto"/>
        <w:numPr>
          <w:ilvl w:val="0"/>
          <w:numId w:val="10"/>
        </w:numPr>
      </w:pPr>
      <w:r>
        <w:t>Benchmark against multidimensional or published results where analytic solutions do not exist.</w:t>
      </w:r>
    </w:p>
    <w:p>
      <w:pPr>
        <w:spacing w:before="100" w:after="160" w:line="288" w:lineRule="auto"/>
        <w:ind w:left="202" w:right="144"/>
        <w:shd w:fill="E8F2EC"/>
        <w:pBdr>
          <w:left w:val="single" w:sz="18" w:space="8" w:color="3A7D5C"/>
        </w:pBdr>
      </w:pPr>
      <w:r>
        <w:rPr>
          <w:b/>
          <w:color w:val="0B2545"/>
        </w:rPr>
        <w:t xml:space="preserve">EXIT GATE  </w:t>
      </w:r>
      <w:r>
        <w:t>Every extension has a feature-specific validation dossier before production use; scattering/cloud-off runs reproduce Stage 11.</w:t>
      </w:r>
    </w:p>
    <w:p>
      <w:pPr>
        <w:pStyle w:val="Heading1"/>
      </w:pPr>
      <w:r>
        <w:t>5. Verification and validation programme</w:t>
      </w:r>
    </w:p>
    <w:p>
      <w:r>
        <w:t>Testing should be hierarchical. A high-level agreement cannot compensate for a failed conservation or sign test.</w:t>
      </w:r>
    </w:p>
    <w:tbl>
      <w:tblPr>
        <w:tblStyle w:val="TableGrid"/>
        <w:tblW w:type="dxa" w:w="9360"/>
        <w:jc w:val="left"/>
        <w:tblLayout w:type="fixed"/>
        <w:tblLook w:firstColumn="1" w:firstRow="1" w:lastColumn="0" w:lastRow="0" w:noHBand="0" w:noVBand="1" w:val="04A0"/>
        <w:tblInd w:type="dxa" w:w="120"/>
      </w:tblPr>
      <w:tblGrid>
        <w:gridCol w:w="1550"/>
        <w:gridCol w:w="2600"/>
        <w:gridCol w:w="5210"/>
      </w:tblGrid>
      <w:tr>
        <w:trPr>
          <w:tblHeader w:val="true"/>
          <w:cantSplit w:val="true"/>
        </w:trPr>
        <w:tc>
          <w:tcPr>
            <w:tcW w:type="dxa" w:w="1550"/>
            <w:shd w:fill="E8EEF5"/>
            <w:vAlign w:val="center"/>
            <w:tcMar>
              <w:top w:w="80" w:type="dxa"/>
              <w:bottom w:w="80" w:type="dxa"/>
              <w:start w:w="120" w:type="dxa"/>
              <w:end w:w="120" w:type="dxa"/>
            </w:tcMar>
          </w:tcPr>
          <w:p>
            <w:pPr>
              <w:spacing w:before="0" w:after="0" w:line="252" w:lineRule="auto"/>
            </w:pPr>
            <w:r>
              <w:rPr>
                <w:rFonts w:ascii="Calibri" w:hAnsi="Calibri"/>
                <w:b/>
                <w:color w:val="0B2545"/>
                <w:sz w:val="17"/>
              </w:rPr>
              <w:t>Level</w:t>
            </w:r>
          </w:p>
        </w:tc>
        <w:tc>
          <w:tcPr>
            <w:tcW w:type="dxa" w:w="2600"/>
            <w:shd w:fill="E8EEF5"/>
            <w:vAlign w:val="center"/>
            <w:tcMar>
              <w:top w:w="80" w:type="dxa"/>
              <w:bottom w:w="80" w:type="dxa"/>
              <w:start w:w="120" w:type="dxa"/>
              <w:end w:w="120" w:type="dxa"/>
            </w:tcMar>
          </w:tcPr>
          <w:p>
            <w:pPr>
              <w:spacing w:before="0" w:after="0" w:line="252" w:lineRule="auto"/>
            </w:pPr>
            <w:r>
              <w:rPr>
                <w:rFonts w:ascii="Calibri" w:hAnsi="Calibri"/>
                <w:b/>
                <w:color w:val="0B2545"/>
                <w:sz w:val="17"/>
              </w:rPr>
              <w:t>Purpose</w:t>
            </w:r>
          </w:p>
        </w:tc>
        <w:tc>
          <w:tcPr>
            <w:tcW w:type="dxa" w:w="5210"/>
            <w:shd w:fill="E8EEF5"/>
            <w:vAlign w:val="center"/>
            <w:tcMar>
              <w:top w:w="80" w:type="dxa"/>
              <w:bottom w:w="80" w:type="dxa"/>
              <w:start w:w="120" w:type="dxa"/>
              <w:end w:w="120" w:type="dxa"/>
            </w:tcMar>
          </w:tcPr>
          <w:p>
            <w:pPr>
              <w:spacing w:before="0" w:after="0" w:line="252" w:lineRule="auto"/>
            </w:pPr>
            <w:r>
              <w:rPr>
                <w:rFonts w:ascii="Calibri" w:hAnsi="Calibri"/>
                <w:b/>
                <w:color w:val="0B2545"/>
                <w:sz w:val="17"/>
              </w:rPr>
              <w:t>Examples</w:t>
            </w:r>
          </w:p>
        </w:tc>
      </w:tr>
      <w:tr>
        <w:trPr>
          <w:cantSplit w:val="true"/>
        </w:trPr>
        <w:tc>
          <w:tcPr>
            <w:tcW w:type="dxa" w:w="1550"/>
            <w:vAlign w:val="center"/>
            <w:tcMar>
              <w:top w:w="80" w:type="dxa"/>
              <w:bottom w:w="80" w:type="dxa"/>
              <w:start w:w="120" w:type="dxa"/>
              <w:end w:w="120" w:type="dxa"/>
            </w:tcMar>
          </w:tcPr>
          <w:p>
            <w:pPr>
              <w:spacing w:before="0" w:after="0" w:line="259" w:lineRule="auto"/>
            </w:pPr>
            <w:r>
              <w:rPr>
                <w:rFonts w:ascii="Calibri" w:hAnsi="Calibri"/>
                <w:color w:val="000000"/>
                <w:sz w:val="17"/>
              </w:rPr>
              <w:t>Unit</w:t>
            </w:r>
          </w:p>
        </w:tc>
        <w:tc>
          <w:tcPr>
            <w:tcW w:type="dxa" w:w="2600"/>
            <w:vAlign w:val="center"/>
            <w:tcMar>
              <w:top w:w="80" w:type="dxa"/>
              <w:bottom w:w="80" w:type="dxa"/>
              <w:start w:w="120" w:type="dxa"/>
              <w:end w:w="120" w:type="dxa"/>
            </w:tcMar>
          </w:tcPr>
          <w:p>
            <w:pPr>
              <w:spacing w:before="0" w:after="0" w:line="259" w:lineRule="auto"/>
            </w:pPr>
            <w:r>
              <w:rPr>
                <w:rFonts w:ascii="Calibri" w:hAnsi="Calibri"/>
                <w:color w:val="000000"/>
                <w:sz w:val="17"/>
              </w:rPr>
              <w:t>Formula, shape, sign, units</w:t>
            </w:r>
          </w:p>
        </w:tc>
        <w:tc>
          <w:tcPr>
            <w:tcW w:type="dxa" w:w="5210"/>
            <w:vAlign w:val="center"/>
            <w:tcMar>
              <w:top w:w="80" w:type="dxa"/>
              <w:bottom w:w="80" w:type="dxa"/>
              <w:start w:w="120" w:type="dxa"/>
              <w:end w:w="120" w:type="dxa"/>
            </w:tcMar>
          </w:tcPr>
          <w:p>
            <w:pPr>
              <w:spacing w:before="0" w:after="0" w:line="259" w:lineRule="auto"/>
            </w:pPr>
            <w:r>
              <w:rPr>
                <w:rFonts w:ascii="Calibri" w:hAnsi="Calibri"/>
                <w:color w:val="000000"/>
                <w:sz w:val="17"/>
              </w:rPr>
              <w:t>Hp, cp, gradients, optical depth, interface interpolation, Kzz/opacity units</w:t>
            </w:r>
          </w:p>
        </w:tc>
      </w:tr>
      <w:tr>
        <w:trPr>
          <w:cantSplit w:val="true"/>
        </w:trPr>
        <w:tc>
          <w:tcPr>
            <w:tcW w:type="dxa" w:w="155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Invariant</w:t>
            </w:r>
          </w:p>
        </w:tc>
        <w:tc>
          <w:tcPr>
            <w:tcW w:type="dxa" w:w="260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Quantities that must not drift</w:t>
            </w:r>
          </w:p>
        </w:tc>
        <w:tc>
          <w:tcPr>
            <w:tcW w:type="dxa" w:w="521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Enthalpy, total energy, elemental abundance, zero boundary flux</w:t>
            </w:r>
          </w:p>
        </w:tc>
      </w:tr>
      <w:tr>
        <w:trPr>
          <w:cantSplit w:val="true"/>
        </w:trPr>
        <w:tc>
          <w:tcPr>
            <w:tcW w:type="dxa" w:w="1550"/>
            <w:vAlign w:val="center"/>
            <w:tcMar>
              <w:top w:w="80" w:type="dxa"/>
              <w:bottom w:w="80" w:type="dxa"/>
              <w:start w:w="120" w:type="dxa"/>
              <w:end w:w="120" w:type="dxa"/>
            </w:tcMar>
          </w:tcPr>
          <w:p>
            <w:pPr>
              <w:spacing w:before="0" w:after="0" w:line="259" w:lineRule="auto"/>
            </w:pPr>
            <w:r>
              <w:rPr>
                <w:rFonts w:ascii="Calibri" w:hAnsi="Calibri"/>
                <w:color w:val="000000"/>
                <w:sz w:val="17"/>
              </w:rPr>
              <w:t>Manufactured</w:t>
            </w:r>
          </w:p>
        </w:tc>
        <w:tc>
          <w:tcPr>
            <w:tcW w:type="dxa" w:w="2600"/>
            <w:vAlign w:val="center"/>
            <w:tcMar>
              <w:top w:w="80" w:type="dxa"/>
              <w:bottom w:w="80" w:type="dxa"/>
              <w:start w:w="120" w:type="dxa"/>
              <w:end w:w="120" w:type="dxa"/>
            </w:tcMar>
          </w:tcPr>
          <w:p>
            <w:pPr>
              <w:spacing w:before="0" w:after="0" w:line="259" w:lineRule="auto"/>
            </w:pPr>
            <w:r>
              <w:rPr>
                <w:rFonts w:ascii="Calibri" w:hAnsi="Calibri"/>
                <w:color w:val="000000"/>
                <w:sz w:val="17"/>
              </w:rPr>
              <w:t>Known local or global solution</w:t>
            </w:r>
          </w:p>
        </w:tc>
        <w:tc>
          <w:tcPr>
            <w:tcW w:type="dxa" w:w="5210"/>
            <w:vAlign w:val="center"/>
            <w:tcMar>
              <w:top w:w="80" w:type="dxa"/>
              <w:bottom w:w="80" w:type="dxa"/>
              <w:start w:w="120" w:type="dxa"/>
              <w:end w:w="120" w:type="dxa"/>
            </w:tcMar>
          </w:tcPr>
          <w:p>
            <w:pPr>
              <w:spacing w:before="0" w:after="0" w:line="259" w:lineRule="auto"/>
            </w:pPr>
            <w:r>
              <w:rPr>
                <w:rFonts w:ascii="Calibri" w:hAnsi="Calibri"/>
                <w:color w:val="000000"/>
                <w:sz w:val="17"/>
              </w:rPr>
              <w:t>One-interface MLT flux; single-layer transfer; imposed flux divergence</w:t>
            </w:r>
          </w:p>
        </w:tc>
      </w:tr>
      <w:tr>
        <w:trPr>
          <w:cantSplit w:val="true"/>
        </w:trPr>
        <w:tc>
          <w:tcPr>
            <w:tcW w:type="dxa" w:w="155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Convergence</w:t>
            </w:r>
          </w:p>
        </w:tc>
        <w:tc>
          <w:tcPr>
            <w:tcW w:type="dxa" w:w="260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Numerical correctness</w:t>
            </w:r>
          </w:p>
        </w:tc>
        <w:tc>
          <w:tcPr>
            <w:tcW w:type="dxa" w:w="521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N, dt, nonlinear tolerance, grid type, interpolation order</w:t>
            </w:r>
          </w:p>
        </w:tc>
      </w:tr>
      <w:tr>
        <w:trPr>
          <w:cantSplit w:val="true"/>
        </w:trPr>
        <w:tc>
          <w:tcPr>
            <w:tcW w:type="dxa" w:w="1550"/>
            <w:vAlign w:val="center"/>
            <w:tcMar>
              <w:top w:w="80" w:type="dxa"/>
              <w:bottom w:w="80" w:type="dxa"/>
              <w:start w:w="120" w:type="dxa"/>
              <w:end w:w="120" w:type="dxa"/>
            </w:tcMar>
          </w:tcPr>
          <w:p>
            <w:pPr>
              <w:spacing w:before="0" w:after="0" w:line="259" w:lineRule="auto"/>
            </w:pPr>
            <w:r>
              <w:rPr>
                <w:rFonts w:ascii="Calibri" w:hAnsi="Calibri"/>
                <w:color w:val="000000"/>
                <w:sz w:val="17"/>
              </w:rPr>
              <w:t>Regression</w:t>
            </w:r>
          </w:p>
        </w:tc>
        <w:tc>
          <w:tcPr>
            <w:tcW w:type="dxa" w:w="2600"/>
            <w:vAlign w:val="center"/>
            <w:tcMar>
              <w:top w:w="80" w:type="dxa"/>
              <w:bottom w:w="80" w:type="dxa"/>
              <w:start w:w="120" w:type="dxa"/>
              <w:end w:w="120" w:type="dxa"/>
            </w:tcMar>
          </w:tcPr>
          <w:p>
            <w:pPr>
              <w:spacing w:before="0" w:after="0" w:line="259" w:lineRule="auto"/>
            </w:pPr>
            <w:r>
              <w:rPr>
                <w:rFonts w:ascii="Calibri" w:hAnsi="Calibri"/>
                <w:color w:val="000000"/>
                <w:sz w:val="17"/>
              </w:rPr>
              <w:t>Prevent accidental behavioural change</w:t>
            </w:r>
          </w:p>
        </w:tc>
        <w:tc>
          <w:tcPr>
            <w:tcW w:type="dxa" w:w="5210"/>
            <w:vAlign w:val="center"/>
            <w:tcMar>
              <w:top w:w="80" w:type="dxa"/>
              <w:bottom w:w="80" w:type="dxa"/>
              <w:start w:w="120" w:type="dxa"/>
              <w:end w:w="120" w:type="dxa"/>
            </w:tcMar>
          </w:tcPr>
          <w:p>
            <w:pPr>
              <w:spacing w:before="0" w:after="0" w:line="259" w:lineRule="auto"/>
            </w:pPr>
            <w:r>
              <w:rPr>
                <w:rFonts w:ascii="Calibri" w:hAnsi="Calibri"/>
                <w:color w:val="000000"/>
                <w:sz w:val="17"/>
              </w:rPr>
              <w:t>Stored benchmark summaries, not giant opaque output files</w:t>
            </w:r>
          </w:p>
        </w:tc>
      </w:tr>
      <w:tr>
        <w:trPr>
          <w:cantSplit w:val="true"/>
        </w:trPr>
        <w:tc>
          <w:tcPr>
            <w:tcW w:type="dxa" w:w="155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Intercomparison</w:t>
            </w:r>
          </w:p>
        </w:tc>
        <w:tc>
          <w:tcPr>
            <w:tcW w:type="dxa" w:w="260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Independent implementation check</w:t>
            </w:r>
          </w:p>
        </w:tc>
        <w:tc>
          <w:tcPr>
            <w:tcW w:type="dxa" w:w="521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Dense/Thomas/sweep transfer; HELIOS adjustment; AGNI; Exo-FMS/Lee; GENESIS</w:t>
            </w:r>
          </w:p>
        </w:tc>
      </w:tr>
      <w:tr>
        <w:trPr>
          <w:cantSplit w:val="true"/>
        </w:trPr>
        <w:tc>
          <w:tcPr>
            <w:tcW w:type="dxa" w:w="1550"/>
            <w:vAlign w:val="center"/>
            <w:tcMar>
              <w:top w:w="80" w:type="dxa"/>
              <w:bottom w:w="80" w:type="dxa"/>
              <w:start w:w="120" w:type="dxa"/>
              <w:end w:w="120" w:type="dxa"/>
            </w:tcMar>
          </w:tcPr>
          <w:p>
            <w:pPr>
              <w:spacing w:before="0" w:after="0" w:line="259" w:lineRule="auto"/>
            </w:pPr>
            <w:r>
              <w:rPr>
                <w:rFonts w:ascii="Calibri" w:hAnsi="Calibri"/>
                <w:color w:val="000000"/>
                <w:sz w:val="17"/>
              </w:rPr>
              <w:t>Science benchmark</w:t>
            </w:r>
          </w:p>
        </w:tc>
        <w:tc>
          <w:tcPr>
            <w:tcW w:type="dxa" w:w="2600"/>
            <w:vAlign w:val="center"/>
            <w:tcMar>
              <w:top w:w="80" w:type="dxa"/>
              <w:bottom w:w="80" w:type="dxa"/>
              <w:start w:w="120" w:type="dxa"/>
              <w:end w:w="120" w:type="dxa"/>
            </w:tcMar>
          </w:tcPr>
          <w:p>
            <w:pPr>
              <w:spacing w:before="0" w:after="0" w:line="259" w:lineRule="auto"/>
            </w:pPr>
            <w:r>
              <w:rPr>
                <w:rFonts w:ascii="Calibri" w:hAnsi="Calibri"/>
                <w:color w:val="000000"/>
                <w:sz w:val="17"/>
              </w:rPr>
              <w:t>End-to-end physical credibility</w:t>
            </w:r>
          </w:p>
        </w:tc>
        <w:tc>
          <w:tcPr>
            <w:tcW w:type="dxa" w:w="5210"/>
            <w:vAlign w:val="center"/>
            <w:tcMar>
              <w:top w:w="80" w:type="dxa"/>
              <w:bottom w:w="80" w:type="dxa"/>
              <w:start w:w="120" w:type="dxa"/>
              <w:end w:w="120" w:type="dxa"/>
            </w:tcMar>
          </w:tcPr>
          <w:p>
            <w:pPr>
              <w:spacing w:before="0" w:after="0" w:line="259" w:lineRule="auto"/>
            </w:pPr>
            <w:r>
              <w:rPr>
                <w:rFonts w:ascii="Calibri" w:hAnsi="Calibri"/>
                <w:color w:val="000000"/>
                <w:sz w:val="17"/>
              </w:rPr>
              <w:t>H₂ RCE; dry CO₂/N₂ rocky case; latent-energy case; chemical quench case</w:t>
            </w:r>
          </w:p>
        </w:tc>
      </w:tr>
    </w:tbl>
    <w:p>
      <w:pPr>
        <w:spacing w:after="20"/>
      </w:pPr>
    </w:p>
    <w:p>
      <w:pPr>
        <w:pStyle w:val="Heading2"/>
      </w:pPr>
      <w:r>
        <w:t>Stage 1 analytic solution</w:t>
      </w:r>
    </w:p>
    <w:p>
      <w:r>
        <w:t>For constant cp and nabla_ad, the final connected convective region is</w:t>
      </w:r>
    </w:p>
    <w:p>
      <w:pPr>
        <w:pStyle w:val="Equation"/>
        <w:shd w:fill="F2F4F7"/>
      </w:pPr>
      <w:r>
        <w:t>T_i = A (P_i/P0)^nabla_ad,    A = [sum_i cp T_i,0 Delta m_i] / [sum_i cp (P_i/P0)^nabla_ad Delta m_i].</w:t>
      </w:r>
    </w:p>
    <w:p>
      <w:r>
        <w:t>Evaluate both slope and normalization. A profile can have the right gradient while carrying the wrong total enthalpy.</w:t>
      </w:r>
    </w:p>
    <w:p>
      <w:pPr>
        <w:pStyle w:val="Heading2"/>
      </w:pPr>
      <w:r>
        <w:t>Baseline experiment matrix</w:t>
      </w:r>
    </w:p>
    <w:tbl>
      <w:tblPr>
        <w:tblStyle w:val="TableGrid"/>
        <w:tblW w:type="dxa" w:w="9360"/>
        <w:jc w:val="left"/>
        <w:tblLayout w:type="fixed"/>
        <w:tblLook w:firstColumn="1" w:firstRow="1" w:lastColumn="0" w:lastRow="0" w:noHBand="0" w:noVBand="1" w:val="04A0"/>
        <w:tblInd w:type="dxa" w:w="120"/>
      </w:tblPr>
      <w:tblGrid>
        <w:gridCol w:w="1600"/>
        <w:gridCol w:w="3600"/>
        <w:gridCol w:w="4160"/>
      </w:tblGrid>
      <w:tr>
        <w:trPr>
          <w:tblHeader w:val="true"/>
          <w:cantSplit w:val="true"/>
        </w:trPr>
        <w:tc>
          <w:tcPr>
            <w:tcW w:type="dxa" w:w="1600"/>
            <w:shd w:fill="E8EEF5"/>
            <w:vAlign w:val="center"/>
            <w:tcMar>
              <w:top w:w="80" w:type="dxa"/>
              <w:bottom w:w="80" w:type="dxa"/>
              <w:start w:w="120" w:type="dxa"/>
              <w:end w:w="120" w:type="dxa"/>
            </w:tcMar>
          </w:tcPr>
          <w:p>
            <w:pPr>
              <w:spacing w:before="0" w:after="0" w:line="252" w:lineRule="auto"/>
            </w:pPr>
            <w:r>
              <w:rPr>
                <w:rFonts w:ascii="Calibri" w:hAnsi="Calibri"/>
                <w:b/>
                <w:color w:val="0B2545"/>
                <w:sz w:val="17"/>
              </w:rPr>
              <w:t>Axis</w:t>
            </w:r>
          </w:p>
        </w:tc>
        <w:tc>
          <w:tcPr>
            <w:tcW w:type="dxa" w:w="3600"/>
            <w:shd w:fill="E8EEF5"/>
            <w:vAlign w:val="center"/>
            <w:tcMar>
              <w:top w:w="80" w:type="dxa"/>
              <w:bottom w:w="80" w:type="dxa"/>
              <w:start w:w="120" w:type="dxa"/>
              <w:end w:w="120" w:type="dxa"/>
            </w:tcMar>
          </w:tcPr>
          <w:p>
            <w:pPr>
              <w:spacing w:before="0" w:after="0" w:line="252" w:lineRule="auto"/>
            </w:pPr>
            <w:r>
              <w:rPr>
                <w:rFonts w:ascii="Calibri" w:hAnsi="Calibri"/>
                <w:b/>
                <w:color w:val="0B2545"/>
                <w:sz w:val="17"/>
              </w:rPr>
              <w:t>Baseline values</w:t>
            </w:r>
          </w:p>
        </w:tc>
        <w:tc>
          <w:tcPr>
            <w:tcW w:type="dxa" w:w="4160"/>
            <w:shd w:fill="E8EEF5"/>
            <w:vAlign w:val="center"/>
            <w:tcMar>
              <w:top w:w="80" w:type="dxa"/>
              <w:bottom w:w="80" w:type="dxa"/>
              <w:start w:w="120" w:type="dxa"/>
              <w:end w:w="120" w:type="dxa"/>
            </w:tcMar>
          </w:tcPr>
          <w:p>
            <w:pPr>
              <w:spacing w:before="0" w:after="0" w:line="252" w:lineRule="auto"/>
            </w:pPr>
            <w:r>
              <w:rPr>
                <w:rFonts w:ascii="Calibri" w:hAnsi="Calibri"/>
                <w:b/>
                <w:color w:val="0B2545"/>
                <w:sz w:val="17"/>
              </w:rPr>
              <w:t>What it proves</w:t>
            </w:r>
          </w:p>
        </w:tc>
      </w:tr>
      <w:tr>
        <w:trPr>
          <w:cantSplit w:val="true"/>
        </w:trPr>
        <w:tc>
          <w:tcPr>
            <w:tcW w:type="dxa" w:w="1600"/>
            <w:vAlign w:val="center"/>
            <w:tcMar>
              <w:top w:w="80" w:type="dxa"/>
              <w:bottom w:w="80" w:type="dxa"/>
              <w:start w:w="120" w:type="dxa"/>
              <w:end w:w="120" w:type="dxa"/>
            </w:tcMar>
          </w:tcPr>
          <w:p>
            <w:pPr>
              <w:spacing w:before="0" w:after="0" w:line="259" w:lineRule="auto"/>
            </w:pPr>
            <w:r>
              <w:rPr>
                <w:rFonts w:ascii="Calibri" w:hAnsi="Calibri"/>
                <w:color w:val="000000"/>
                <w:sz w:val="17"/>
              </w:rPr>
              <w:t>Resolution N</w:t>
            </w:r>
          </w:p>
        </w:tc>
        <w:tc>
          <w:tcPr>
            <w:tcW w:type="dxa" w:w="3600"/>
            <w:vAlign w:val="center"/>
            <w:tcMar>
              <w:top w:w="80" w:type="dxa"/>
              <w:bottom w:w="80" w:type="dxa"/>
              <w:start w:w="120" w:type="dxa"/>
              <w:end w:w="120" w:type="dxa"/>
            </w:tcMar>
          </w:tcPr>
          <w:p>
            <w:pPr>
              <w:spacing w:before="0" w:after="0" w:line="259" w:lineRule="auto"/>
            </w:pPr>
            <w:r>
              <w:rPr>
                <w:rFonts w:ascii="Calibri" w:hAnsi="Calibri"/>
                <w:color w:val="000000"/>
                <w:sz w:val="17"/>
              </w:rPr>
              <w:t>25, 50, 100, 200, 400</w:t>
            </w:r>
          </w:p>
        </w:tc>
        <w:tc>
          <w:tcPr>
            <w:tcW w:type="dxa" w:w="4160"/>
            <w:vAlign w:val="center"/>
            <w:tcMar>
              <w:top w:w="80" w:type="dxa"/>
              <w:bottom w:w="80" w:type="dxa"/>
              <w:start w:w="120" w:type="dxa"/>
              <w:end w:w="120" w:type="dxa"/>
            </w:tcMar>
          </w:tcPr>
          <w:p>
            <w:pPr>
              <w:spacing w:before="0" w:after="0" w:line="259" w:lineRule="auto"/>
            </w:pPr>
            <w:r>
              <w:rPr>
                <w:rFonts w:ascii="Calibri" w:hAnsi="Calibri"/>
                <w:color w:val="000000"/>
                <w:sz w:val="17"/>
              </w:rPr>
              <w:t>Grid convergence and computational scaling</w:t>
            </w:r>
          </w:p>
        </w:tc>
      </w:tr>
      <w:tr>
        <w:trPr>
          <w:cantSplit w:val="true"/>
        </w:trPr>
        <w:tc>
          <w:tcPr>
            <w:tcW w:type="dxa" w:w="160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Mixing length alpha</w:t>
            </w:r>
          </w:p>
        </w:tc>
        <w:tc>
          <w:tcPr>
            <w:tcW w:type="dxa" w:w="360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0.25, 0.5, 1, 2, 4</w:t>
            </w:r>
          </w:p>
        </w:tc>
        <w:tc>
          <w:tcPr>
            <w:tcW w:type="dxa" w:w="416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Same closed-column equilibrium; different relaxation rates</w:t>
            </w:r>
          </w:p>
        </w:tc>
      </w:tr>
      <w:tr>
        <w:trPr>
          <w:cantSplit w:val="true"/>
        </w:trPr>
        <w:tc>
          <w:tcPr>
            <w:tcW w:type="dxa" w:w="1600"/>
            <w:vAlign w:val="center"/>
            <w:tcMar>
              <w:top w:w="80" w:type="dxa"/>
              <w:bottom w:w="80" w:type="dxa"/>
              <w:start w:w="120" w:type="dxa"/>
              <w:end w:w="120" w:type="dxa"/>
            </w:tcMar>
          </w:tcPr>
          <w:p>
            <w:pPr>
              <w:spacing w:before="0" w:after="0" w:line="259" w:lineRule="auto"/>
            </w:pPr>
            <w:r>
              <w:rPr>
                <w:rFonts w:ascii="Calibri" w:hAnsi="Calibri"/>
                <w:color w:val="000000"/>
                <w:sz w:val="17"/>
              </w:rPr>
              <w:t>Time-step factor</w:t>
            </w:r>
          </w:p>
        </w:tc>
        <w:tc>
          <w:tcPr>
            <w:tcW w:type="dxa" w:w="3600"/>
            <w:vAlign w:val="center"/>
            <w:tcMar>
              <w:top w:w="80" w:type="dxa"/>
              <w:bottom w:w="80" w:type="dxa"/>
              <w:start w:w="120" w:type="dxa"/>
              <w:end w:w="120" w:type="dxa"/>
            </w:tcMar>
          </w:tcPr>
          <w:p>
            <w:pPr>
              <w:spacing w:before="0" w:after="0" w:line="259" w:lineRule="auto"/>
            </w:pPr>
            <w:r>
              <w:rPr>
                <w:rFonts w:ascii="Calibri" w:hAnsi="Calibri"/>
                <w:color w:val="000000"/>
                <w:sz w:val="17"/>
              </w:rPr>
              <w:t>0.02, 0.05, 0.1, 0.2, 0.5, 1, 2 × stability estimate</w:t>
            </w:r>
          </w:p>
        </w:tc>
        <w:tc>
          <w:tcPr>
            <w:tcW w:type="dxa" w:w="4160"/>
            <w:vAlign w:val="center"/>
            <w:tcMar>
              <w:top w:w="80" w:type="dxa"/>
              <w:bottom w:w="80" w:type="dxa"/>
              <w:start w:w="120" w:type="dxa"/>
              <w:end w:w="120" w:type="dxa"/>
            </w:tcMar>
          </w:tcPr>
          <w:p>
            <w:pPr>
              <w:spacing w:before="0" w:after="0" w:line="259" w:lineRule="auto"/>
            </w:pPr>
            <w:r>
              <w:rPr>
                <w:rFonts w:ascii="Calibri" w:hAnsi="Calibri"/>
                <w:color w:val="000000"/>
                <w:sz w:val="17"/>
              </w:rPr>
              <w:t>Stable range, first-order transient convergence, failure boundary</w:t>
            </w:r>
          </w:p>
        </w:tc>
      </w:tr>
      <w:tr>
        <w:trPr>
          <w:cantSplit w:val="true"/>
        </w:trPr>
        <w:tc>
          <w:tcPr>
            <w:tcW w:type="dxa" w:w="160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Grid</w:t>
            </w:r>
          </w:p>
        </w:tc>
        <w:tc>
          <w:tcPr>
            <w:tcW w:type="dxa" w:w="360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Uniform log P; smoothly perturbed log P</w:t>
            </w:r>
          </w:p>
        </w:tc>
        <w:tc>
          <w:tcPr>
            <w:tcW w:type="dxa" w:w="416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No dependence on a special regular grid</w:t>
            </w:r>
          </w:p>
        </w:tc>
      </w:tr>
      <w:tr>
        <w:trPr>
          <w:cantSplit w:val="true"/>
        </w:trPr>
        <w:tc>
          <w:tcPr>
            <w:tcW w:type="dxa" w:w="1600"/>
            <w:vAlign w:val="center"/>
            <w:tcMar>
              <w:top w:w="80" w:type="dxa"/>
              <w:bottom w:w="80" w:type="dxa"/>
              <w:start w:w="120" w:type="dxa"/>
              <w:end w:w="120" w:type="dxa"/>
            </w:tcMar>
          </w:tcPr>
          <w:p>
            <w:pPr>
              <w:spacing w:before="0" w:after="0" w:line="259" w:lineRule="auto"/>
            </w:pPr>
            <w:r>
              <w:rPr>
                <w:rFonts w:ascii="Calibri" w:hAnsi="Calibri"/>
                <w:color w:val="000000"/>
                <w:sz w:val="17"/>
              </w:rPr>
              <w:t>Initial profile</w:t>
            </w:r>
          </w:p>
        </w:tc>
        <w:tc>
          <w:tcPr>
            <w:tcW w:type="dxa" w:w="3600"/>
            <w:vAlign w:val="center"/>
            <w:tcMar>
              <w:top w:w="80" w:type="dxa"/>
              <w:bottom w:w="80" w:type="dxa"/>
              <w:start w:w="120" w:type="dxa"/>
              <w:end w:w="120" w:type="dxa"/>
            </w:tcMar>
          </w:tcPr>
          <w:p>
            <w:pPr>
              <w:spacing w:before="0" w:after="0" w:line="259" w:lineRule="auto"/>
            </w:pPr>
            <w:r>
              <w:rPr>
                <w:rFonts w:ascii="Calibri" w:hAnsi="Calibri"/>
                <w:color w:val="000000"/>
                <w:sz w:val="17"/>
              </w:rPr>
              <w:t>Power-law superadiabat; local unstable layer; multi-zone; exact adiabat; stable profile</w:t>
            </w:r>
          </w:p>
        </w:tc>
        <w:tc>
          <w:tcPr>
            <w:tcW w:type="dxa" w:w="4160"/>
            <w:vAlign w:val="center"/>
            <w:tcMar>
              <w:top w:w="80" w:type="dxa"/>
              <w:bottom w:w="80" w:type="dxa"/>
              <w:start w:w="120" w:type="dxa"/>
              <w:end w:w="120" w:type="dxa"/>
            </w:tcMar>
          </w:tcPr>
          <w:p>
            <w:pPr>
              <w:spacing w:before="0" w:after="0" w:line="259" w:lineRule="auto"/>
            </w:pPr>
            <w:r>
              <w:rPr>
                <w:rFonts w:ascii="Calibri" w:hAnsi="Calibri"/>
                <w:color w:val="000000"/>
                <w:sz w:val="17"/>
              </w:rPr>
              <w:t>Correct mixing region and limiting behaviour</w:t>
            </w:r>
          </w:p>
        </w:tc>
      </w:tr>
      <w:tr>
        <w:trPr>
          <w:cantSplit w:val="true"/>
        </w:trPr>
        <w:tc>
          <w:tcPr>
            <w:tcW w:type="dxa" w:w="160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Pressure range</w:t>
            </w:r>
          </w:p>
        </w:tc>
        <w:tc>
          <w:tcPr>
            <w:tcW w:type="dxa" w:w="360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At least two ranges spanning different cell masses</w:t>
            </w:r>
          </w:p>
        </w:tc>
        <w:tc>
          <w:tcPr>
            <w:tcW w:type="dxa" w:w="416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Robust pressure-coordinate implementation</w:t>
            </w:r>
          </w:p>
        </w:tc>
      </w:tr>
    </w:tbl>
    <w:p>
      <w:pPr>
        <w:spacing w:after="20"/>
      </w:pPr>
    </w:p>
    <w:p>
      <w:pPr>
        <w:pStyle w:val="Heading2"/>
      </w:pPr>
      <w:r>
        <w:t>Acceptance metrics</w:t>
      </w:r>
    </w:p>
    <w:tbl>
      <w:tblPr>
        <w:tblStyle w:val="TableGrid"/>
        <w:tblW w:type="dxa" w:w="9360"/>
        <w:jc w:val="left"/>
        <w:tblLayout w:type="fixed"/>
        <w:tblLook w:firstColumn="1" w:firstRow="1" w:lastColumn="0" w:lastRow="0" w:noHBand="0" w:noVBand="1" w:val="04A0"/>
        <w:tblInd w:type="dxa" w:w="120"/>
      </w:tblPr>
      <w:tblGrid>
        <w:gridCol w:w="1700"/>
        <w:gridCol w:w="3850"/>
        <w:gridCol w:w="3810"/>
      </w:tblGrid>
      <w:tr>
        <w:trPr>
          <w:tblHeader w:val="true"/>
          <w:cantSplit w:val="true"/>
        </w:trPr>
        <w:tc>
          <w:tcPr>
            <w:tcW w:type="dxa" w:w="1700"/>
            <w:shd w:fill="E8EEF5"/>
            <w:vAlign w:val="center"/>
            <w:tcMar>
              <w:top w:w="80" w:type="dxa"/>
              <w:bottom w:w="80" w:type="dxa"/>
              <w:start w:w="120" w:type="dxa"/>
              <w:end w:w="120" w:type="dxa"/>
            </w:tcMar>
          </w:tcPr>
          <w:p>
            <w:pPr>
              <w:spacing w:before="0" w:after="0" w:line="252" w:lineRule="auto"/>
            </w:pPr>
            <w:r>
              <w:rPr>
                <w:rFonts w:ascii="Calibri" w:hAnsi="Calibri"/>
                <w:b/>
                <w:color w:val="0B2545"/>
                <w:sz w:val="16"/>
              </w:rPr>
              <w:t>Metric</w:t>
            </w:r>
          </w:p>
        </w:tc>
        <w:tc>
          <w:tcPr>
            <w:tcW w:type="dxa" w:w="3850"/>
            <w:shd w:fill="E8EEF5"/>
            <w:vAlign w:val="center"/>
            <w:tcMar>
              <w:top w:w="80" w:type="dxa"/>
              <w:bottom w:w="80" w:type="dxa"/>
              <w:start w:w="120" w:type="dxa"/>
              <w:end w:w="120" w:type="dxa"/>
            </w:tcMar>
          </w:tcPr>
          <w:p>
            <w:pPr>
              <w:spacing w:before="0" w:after="0" w:line="252" w:lineRule="auto"/>
            </w:pPr>
            <w:r>
              <w:rPr>
                <w:rFonts w:ascii="Calibri" w:hAnsi="Calibri"/>
                <w:b/>
                <w:color w:val="0B2545"/>
                <w:sz w:val="16"/>
              </w:rPr>
              <w:t>Definition</w:t>
            </w:r>
          </w:p>
        </w:tc>
        <w:tc>
          <w:tcPr>
            <w:tcW w:type="dxa" w:w="3810"/>
            <w:shd w:fill="E8EEF5"/>
            <w:vAlign w:val="center"/>
            <w:tcMar>
              <w:top w:w="80" w:type="dxa"/>
              <w:bottom w:w="80" w:type="dxa"/>
              <w:start w:w="120" w:type="dxa"/>
              <w:end w:w="120" w:type="dxa"/>
            </w:tcMar>
          </w:tcPr>
          <w:p>
            <w:pPr>
              <w:spacing w:before="0" w:after="0" w:line="252" w:lineRule="auto"/>
            </w:pPr>
            <w:r>
              <w:rPr>
                <w:rFonts w:ascii="Calibri" w:hAnsi="Calibri"/>
                <w:b/>
                <w:color w:val="0B2545"/>
                <w:sz w:val="16"/>
              </w:rPr>
              <w:t>Initial target / interpretation</w:t>
            </w:r>
          </w:p>
        </w:tc>
      </w:tr>
      <w:tr>
        <w:trPr>
          <w:cantSplit w:val="true"/>
        </w:trPr>
        <w:tc>
          <w:tcPr>
            <w:tcW w:type="dxa" w:w="1700"/>
            <w:vAlign w:val="center"/>
            <w:tcMar>
              <w:top w:w="80" w:type="dxa"/>
              <w:bottom w:w="80" w:type="dxa"/>
              <w:start w:w="120" w:type="dxa"/>
              <w:end w:w="120" w:type="dxa"/>
            </w:tcMar>
          </w:tcPr>
          <w:p>
            <w:pPr>
              <w:spacing w:before="0" w:after="0" w:line="259" w:lineRule="auto"/>
            </w:pPr>
            <w:r>
              <w:rPr>
                <w:rFonts w:ascii="Calibri" w:hAnsi="Calibri"/>
                <w:color w:val="000000"/>
                <w:sz w:val="16"/>
              </w:rPr>
              <w:t>Flux residual</w:t>
            </w:r>
          </w:p>
        </w:tc>
        <w:tc>
          <w:tcPr>
            <w:tcW w:type="dxa" w:w="3850"/>
            <w:vAlign w:val="center"/>
            <w:tcMar>
              <w:top w:w="80" w:type="dxa"/>
              <w:bottom w:w="80" w:type="dxa"/>
              <w:start w:w="120" w:type="dxa"/>
              <w:end w:w="120" w:type="dxa"/>
            </w:tcMar>
          </w:tcPr>
          <w:p>
            <w:pPr>
              <w:spacing w:before="0" w:after="0" w:line="259" w:lineRule="auto"/>
            </w:pPr>
            <w:r>
              <w:rPr>
                <w:rFonts w:ascii="Calibri" w:hAnsi="Calibri"/>
                <w:color w:val="000000"/>
                <w:sz w:val="16"/>
              </w:rPr>
              <w:t>max |F_bottom - F_top| or equilibrium residual</w:t>
            </w:r>
          </w:p>
        </w:tc>
        <w:tc>
          <w:tcPr>
            <w:tcW w:type="dxa" w:w="3810"/>
            <w:vAlign w:val="center"/>
            <w:tcMar>
              <w:top w:w="80" w:type="dxa"/>
              <w:bottom w:w="80" w:type="dxa"/>
              <w:start w:w="120" w:type="dxa"/>
              <w:end w:w="120" w:type="dxa"/>
            </w:tcMar>
          </w:tcPr>
          <w:p>
            <w:pPr>
              <w:spacing w:before="0" w:after="0" w:line="259" w:lineRule="auto"/>
            </w:pPr>
            <w:r>
              <w:rPr>
                <w:rFonts w:ascii="Calibri" w:hAnsi="Calibri"/>
                <w:color w:val="000000"/>
                <w:sz w:val="16"/>
              </w:rPr>
              <w:t>Set relative to imposed/characteristic flux; report absolute and relative</w:t>
            </w:r>
          </w:p>
        </w:tc>
      </w:tr>
      <w:tr>
        <w:trPr>
          <w:cantSplit w:val="true"/>
        </w:trPr>
        <w:tc>
          <w:tcPr>
            <w:tcW w:type="dxa" w:w="1700"/>
            <w:vAlign w:val="center"/>
            <w:shd w:fill="FAFBFC"/>
            <w:tcMar>
              <w:top w:w="80" w:type="dxa"/>
              <w:bottom w:w="80" w:type="dxa"/>
              <w:start w:w="120" w:type="dxa"/>
              <w:end w:w="120" w:type="dxa"/>
            </w:tcMar>
          </w:tcPr>
          <w:p>
            <w:pPr>
              <w:spacing w:before="0" w:after="0" w:line="259" w:lineRule="auto"/>
            </w:pPr>
            <w:r>
              <w:rPr>
                <w:rFonts w:ascii="Calibri" w:hAnsi="Calibri"/>
                <w:color w:val="000000"/>
                <w:sz w:val="16"/>
              </w:rPr>
              <w:t>Enthalpy drift</w:t>
            </w:r>
          </w:p>
        </w:tc>
        <w:tc>
          <w:tcPr>
            <w:tcW w:type="dxa" w:w="3850"/>
            <w:vAlign w:val="center"/>
            <w:shd w:fill="FAFBFC"/>
            <w:tcMar>
              <w:top w:w="80" w:type="dxa"/>
              <w:bottom w:w="80" w:type="dxa"/>
              <w:start w:w="120" w:type="dxa"/>
              <w:end w:w="120" w:type="dxa"/>
            </w:tcMar>
          </w:tcPr>
          <w:p>
            <w:pPr>
              <w:spacing w:before="0" w:after="0" w:line="259" w:lineRule="auto"/>
            </w:pPr>
            <w:r>
              <w:rPr>
                <w:rFonts w:ascii="Calibri" w:hAnsi="Calibri"/>
                <w:color w:val="000000"/>
                <w:sz w:val="16"/>
              </w:rPr>
              <w:t>|H(t)-H(0)-boundary input|/H(0)</w:t>
            </w:r>
          </w:p>
        </w:tc>
        <w:tc>
          <w:tcPr>
            <w:tcW w:type="dxa" w:w="3810"/>
            <w:vAlign w:val="center"/>
            <w:shd w:fill="FAFBFC"/>
            <w:tcMar>
              <w:top w:w="80" w:type="dxa"/>
              <w:bottom w:w="80" w:type="dxa"/>
              <w:start w:w="120" w:type="dxa"/>
              <w:end w:w="120" w:type="dxa"/>
            </w:tcMar>
          </w:tcPr>
          <w:p>
            <w:pPr>
              <w:spacing w:before="0" w:after="0" w:line="259" w:lineRule="auto"/>
            </w:pPr>
            <w:r>
              <w:rPr>
                <w:rFonts w:ascii="Calibri" w:hAnsi="Calibri"/>
                <w:color w:val="000000"/>
                <w:sz w:val="16"/>
              </w:rPr>
              <w:t>Aim &lt;= 1e-10 in closed reference runs; relax only with documented solver limits</w:t>
            </w:r>
          </w:p>
        </w:tc>
      </w:tr>
      <w:tr>
        <w:trPr>
          <w:cantSplit w:val="true"/>
        </w:trPr>
        <w:tc>
          <w:tcPr>
            <w:tcW w:type="dxa" w:w="1700"/>
            <w:vAlign w:val="center"/>
            <w:tcMar>
              <w:top w:w="80" w:type="dxa"/>
              <w:bottom w:w="80" w:type="dxa"/>
              <w:start w:w="120" w:type="dxa"/>
              <w:end w:w="120" w:type="dxa"/>
            </w:tcMar>
          </w:tcPr>
          <w:p>
            <w:pPr>
              <w:spacing w:before="0" w:after="0" w:line="259" w:lineRule="auto"/>
            </w:pPr>
            <w:r>
              <w:rPr>
                <w:rFonts w:ascii="Calibri" w:hAnsi="Calibri"/>
                <w:color w:val="000000"/>
                <w:sz w:val="16"/>
              </w:rPr>
              <w:t>Adiabat slope error</w:t>
            </w:r>
          </w:p>
        </w:tc>
        <w:tc>
          <w:tcPr>
            <w:tcW w:type="dxa" w:w="3850"/>
            <w:vAlign w:val="center"/>
            <w:tcMar>
              <w:top w:w="80" w:type="dxa"/>
              <w:bottom w:w="80" w:type="dxa"/>
              <w:start w:w="120" w:type="dxa"/>
              <w:end w:w="120" w:type="dxa"/>
            </w:tcMar>
          </w:tcPr>
          <w:p>
            <w:pPr>
              <w:spacing w:before="0" w:after="0" w:line="259" w:lineRule="auto"/>
            </w:pPr>
            <w:r>
              <w:rPr>
                <w:rFonts w:ascii="Calibri" w:hAnsi="Calibri"/>
                <w:color w:val="000000"/>
                <w:sz w:val="16"/>
              </w:rPr>
              <w:t>RMS and max of nabla - nabla_ad in mixed region</w:t>
            </w:r>
          </w:p>
        </w:tc>
        <w:tc>
          <w:tcPr>
            <w:tcW w:type="dxa" w:w="3810"/>
            <w:vAlign w:val="center"/>
            <w:tcMar>
              <w:top w:w="80" w:type="dxa"/>
              <w:bottom w:w="80" w:type="dxa"/>
              <w:start w:w="120" w:type="dxa"/>
              <w:end w:w="120" w:type="dxa"/>
            </w:tcMar>
          </w:tcPr>
          <w:p>
            <w:pPr>
              <w:spacing w:before="0" w:after="0" w:line="259" w:lineRule="auto"/>
            </w:pPr>
            <w:r>
              <w:rPr>
                <w:rFonts w:ascii="Calibri" w:hAnsi="Calibri"/>
                <w:color w:val="000000"/>
                <w:sz w:val="16"/>
              </w:rPr>
              <w:t>Must decrease with N and solver tolerance</w:t>
            </w:r>
          </w:p>
        </w:tc>
      </w:tr>
      <w:tr>
        <w:trPr>
          <w:cantSplit w:val="true"/>
        </w:trPr>
        <w:tc>
          <w:tcPr>
            <w:tcW w:type="dxa" w:w="1700"/>
            <w:vAlign w:val="center"/>
            <w:shd w:fill="FAFBFC"/>
            <w:tcMar>
              <w:top w:w="80" w:type="dxa"/>
              <w:bottom w:w="80" w:type="dxa"/>
              <w:start w:w="120" w:type="dxa"/>
              <w:end w:w="120" w:type="dxa"/>
            </w:tcMar>
          </w:tcPr>
          <w:p>
            <w:pPr>
              <w:spacing w:before="0" w:after="0" w:line="259" w:lineRule="auto"/>
            </w:pPr>
            <w:r>
              <w:rPr>
                <w:rFonts w:ascii="Calibri" w:hAnsi="Calibri"/>
                <w:color w:val="000000"/>
                <w:sz w:val="16"/>
              </w:rPr>
              <w:t>Temperature error</w:t>
            </w:r>
          </w:p>
        </w:tc>
        <w:tc>
          <w:tcPr>
            <w:tcW w:type="dxa" w:w="3850"/>
            <w:vAlign w:val="center"/>
            <w:shd w:fill="FAFBFC"/>
            <w:tcMar>
              <w:top w:w="80" w:type="dxa"/>
              <w:bottom w:w="80" w:type="dxa"/>
              <w:start w:w="120" w:type="dxa"/>
              <w:end w:w="120" w:type="dxa"/>
            </w:tcMar>
          </w:tcPr>
          <w:p>
            <w:pPr>
              <w:spacing w:before="0" w:after="0" w:line="259" w:lineRule="auto"/>
            </w:pPr>
            <w:r>
              <w:rPr>
                <w:rFonts w:ascii="Calibri" w:hAnsi="Calibri"/>
                <w:color w:val="000000"/>
                <w:sz w:val="16"/>
              </w:rPr>
              <w:t>RMS and max relative to analytic T(P)</w:t>
            </w:r>
          </w:p>
        </w:tc>
        <w:tc>
          <w:tcPr>
            <w:tcW w:type="dxa" w:w="3810"/>
            <w:vAlign w:val="center"/>
            <w:shd w:fill="FAFBFC"/>
            <w:tcMar>
              <w:top w:w="80" w:type="dxa"/>
              <w:bottom w:w="80" w:type="dxa"/>
              <w:start w:w="120" w:type="dxa"/>
              <w:end w:w="120" w:type="dxa"/>
            </w:tcMar>
          </w:tcPr>
          <w:p>
            <w:pPr>
              <w:spacing w:before="0" w:after="0" w:line="259" w:lineRule="auto"/>
            </w:pPr>
            <w:r>
              <w:rPr>
                <w:rFonts w:ascii="Calibri" w:hAnsi="Calibri"/>
                <w:color w:val="000000"/>
                <w:sz w:val="16"/>
              </w:rPr>
              <w:t>Must include normalization, not slope alone</w:t>
            </w:r>
          </w:p>
        </w:tc>
      </w:tr>
      <w:tr>
        <w:trPr>
          <w:cantSplit w:val="true"/>
        </w:trPr>
        <w:tc>
          <w:tcPr>
            <w:tcW w:type="dxa" w:w="1700"/>
            <w:vAlign w:val="center"/>
            <w:tcMar>
              <w:top w:w="80" w:type="dxa"/>
              <w:bottom w:w="80" w:type="dxa"/>
              <w:start w:w="120" w:type="dxa"/>
              <w:end w:w="120" w:type="dxa"/>
            </w:tcMar>
          </w:tcPr>
          <w:p>
            <w:pPr>
              <w:spacing w:before="0" w:after="0" w:line="259" w:lineRule="auto"/>
            </w:pPr>
            <w:r>
              <w:rPr>
                <w:rFonts w:ascii="Calibri" w:hAnsi="Calibri"/>
                <w:color w:val="000000"/>
                <w:sz w:val="16"/>
              </w:rPr>
              <w:t>Potential-temperature/entropy spread</w:t>
            </w:r>
          </w:p>
        </w:tc>
        <w:tc>
          <w:tcPr>
            <w:tcW w:type="dxa" w:w="3850"/>
            <w:vAlign w:val="center"/>
            <w:tcMar>
              <w:top w:w="80" w:type="dxa"/>
              <w:bottom w:w="80" w:type="dxa"/>
              <w:start w:w="120" w:type="dxa"/>
              <w:end w:w="120" w:type="dxa"/>
            </w:tcMar>
          </w:tcPr>
          <w:p>
            <w:pPr>
              <w:spacing w:before="0" w:after="0" w:line="259" w:lineRule="auto"/>
            </w:pPr>
            <w:r>
              <w:rPr>
                <w:rFonts w:ascii="Calibri" w:hAnsi="Calibri"/>
                <w:color w:val="000000"/>
                <w:sz w:val="16"/>
              </w:rPr>
              <w:t>Relative spread within a mixed region</w:t>
            </w:r>
          </w:p>
        </w:tc>
        <w:tc>
          <w:tcPr>
            <w:tcW w:type="dxa" w:w="3810"/>
            <w:vAlign w:val="center"/>
            <w:tcMar>
              <w:top w:w="80" w:type="dxa"/>
              <w:bottom w:w="80" w:type="dxa"/>
              <w:start w:w="120" w:type="dxa"/>
              <w:end w:w="120" w:type="dxa"/>
            </w:tcMar>
          </w:tcPr>
          <w:p>
            <w:pPr>
              <w:spacing w:before="0" w:after="0" w:line="259" w:lineRule="auto"/>
            </w:pPr>
            <w:r>
              <w:rPr>
                <w:rFonts w:ascii="Calibri" w:hAnsi="Calibri"/>
                <w:color w:val="000000"/>
                <w:sz w:val="16"/>
              </w:rPr>
              <w:t>Independent confirmation of adiabatic homogenisation</w:t>
            </w:r>
          </w:p>
        </w:tc>
      </w:tr>
      <w:tr>
        <w:trPr>
          <w:cantSplit w:val="true"/>
        </w:trPr>
        <w:tc>
          <w:tcPr>
            <w:tcW w:type="dxa" w:w="1700"/>
            <w:vAlign w:val="center"/>
            <w:shd w:fill="FAFBFC"/>
            <w:tcMar>
              <w:top w:w="80" w:type="dxa"/>
              <w:bottom w:w="80" w:type="dxa"/>
              <w:start w:w="120" w:type="dxa"/>
              <w:end w:w="120" w:type="dxa"/>
            </w:tcMar>
          </w:tcPr>
          <w:p>
            <w:pPr>
              <w:spacing w:before="0" w:after="0" w:line="259" w:lineRule="auto"/>
            </w:pPr>
            <w:r>
              <w:rPr>
                <w:rFonts w:ascii="Calibri" w:hAnsi="Calibri"/>
                <w:color w:val="000000"/>
                <w:sz w:val="16"/>
              </w:rPr>
              <w:t>Boundary error</w:t>
            </w:r>
          </w:p>
        </w:tc>
        <w:tc>
          <w:tcPr>
            <w:tcW w:type="dxa" w:w="3850"/>
            <w:vAlign w:val="center"/>
            <w:shd w:fill="FAFBFC"/>
            <w:tcMar>
              <w:top w:w="80" w:type="dxa"/>
              <w:bottom w:w="80" w:type="dxa"/>
              <w:start w:w="120" w:type="dxa"/>
              <w:end w:w="120" w:type="dxa"/>
            </w:tcMar>
          </w:tcPr>
          <w:p>
            <w:pPr>
              <w:spacing w:before="0" w:after="0" w:line="259" w:lineRule="auto"/>
            </w:pPr>
            <w:r>
              <w:rPr>
                <w:rFonts w:ascii="Calibri" w:hAnsi="Calibri"/>
                <w:color w:val="000000"/>
                <w:sz w:val="16"/>
              </w:rPr>
              <w:t>Fconv at closed top and bottom</w:t>
            </w:r>
          </w:p>
        </w:tc>
        <w:tc>
          <w:tcPr>
            <w:tcW w:type="dxa" w:w="3810"/>
            <w:vAlign w:val="center"/>
            <w:shd w:fill="FAFBFC"/>
            <w:tcMar>
              <w:top w:w="80" w:type="dxa"/>
              <w:bottom w:w="80" w:type="dxa"/>
              <w:start w:w="120" w:type="dxa"/>
              <w:end w:w="120" w:type="dxa"/>
            </w:tcMar>
          </w:tcPr>
          <w:p>
            <w:pPr>
              <w:spacing w:before="0" w:after="0" w:line="259" w:lineRule="auto"/>
            </w:pPr>
            <w:r>
              <w:rPr>
                <w:rFonts w:ascii="Calibri" w:hAnsi="Calibri"/>
                <w:color w:val="000000"/>
                <w:sz w:val="16"/>
              </w:rPr>
              <w:t>Exactly zero by construction</w:t>
            </w:r>
          </w:p>
        </w:tc>
      </w:tr>
      <w:tr>
        <w:trPr>
          <w:cantSplit w:val="true"/>
        </w:trPr>
        <w:tc>
          <w:tcPr>
            <w:tcW w:type="dxa" w:w="1700"/>
            <w:vAlign w:val="center"/>
            <w:tcMar>
              <w:top w:w="80" w:type="dxa"/>
              <w:bottom w:w="80" w:type="dxa"/>
              <w:start w:w="120" w:type="dxa"/>
              <w:end w:w="120" w:type="dxa"/>
            </w:tcMar>
          </w:tcPr>
          <w:p>
            <w:pPr>
              <w:spacing w:before="0" w:after="0" w:line="259" w:lineRule="auto"/>
            </w:pPr>
            <w:r>
              <w:rPr>
                <w:rFonts w:ascii="Calibri" w:hAnsi="Calibri"/>
                <w:color w:val="000000"/>
                <w:sz w:val="16"/>
              </w:rPr>
              <w:t>Timestep order</w:t>
            </w:r>
          </w:p>
        </w:tc>
        <w:tc>
          <w:tcPr>
            <w:tcW w:type="dxa" w:w="3850"/>
            <w:vAlign w:val="center"/>
            <w:tcMar>
              <w:top w:w="80" w:type="dxa"/>
              <w:bottom w:w="80" w:type="dxa"/>
              <w:start w:w="120" w:type="dxa"/>
              <w:end w:w="120" w:type="dxa"/>
            </w:tcMar>
          </w:tcPr>
          <w:p>
            <w:pPr>
              <w:spacing w:before="0" w:after="0" w:line="259" w:lineRule="auto"/>
            </w:pPr>
            <w:r>
              <w:rPr>
                <w:rFonts w:ascii="Calibri" w:hAnsi="Calibri"/>
                <w:color w:val="000000"/>
                <w:sz w:val="16"/>
              </w:rPr>
              <w:t>Error ratio under dt, dt/2, dt/4</w:t>
            </w:r>
          </w:p>
        </w:tc>
        <w:tc>
          <w:tcPr>
            <w:tcW w:type="dxa" w:w="3810"/>
            <w:vAlign w:val="center"/>
            <w:tcMar>
              <w:top w:w="80" w:type="dxa"/>
              <w:bottom w:w="80" w:type="dxa"/>
              <w:start w:w="120" w:type="dxa"/>
              <w:end w:w="120" w:type="dxa"/>
            </w:tcMar>
          </w:tcPr>
          <w:p>
            <w:pPr>
              <w:spacing w:before="0" w:after="0" w:line="259" w:lineRule="auto"/>
            </w:pPr>
            <w:r>
              <w:rPr>
                <w:rFonts w:ascii="Calibri" w:hAnsi="Calibri"/>
                <w:color w:val="000000"/>
                <w:sz w:val="16"/>
              </w:rPr>
              <w:t>Approximately first order for forward Euler transient</w:t>
            </w:r>
          </w:p>
        </w:tc>
      </w:tr>
      <w:tr>
        <w:trPr>
          <w:cantSplit w:val="true"/>
        </w:trPr>
        <w:tc>
          <w:tcPr>
            <w:tcW w:type="dxa" w:w="1700"/>
            <w:vAlign w:val="center"/>
            <w:shd w:fill="FAFBFC"/>
            <w:tcMar>
              <w:top w:w="80" w:type="dxa"/>
              <w:bottom w:w="80" w:type="dxa"/>
              <w:start w:w="120" w:type="dxa"/>
              <w:end w:w="120" w:type="dxa"/>
            </w:tcMar>
          </w:tcPr>
          <w:p>
            <w:pPr>
              <w:spacing w:before="0" w:after="0" w:line="259" w:lineRule="auto"/>
            </w:pPr>
            <w:r>
              <w:rPr>
                <w:rFonts w:ascii="Calibri" w:hAnsi="Calibri"/>
                <w:color w:val="000000"/>
                <w:sz w:val="16"/>
              </w:rPr>
              <w:t>Grid order</w:t>
            </w:r>
          </w:p>
        </w:tc>
        <w:tc>
          <w:tcPr>
            <w:tcW w:type="dxa" w:w="3850"/>
            <w:vAlign w:val="center"/>
            <w:shd w:fill="FAFBFC"/>
            <w:tcMar>
              <w:top w:w="80" w:type="dxa"/>
              <w:bottom w:w="80" w:type="dxa"/>
              <w:start w:w="120" w:type="dxa"/>
              <w:end w:w="120" w:type="dxa"/>
            </w:tcMar>
          </w:tcPr>
          <w:p>
            <w:pPr>
              <w:spacing w:before="0" w:after="0" w:line="259" w:lineRule="auto"/>
            </w:pPr>
            <w:r>
              <w:rPr>
                <w:rFonts w:ascii="Calibri" w:hAnsi="Calibri"/>
                <w:color w:val="000000"/>
                <w:sz w:val="16"/>
              </w:rPr>
              <w:t>Observed error scaling with N</w:t>
            </w:r>
          </w:p>
        </w:tc>
        <w:tc>
          <w:tcPr>
            <w:tcW w:type="dxa" w:w="3810"/>
            <w:vAlign w:val="center"/>
            <w:shd w:fill="FAFBFC"/>
            <w:tcMar>
              <w:top w:w="80" w:type="dxa"/>
              <w:bottom w:w="80" w:type="dxa"/>
              <w:start w:w="120" w:type="dxa"/>
              <w:end w:w="120" w:type="dxa"/>
            </w:tcMar>
          </w:tcPr>
          <w:p>
            <w:pPr>
              <w:spacing w:before="0" w:after="0" w:line="259" w:lineRule="auto"/>
            </w:pPr>
            <w:r>
              <w:rPr>
                <w:rFonts w:ascii="Calibri" w:hAnsi="Calibri"/>
                <w:color w:val="000000"/>
                <w:sz w:val="16"/>
              </w:rPr>
              <w:t>Measure; do not assume theoretical order at moving RCBs</w:t>
            </w:r>
          </w:p>
        </w:tc>
      </w:tr>
      <w:tr>
        <w:trPr>
          <w:cantSplit w:val="true"/>
        </w:trPr>
        <w:tc>
          <w:tcPr>
            <w:tcW w:type="dxa" w:w="1700"/>
            <w:vAlign w:val="center"/>
            <w:tcMar>
              <w:top w:w="80" w:type="dxa"/>
              <w:bottom w:w="80" w:type="dxa"/>
              <w:start w:w="120" w:type="dxa"/>
              <w:end w:w="120" w:type="dxa"/>
            </w:tcMar>
          </w:tcPr>
          <w:p>
            <w:pPr>
              <w:spacing w:before="0" w:after="0" w:line="259" w:lineRule="auto"/>
            </w:pPr>
            <w:r>
              <w:rPr>
                <w:rFonts w:ascii="Calibri" w:hAnsi="Calibri"/>
                <w:color w:val="000000"/>
                <w:sz w:val="16"/>
              </w:rPr>
              <w:t>Performance</w:t>
            </w:r>
          </w:p>
        </w:tc>
        <w:tc>
          <w:tcPr>
            <w:tcW w:type="dxa" w:w="3850"/>
            <w:vAlign w:val="center"/>
            <w:tcMar>
              <w:top w:w="80" w:type="dxa"/>
              <w:bottom w:w="80" w:type="dxa"/>
              <w:start w:w="120" w:type="dxa"/>
              <w:end w:w="120" w:type="dxa"/>
            </w:tcMar>
          </w:tcPr>
          <w:p>
            <w:pPr>
              <w:spacing w:before="0" w:after="0" w:line="259" w:lineRule="auto"/>
            </w:pPr>
            <w:r>
              <w:rPr>
                <w:rFonts w:ascii="Calibri" w:hAnsi="Calibri"/>
                <w:color w:val="000000"/>
                <w:sz w:val="16"/>
              </w:rPr>
              <w:t>Wall time and number of radiation/chemistry/MLT calls</w:t>
            </w:r>
          </w:p>
        </w:tc>
        <w:tc>
          <w:tcPr>
            <w:tcW w:type="dxa" w:w="3810"/>
            <w:vAlign w:val="center"/>
            <w:tcMar>
              <w:top w:w="80" w:type="dxa"/>
              <w:bottom w:w="80" w:type="dxa"/>
              <w:start w:w="120" w:type="dxa"/>
              <w:end w:w="120" w:type="dxa"/>
            </w:tcMar>
          </w:tcPr>
          <w:p>
            <w:pPr>
              <w:spacing w:before="0" w:after="0" w:line="259" w:lineRule="auto"/>
            </w:pPr>
            <w:r>
              <w:rPr>
                <w:rFonts w:ascii="Calibri" w:hAnsi="Calibri"/>
                <w:color w:val="000000"/>
                <w:sz w:val="16"/>
              </w:rPr>
              <w:t>Report separately from physical simulated time</w:t>
            </w:r>
          </w:p>
        </w:tc>
      </w:tr>
    </w:tbl>
    <w:p>
      <w:pPr>
        <w:spacing w:after="20"/>
      </w:pPr>
    </w:p>
    <w:p>
      <w:pPr>
        <w:spacing w:before="100" w:after="160" w:line="288" w:lineRule="auto"/>
        <w:ind w:left="202" w:right="144"/>
        <w:shd w:fill="FFF3D6"/>
        <w:pBdr>
          <w:left w:val="single" w:sz="18" w:space="8" w:color="A06A00"/>
        </w:pBdr>
      </w:pPr>
      <w:r>
        <w:rPr>
          <w:b/>
          <w:color w:val="0B2545"/>
        </w:rPr>
        <w:t xml:space="preserve">TOLERANCE POLICY  </w:t>
      </w:r>
      <w:r>
        <w:t>The numerical values above are starting targets, not scientific constants. Lock final tolerances only after double-precision baselines reveal roundoff, discretisation and solver floors. Every relaxed tolerance needs a reason and an error budget.</w:t>
      </w:r>
    </w:p>
    <w:p>
      <w:pPr>
        <w:pStyle w:val="Heading2"/>
      </w:pPr>
      <w:r>
        <w:t>Regression policy</w:t>
      </w:r>
    </w:p>
    <w:p>
      <w:pPr>
        <w:spacing w:after="80" w:line="300" w:lineRule="auto"/>
        <w:numPr>
          <w:ilvl w:val="0"/>
          <w:numId w:val="10"/>
        </w:numPr>
      </w:pPr>
      <w:r>
        <w:t>Store compact reference summaries: norms, budgets, RCB pressure, selected layer values, and metadata.</w:t>
      </w:r>
    </w:p>
    <w:p>
      <w:pPr>
        <w:spacing w:after="80" w:line="300" w:lineRule="auto"/>
        <w:numPr>
          <w:ilvl w:val="0"/>
          <w:numId w:val="10"/>
        </w:numPr>
      </w:pPr>
      <w:r>
        <w:t>Version benchmark data with the equation/closure version. A physics change may intentionally update a baseline; a refactor may not.</w:t>
      </w:r>
    </w:p>
    <w:p>
      <w:pPr>
        <w:spacing w:after="80" w:line="300" w:lineRule="auto"/>
        <w:numPr>
          <w:ilvl w:val="0"/>
          <w:numId w:val="10"/>
        </w:numPr>
      </w:pPr>
      <w:r>
        <w:t>Run fast unit/invariant tests on every commit; run N–alpha–dt sweeps on scheduled CI or before release.</w:t>
      </w:r>
    </w:p>
    <w:p>
      <w:pPr>
        <w:spacing w:after="80" w:line="300" w:lineRule="auto"/>
        <w:numPr>
          <w:ilvl w:val="0"/>
          <w:numId w:val="10"/>
        </w:numPr>
      </w:pPr>
      <w:r>
        <w:t>Treat warnings, non-convergence, NaNs, negative temperatures/densities, and unit mismatches as test failures.</w:t>
      </w:r>
    </w:p>
    <w:p>
      <w:pPr>
        <w:pStyle w:val="Heading1"/>
      </w:pPr>
      <w:r>
        <w:t>6. Variable hierarchy and experiment design</w:t>
      </w:r>
    </w:p>
    <w:p>
      <w:r>
        <w:t>Label every varied quantity as numerical, closure, boundary, planetary, radiative, chemical, or condensate. This prevents grid/timestep sensitivity from being misread as physical uncertainty.</w:t>
      </w:r>
    </w:p>
    <w:tbl>
      <w:tblPr>
        <w:tblStyle w:val="TableGrid"/>
        <w:tblW w:type="dxa" w:w="9360"/>
        <w:jc w:val="left"/>
        <w:tblLayout w:type="fixed"/>
        <w:tblLook w:firstColumn="1" w:firstRow="1" w:lastColumn="0" w:lastRow="0" w:noHBand="0" w:noVBand="1" w:val="04A0"/>
        <w:tblInd w:type="dxa" w:w="120"/>
      </w:tblPr>
      <w:tblGrid>
        <w:gridCol w:w="1450"/>
        <w:gridCol w:w="4880"/>
        <w:gridCol w:w="3030"/>
      </w:tblGrid>
      <w:tr>
        <w:trPr>
          <w:tblHeader w:val="true"/>
          <w:cantSplit w:val="true"/>
        </w:trPr>
        <w:tc>
          <w:tcPr>
            <w:tcW w:type="dxa" w:w="1450"/>
            <w:shd w:fill="E8EEF5"/>
            <w:vAlign w:val="center"/>
            <w:tcMar>
              <w:top w:w="80" w:type="dxa"/>
              <w:bottom w:w="80" w:type="dxa"/>
              <w:start w:w="120" w:type="dxa"/>
              <w:end w:w="120" w:type="dxa"/>
            </w:tcMar>
          </w:tcPr>
          <w:p>
            <w:pPr>
              <w:spacing w:before="0" w:after="0" w:line="252" w:lineRule="auto"/>
            </w:pPr>
            <w:r>
              <w:rPr>
                <w:rFonts w:ascii="Calibri" w:hAnsi="Calibri"/>
                <w:b/>
                <w:color w:val="0B2545"/>
                <w:sz w:val="17"/>
              </w:rPr>
              <w:t>Class</w:t>
            </w:r>
          </w:p>
        </w:tc>
        <w:tc>
          <w:tcPr>
            <w:tcW w:type="dxa" w:w="4880"/>
            <w:shd w:fill="E8EEF5"/>
            <w:vAlign w:val="center"/>
            <w:tcMar>
              <w:top w:w="80" w:type="dxa"/>
              <w:bottom w:w="80" w:type="dxa"/>
              <w:start w:w="120" w:type="dxa"/>
              <w:end w:w="120" w:type="dxa"/>
            </w:tcMar>
          </w:tcPr>
          <w:p>
            <w:pPr>
              <w:spacing w:before="0" w:after="0" w:line="252" w:lineRule="auto"/>
            </w:pPr>
            <w:r>
              <w:rPr>
                <w:rFonts w:ascii="Calibri" w:hAnsi="Calibri"/>
                <w:b/>
                <w:color w:val="0B2545"/>
                <w:sz w:val="17"/>
              </w:rPr>
              <w:t>Variables</w:t>
            </w:r>
          </w:p>
        </w:tc>
        <w:tc>
          <w:tcPr>
            <w:tcW w:type="dxa" w:w="3030"/>
            <w:shd w:fill="E8EEF5"/>
            <w:vAlign w:val="center"/>
            <w:tcMar>
              <w:top w:w="80" w:type="dxa"/>
              <w:bottom w:w="80" w:type="dxa"/>
              <w:start w:w="120" w:type="dxa"/>
              <w:end w:w="120" w:type="dxa"/>
            </w:tcMar>
          </w:tcPr>
          <w:p>
            <w:pPr>
              <w:spacing w:before="0" w:after="0" w:line="252" w:lineRule="auto"/>
            </w:pPr>
            <w:r>
              <w:rPr>
                <w:rFonts w:ascii="Calibri" w:hAnsi="Calibri"/>
                <w:b/>
                <w:color w:val="0B2545"/>
                <w:sz w:val="17"/>
              </w:rPr>
              <w:t>Treatment</w:t>
            </w:r>
          </w:p>
        </w:tc>
      </w:tr>
      <w:tr>
        <w:trPr>
          <w:cantSplit w:val="true"/>
        </w:trPr>
        <w:tc>
          <w:tcPr>
            <w:tcW w:type="dxa" w:w="1450"/>
            <w:vAlign w:val="center"/>
            <w:tcMar>
              <w:top w:w="80" w:type="dxa"/>
              <w:bottom w:w="80" w:type="dxa"/>
              <w:start w:w="120" w:type="dxa"/>
              <w:end w:w="120" w:type="dxa"/>
            </w:tcMar>
          </w:tcPr>
          <w:p>
            <w:pPr>
              <w:spacing w:before="0" w:after="0" w:line="259" w:lineRule="auto"/>
            </w:pPr>
            <w:r>
              <w:rPr>
                <w:rFonts w:ascii="Calibri" w:hAnsi="Calibri"/>
                <w:color w:val="000000"/>
                <w:sz w:val="17"/>
              </w:rPr>
              <w:t>Numerical</w:t>
            </w:r>
          </w:p>
        </w:tc>
        <w:tc>
          <w:tcPr>
            <w:tcW w:type="dxa" w:w="4880"/>
            <w:vAlign w:val="center"/>
            <w:tcMar>
              <w:top w:w="80" w:type="dxa"/>
              <w:bottom w:w="80" w:type="dxa"/>
              <w:start w:w="120" w:type="dxa"/>
              <w:end w:w="120" w:type="dxa"/>
            </w:tcMar>
          </w:tcPr>
          <w:p>
            <w:pPr>
              <w:spacing w:before="0" w:after="0" w:line="259" w:lineRule="auto"/>
            </w:pPr>
            <w:r>
              <w:rPr>
                <w:rFonts w:ascii="Calibri" w:hAnsi="Calibri"/>
                <w:color w:val="000000"/>
                <w:sz w:val="17"/>
              </w:rPr>
              <w:t>N, pressure grid, dt/CFL factor, nonlinear tolerance, interpolation, update cadence</w:t>
            </w:r>
          </w:p>
        </w:tc>
        <w:tc>
          <w:tcPr>
            <w:tcW w:type="dxa" w:w="3030"/>
            <w:vAlign w:val="center"/>
            <w:tcMar>
              <w:top w:w="80" w:type="dxa"/>
              <w:bottom w:w="80" w:type="dxa"/>
              <w:start w:w="120" w:type="dxa"/>
              <w:end w:w="120" w:type="dxa"/>
            </w:tcMar>
          </w:tcPr>
          <w:p>
            <w:pPr>
              <w:spacing w:before="0" w:after="0" w:line="259" w:lineRule="auto"/>
            </w:pPr>
            <w:r>
              <w:rPr>
                <w:rFonts w:ascii="Calibri" w:hAnsi="Calibri"/>
                <w:color w:val="000000"/>
                <w:sz w:val="17"/>
              </w:rPr>
              <w:t>Converge away; never calibrate to observations</w:t>
            </w:r>
          </w:p>
        </w:tc>
      </w:tr>
      <w:tr>
        <w:trPr>
          <w:cantSplit w:val="true"/>
        </w:trPr>
        <w:tc>
          <w:tcPr>
            <w:tcW w:type="dxa" w:w="145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MLT closure</w:t>
            </w:r>
          </w:p>
        </w:tc>
        <w:tc>
          <w:tcPr>
            <w:tcW w:type="dxa" w:w="488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alpha, prefactor, length limiter, overshoot law, Kzz floor</w:t>
            </w:r>
          </w:p>
        </w:tc>
        <w:tc>
          <w:tcPr>
            <w:tcW w:type="dxa" w:w="303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Sensitivity/calibration parameters with explicit metadata</w:t>
            </w:r>
          </w:p>
        </w:tc>
      </w:tr>
      <w:tr>
        <w:trPr>
          <w:cantSplit w:val="true"/>
        </w:trPr>
        <w:tc>
          <w:tcPr>
            <w:tcW w:type="dxa" w:w="1450"/>
            <w:vAlign w:val="center"/>
            <w:tcMar>
              <w:top w:w="80" w:type="dxa"/>
              <w:bottom w:w="80" w:type="dxa"/>
              <w:start w:w="120" w:type="dxa"/>
              <w:end w:w="120" w:type="dxa"/>
            </w:tcMar>
          </w:tcPr>
          <w:p>
            <w:pPr>
              <w:spacing w:before="0" w:after="0" w:line="259" w:lineRule="auto"/>
            </w:pPr>
            <w:r>
              <w:rPr>
                <w:rFonts w:ascii="Calibri" w:hAnsi="Calibri"/>
                <w:color w:val="000000"/>
                <w:sz w:val="17"/>
              </w:rPr>
              <w:t>Thermodynamic</w:t>
            </w:r>
          </w:p>
        </w:tc>
        <w:tc>
          <w:tcPr>
            <w:tcW w:type="dxa" w:w="4880"/>
            <w:vAlign w:val="center"/>
            <w:tcMar>
              <w:top w:w="80" w:type="dxa"/>
              <w:bottom w:w="80" w:type="dxa"/>
              <w:start w:w="120" w:type="dxa"/>
              <w:end w:w="120" w:type="dxa"/>
            </w:tcMar>
          </w:tcPr>
          <w:p>
            <w:pPr>
              <w:spacing w:before="0" w:after="0" w:line="259" w:lineRule="auto"/>
            </w:pPr>
            <w:r>
              <w:rPr>
                <w:rFonts w:ascii="Calibri" w:hAnsi="Calibri"/>
                <w:color w:val="000000"/>
                <w:sz w:val="17"/>
              </w:rPr>
              <w:t>cp, mu, nabla_ad, EOS, enthalpy, dissociation</w:t>
            </w:r>
          </w:p>
        </w:tc>
        <w:tc>
          <w:tcPr>
            <w:tcW w:type="dxa" w:w="3030"/>
            <w:vAlign w:val="center"/>
            <w:tcMar>
              <w:top w:w="80" w:type="dxa"/>
              <w:bottom w:w="80" w:type="dxa"/>
              <w:start w:w="120" w:type="dxa"/>
              <w:end w:w="120" w:type="dxa"/>
            </w:tcMar>
          </w:tcPr>
          <w:p>
            <w:pPr>
              <w:spacing w:before="0" w:after="0" w:line="259" w:lineRule="auto"/>
            </w:pPr>
            <w:r>
              <w:rPr>
                <w:rFonts w:ascii="Calibri" w:hAnsi="Calibri"/>
                <w:color w:val="000000"/>
                <w:sz w:val="17"/>
              </w:rPr>
              <w:t>Physical inputs with unit/identity tests</w:t>
            </w:r>
          </w:p>
        </w:tc>
      </w:tr>
      <w:tr>
        <w:trPr>
          <w:cantSplit w:val="true"/>
        </w:trPr>
        <w:tc>
          <w:tcPr>
            <w:tcW w:type="dxa" w:w="145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Planet/boundary</w:t>
            </w:r>
          </w:p>
        </w:tc>
        <w:tc>
          <w:tcPr>
            <w:tcW w:type="dxa" w:w="488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g, radius, pressure range, surface T/albedo/emissivity, internal flux</w:t>
            </w:r>
          </w:p>
        </w:tc>
        <w:tc>
          <w:tcPr>
            <w:tcW w:type="dxa" w:w="303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Science scenario inputs</w:t>
            </w:r>
          </w:p>
        </w:tc>
      </w:tr>
      <w:tr>
        <w:trPr>
          <w:cantSplit w:val="true"/>
        </w:trPr>
        <w:tc>
          <w:tcPr>
            <w:tcW w:type="dxa" w:w="1450"/>
            <w:vAlign w:val="center"/>
            <w:tcMar>
              <w:top w:w="80" w:type="dxa"/>
              <w:bottom w:w="80" w:type="dxa"/>
              <w:start w:w="120" w:type="dxa"/>
              <w:end w:w="120" w:type="dxa"/>
            </w:tcMar>
          </w:tcPr>
          <w:p>
            <w:pPr>
              <w:spacing w:before="0" w:after="0" w:line="259" w:lineRule="auto"/>
            </w:pPr>
            <w:r>
              <w:rPr>
                <w:rFonts w:ascii="Calibri" w:hAnsi="Calibri"/>
                <w:color w:val="000000"/>
                <w:sz w:val="17"/>
              </w:rPr>
              <w:t>Radiative</w:t>
            </w:r>
          </w:p>
        </w:tc>
        <w:tc>
          <w:tcPr>
            <w:tcW w:type="dxa" w:w="4880"/>
            <w:vAlign w:val="center"/>
            <w:tcMar>
              <w:top w:w="80" w:type="dxa"/>
              <w:bottom w:w="80" w:type="dxa"/>
              <w:start w:w="120" w:type="dxa"/>
              <w:end w:w="120" w:type="dxa"/>
            </w:tcMar>
          </w:tcPr>
          <w:p>
            <w:pPr>
              <w:spacing w:before="0" w:after="0" w:line="259" w:lineRule="auto"/>
            </w:pPr>
            <w:r>
              <w:rPr>
                <w:rFonts w:ascii="Calibri" w:hAnsi="Calibri"/>
                <w:color w:val="000000"/>
                <w:sz w:val="17"/>
              </w:rPr>
              <w:t>two-stream closure, angular factor, stellar spectrum, boundaries, opacity, scattering, spectral/g-point resolution</w:t>
            </w:r>
          </w:p>
        </w:tc>
        <w:tc>
          <w:tcPr>
            <w:tcW w:type="dxa" w:w="3030"/>
            <w:vAlign w:val="center"/>
            <w:tcMar>
              <w:top w:w="80" w:type="dxa"/>
              <w:bottom w:w="80" w:type="dxa"/>
              <w:start w:w="120" w:type="dxa"/>
              <w:end w:w="120" w:type="dxa"/>
            </w:tcMar>
          </w:tcPr>
          <w:p>
            <w:pPr>
              <w:spacing w:before="0" w:after="0" w:line="259" w:lineRule="auto"/>
            </w:pPr>
            <w:r>
              <w:rPr>
                <w:rFonts w:ascii="Calibri" w:hAnsi="Calibri"/>
                <w:color w:val="000000"/>
                <w:sz w:val="17"/>
              </w:rPr>
              <w:t>Benchmark and convergence dimensions</w:t>
            </w:r>
          </w:p>
        </w:tc>
      </w:tr>
      <w:tr>
        <w:trPr>
          <w:cantSplit w:val="true"/>
        </w:trPr>
        <w:tc>
          <w:tcPr>
            <w:tcW w:type="dxa" w:w="145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Opacity/data</w:t>
            </w:r>
          </w:p>
        </w:tc>
        <w:tc>
          <w:tcPr>
            <w:tcW w:type="dxa" w:w="488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species source, P–T grid, interpolation, mixture rule, extrapolation, cache tolerance, precision</w:t>
            </w:r>
          </w:p>
        </w:tc>
        <w:tc>
          <w:tcPr>
            <w:tcW w:type="dxa" w:w="303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Provenance, unit and numerical-error dimensions</w:t>
            </w:r>
          </w:p>
        </w:tc>
      </w:tr>
      <w:tr>
        <w:trPr>
          <w:cantSplit w:val="true"/>
        </w:trPr>
        <w:tc>
          <w:tcPr>
            <w:tcW w:type="dxa" w:w="1450"/>
            <w:vAlign w:val="center"/>
            <w:tcMar>
              <w:top w:w="80" w:type="dxa"/>
              <w:bottom w:w="80" w:type="dxa"/>
              <w:start w:w="120" w:type="dxa"/>
              <w:end w:w="120" w:type="dxa"/>
            </w:tcMar>
          </w:tcPr>
          <w:p>
            <w:pPr>
              <w:spacing w:before="0" w:after="0" w:line="259" w:lineRule="auto"/>
            </w:pPr>
            <w:r>
              <w:rPr>
                <w:rFonts w:ascii="Calibri" w:hAnsi="Calibri"/>
                <w:color w:val="000000"/>
                <w:sz w:val="17"/>
              </w:rPr>
              <w:t>Chemical</w:t>
            </w:r>
          </w:p>
        </w:tc>
        <w:tc>
          <w:tcPr>
            <w:tcW w:type="dxa" w:w="4880"/>
            <w:vAlign w:val="center"/>
            <w:tcMar>
              <w:top w:w="80" w:type="dxa"/>
              <w:bottom w:w="80" w:type="dxa"/>
              <w:start w:w="120" w:type="dxa"/>
              <w:end w:w="120" w:type="dxa"/>
            </w:tcMar>
          </w:tcPr>
          <w:p>
            <w:pPr>
              <w:spacing w:before="0" w:after="0" w:line="259" w:lineRule="auto"/>
            </w:pPr>
            <w:r>
              <w:rPr>
                <w:rFonts w:ascii="Calibri" w:hAnsi="Calibri"/>
                <w:color w:val="000000"/>
                <w:sz w:val="17"/>
              </w:rPr>
              <w:t>network, rate data, UV, boundary fluxes, initial abundances, Kzz</w:t>
            </w:r>
          </w:p>
        </w:tc>
        <w:tc>
          <w:tcPr>
            <w:tcW w:type="dxa" w:w="3030"/>
            <w:vAlign w:val="center"/>
            <w:tcMar>
              <w:top w:w="80" w:type="dxa"/>
              <w:bottom w:w="80" w:type="dxa"/>
              <w:start w:w="120" w:type="dxa"/>
              <w:end w:w="120" w:type="dxa"/>
            </w:tcMar>
          </w:tcPr>
          <w:p>
            <w:pPr>
              <w:spacing w:before="0" w:after="0" w:line="259" w:lineRule="auto"/>
            </w:pPr>
            <w:r>
              <w:rPr>
                <w:rFonts w:ascii="Calibri" w:hAnsi="Calibri"/>
                <w:color w:val="000000"/>
                <w:sz w:val="17"/>
              </w:rPr>
              <w:t>Conservation and stiffness dimensions</w:t>
            </w:r>
          </w:p>
        </w:tc>
      </w:tr>
      <w:tr>
        <w:trPr>
          <w:cantSplit w:val="true"/>
        </w:trPr>
        <w:tc>
          <w:tcPr>
            <w:tcW w:type="dxa" w:w="145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Condensate/cloud</w:t>
            </w:r>
          </w:p>
        </w:tc>
        <w:tc>
          <w:tcPr>
            <w:tcW w:type="dxa" w:w="488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saturation, latent heat, rainout, particles, opacity</w:t>
            </w:r>
          </w:p>
        </w:tc>
        <w:tc>
          <w:tcPr>
            <w:tcW w:type="dxa" w:w="303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Add only after mass/energy closure</w:t>
            </w:r>
          </w:p>
        </w:tc>
      </w:tr>
    </w:tbl>
    <w:p>
      <w:pPr>
        <w:spacing w:after="20"/>
      </w:pPr>
    </w:p>
    <w:p>
      <w:pPr>
        <w:pStyle w:val="Heading2"/>
      </w:pPr>
      <w:r>
        <w:t>Recommended sensitivity strategy</w:t>
      </w:r>
    </w:p>
    <w:p>
      <w:pPr>
        <w:spacing w:after="80" w:line="300" w:lineRule="auto"/>
        <w:numPr>
          <w:ilvl w:val="0"/>
          <w:numId w:val="11"/>
        </w:numPr>
      </w:pPr>
      <w:r>
        <w:t>One-factor sweeps for Stage 1 to identify implementation errors and stability thresholds.</w:t>
      </w:r>
    </w:p>
    <w:p>
      <w:pPr>
        <w:spacing w:after="80" w:line="300" w:lineRule="auto"/>
        <w:numPr>
          <w:ilvl w:val="0"/>
          <w:numId w:val="11"/>
        </w:numPr>
      </w:pPr>
      <w:r>
        <w:t>Small factorial tests for interactions among N, alpha, and timestep factor.</w:t>
      </w:r>
    </w:p>
    <w:p>
      <w:pPr>
        <w:spacing w:after="80" w:line="300" w:lineRule="auto"/>
        <w:numPr>
          <w:ilvl w:val="0"/>
          <w:numId w:val="11"/>
        </w:numPr>
      </w:pPr>
      <w:r>
        <w:t>Matched-case intercomparisons at a few physically interpretable points, not only large random grids.</w:t>
      </w:r>
    </w:p>
    <w:p>
      <w:pPr>
        <w:spacing w:after="80" w:line="300" w:lineRule="auto"/>
        <w:numPr>
          <w:ilvl w:val="0"/>
          <w:numId w:val="11"/>
        </w:numPr>
      </w:pPr>
      <w:r>
        <w:t>Latin-hypercube or Sobol sampling only after the solver is reliable and the goal is physical sensitivity rather than debugging.</w:t>
      </w:r>
    </w:p>
    <w:p>
      <w:pPr>
        <w:spacing w:after="80" w:line="300" w:lineRule="auto"/>
        <w:numPr>
          <w:ilvl w:val="0"/>
          <w:numId w:val="11"/>
        </w:numPr>
      </w:pPr>
      <w:r>
        <w:t>Emulators/surrogates only for repeated science grids; never use them as the validation reference.</w:t>
      </w:r>
    </w:p>
    <w:p>
      <w:pPr>
        <w:pStyle w:val="Heading1"/>
      </w:pPr>
      <w:r>
        <w:t>7. Timescale framework</w:t>
      </w:r>
    </w:p>
    <w:p>
      <w:pPr>
        <w:spacing w:before="100" w:after="160" w:line="288" w:lineRule="auto"/>
        <w:ind w:left="202" w:right="144"/>
        <w:shd w:fill="F4F6F9"/>
        <w:pBdr>
          <w:left w:val="single" w:sz="18" w:space="8" w:color="2E74B5"/>
        </w:pBdr>
      </w:pPr>
      <w:r>
        <w:rPr>
          <w:b/>
          <w:color w:val="0B2545"/>
        </w:rPr>
        <w:t xml:space="preserve">CRITICAL DISTINCTION  </w:t>
      </w:r>
      <w:r>
        <w:t>Numerical timestep, physical process timescale, and wall-clock runtime are different quantities. Report all three with different names and units.</w:t>
      </w:r>
    </w:p>
    <w:tbl>
      <w:tblPr>
        <w:tblStyle w:val="TableGrid"/>
        <w:tblW w:type="dxa" w:w="9360"/>
        <w:jc w:val="left"/>
        <w:tblLayout w:type="fixed"/>
        <w:tblLook w:firstColumn="1" w:firstRow="1" w:lastColumn="0" w:lastRow="0" w:noHBand="0" w:noVBand="1" w:val="04A0"/>
        <w:tblInd w:type="dxa" w:w="120"/>
      </w:tblPr>
      <w:tblGrid>
        <w:gridCol w:w="1600"/>
        <w:gridCol w:w="4690"/>
        <w:gridCol w:w="3070"/>
      </w:tblGrid>
      <w:tr>
        <w:trPr>
          <w:tblHeader w:val="true"/>
          <w:cantSplit w:val="true"/>
        </w:trPr>
        <w:tc>
          <w:tcPr>
            <w:tcW w:type="dxa" w:w="1600"/>
            <w:shd w:fill="E8EEF5"/>
            <w:vAlign w:val="center"/>
            <w:tcMar>
              <w:top w:w="80" w:type="dxa"/>
              <w:bottom w:w="80" w:type="dxa"/>
              <w:start w:w="120" w:type="dxa"/>
              <w:end w:w="120" w:type="dxa"/>
            </w:tcMar>
          </w:tcPr>
          <w:p>
            <w:pPr>
              <w:spacing w:before="0" w:after="0" w:line="252" w:lineRule="auto"/>
            </w:pPr>
            <w:r>
              <w:rPr>
                <w:rFonts w:ascii="Calibri" w:hAnsi="Calibri"/>
                <w:b/>
                <w:color w:val="0B2545"/>
                <w:sz w:val="17"/>
              </w:rPr>
              <w:t>Quantity</w:t>
            </w:r>
          </w:p>
        </w:tc>
        <w:tc>
          <w:tcPr>
            <w:tcW w:type="dxa" w:w="4690"/>
            <w:shd w:fill="E8EEF5"/>
            <w:vAlign w:val="center"/>
            <w:tcMar>
              <w:top w:w="80" w:type="dxa"/>
              <w:bottom w:w="80" w:type="dxa"/>
              <w:start w:w="120" w:type="dxa"/>
              <w:end w:w="120" w:type="dxa"/>
            </w:tcMar>
          </w:tcPr>
          <w:p>
            <w:pPr>
              <w:spacing w:before="0" w:after="0" w:line="252" w:lineRule="auto"/>
            </w:pPr>
            <w:r>
              <w:rPr>
                <w:rFonts w:ascii="Calibri" w:hAnsi="Calibri"/>
                <w:b/>
                <w:color w:val="0B2545"/>
                <w:sz w:val="17"/>
              </w:rPr>
              <w:t>Definition / measurement</w:t>
            </w:r>
          </w:p>
        </w:tc>
        <w:tc>
          <w:tcPr>
            <w:tcW w:type="dxa" w:w="3070"/>
            <w:shd w:fill="E8EEF5"/>
            <w:vAlign w:val="center"/>
            <w:tcMar>
              <w:top w:w="80" w:type="dxa"/>
              <w:bottom w:w="80" w:type="dxa"/>
              <w:start w:w="120" w:type="dxa"/>
              <w:end w:w="120" w:type="dxa"/>
            </w:tcMar>
          </w:tcPr>
          <w:p>
            <w:pPr>
              <w:spacing w:before="0" w:after="0" w:line="252" w:lineRule="auto"/>
            </w:pPr>
            <w:r>
              <w:rPr>
                <w:rFonts w:ascii="Calibri" w:hAnsi="Calibri"/>
                <w:b/>
                <w:color w:val="0B2545"/>
                <w:sz w:val="17"/>
              </w:rPr>
              <w:t>Use</w:t>
            </w:r>
          </w:p>
        </w:tc>
      </w:tr>
      <w:tr>
        <w:trPr>
          <w:cantSplit w:val="true"/>
        </w:trPr>
        <w:tc>
          <w:tcPr>
            <w:tcW w:type="dxa" w:w="1600"/>
            <w:vAlign w:val="center"/>
            <w:tcMar>
              <w:top w:w="80" w:type="dxa"/>
              <w:bottom w:w="80" w:type="dxa"/>
              <w:start w:w="120" w:type="dxa"/>
              <w:end w:w="120" w:type="dxa"/>
            </w:tcMar>
          </w:tcPr>
          <w:p>
            <w:pPr>
              <w:spacing w:before="0" w:after="0" w:line="259" w:lineRule="auto"/>
            </w:pPr>
            <w:r>
              <w:rPr>
                <w:rFonts w:ascii="Calibri" w:hAnsi="Calibri"/>
                <w:color w:val="000000"/>
                <w:sz w:val="17"/>
              </w:rPr>
              <w:t>Numerical dt_MLT</w:t>
            </w:r>
          </w:p>
        </w:tc>
        <w:tc>
          <w:tcPr>
            <w:tcW w:type="dxa" w:w="4690"/>
            <w:vAlign w:val="center"/>
            <w:tcMar>
              <w:top w:w="80" w:type="dxa"/>
              <w:bottom w:w="80" w:type="dxa"/>
              <w:start w:w="120" w:type="dxa"/>
              <w:end w:w="120" w:type="dxa"/>
            </w:tcMar>
          </w:tcPr>
          <w:p>
            <w:pPr>
              <w:spacing w:before="0" w:after="0" w:line="259" w:lineRule="auto"/>
            </w:pPr>
            <w:r>
              <w:rPr>
                <w:rFonts w:ascii="Calibri" w:hAnsi="Calibri"/>
                <w:color w:val="000000"/>
                <w:sz w:val="17"/>
              </w:rPr>
              <w:t>Stability- and accuracy-limited update step</w:t>
            </w:r>
          </w:p>
        </w:tc>
        <w:tc>
          <w:tcPr>
            <w:tcW w:type="dxa" w:w="3070"/>
            <w:vAlign w:val="center"/>
            <w:tcMar>
              <w:top w:w="80" w:type="dxa"/>
              <w:bottom w:w="80" w:type="dxa"/>
              <w:start w:w="120" w:type="dxa"/>
              <w:end w:w="120" w:type="dxa"/>
            </w:tcMar>
          </w:tcPr>
          <w:p>
            <w:pPr>
              <w:spacing w:before="0" w:after="0" w:line="259" w:lineRule="auto"/>
            </w:pPr>
            <w:r>
              <w:rPr>
                <w:rFonts w:ascii="Calibri" w:hAnsi="Calibri"/>
                <w:color w:val="000000"/>
                <w:sz w:val="17"/>
              </w:rPr>
              <w:t>Integrator control only</w:t>
            </w:r>
          </w:p>
        </w:tc>
      </w:tr>
      <w:tr>
        <w:trPr>
          <w:cantSplit w:val="true"/>
        </w:trPr>
        <w:tc>
          <w:tcPr>
            <w:tcW w:type="dxa" w:w="160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Turnover time</w:t>
            </w:r>
          </w:p>
        </w:tc>
        <w:tc>
          <w:tcPr>
            <w:tcW w:type="dxa" w:w="469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tau_turn = ell / w</w:t>
            </w:r>
          </w:p>
        </w:tc>
        <w:tc>
          <w:tcPr>
            <w:tcW w:type="dxa" w:w="307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Characteristic eddy travel time</w:t>
            </w:r>
          </w:p>
        </w:tc>
      </w:tr>
      <w:tr>
        <w:trPr>
          <w:cantSplit w:val="true"/>
        </w:trPr>
        <w:tc>
          <w:tcPr>
            <w:tcW w:type="dxa" w:w="1600"/>
            <w:vAlign w:val="center"/>
            <w:tcMar>
              <w:top w:w="80" w:type="dxa"/>
              <w:bottom w:w="80" w:type="dxa"/>
              <w:start w:w="120" w:type="dxa"/>
              <w:end w:w="120" w:type="dxa"/>
            </w:tcMar>
          </w:tcPr>
          <w:p>
            <w:pPr>
              <w:spacing w:before="0" w:after="0" w:line="259" w:lineRule="auto"/>
            </w:pPr>
            <w:r>
              <w:rPr>
                <w:rFonts w:ascii="Calibri" w:hAnsi="Calibri"/>
                <w:color w:val="000000"/>
                <w:sz w:val="17"/>
              </w:rPr>
              <w:t>Mixing time</w:t>
            </w:r>
          </w:p>
        </w:tc>
        <w:tc>
          <w:tcPr>
            <w:tcW w:type="dxa" w:w="4690"/>
            <w:vAlign w:val="center"/>
            <w:tcMar>
              <w:top w:w="80" w:type="dxa"/>
              <w:bottom w:w="80" w:type="dxa"/>
              <w:start w:w="120" w:type="dxa"/>
              <w:end w:w="120" w:type="dxa"/>
            </w:tcMar>
          </w:tcPr>
          <w:p>
            <w:pPr>
              <w:spacing w:before="0" w:after="0" w:line="259" w:lineRule="auto"/>
            </w:pPr>
            <w:r>
              <w:rPr>
                <w:rFonts w:ascii="Calibri" w:hAnsi="Calibri"/>
                <w:color w:val="000000"/>
                <w:sz w:val="17"/>
              </w:rPr>
              <w:t>tau_mix = Lmix² / Kzz; often Hp²/Kzz</w:t>
            </w:r>
          </w:p>
        </w:tc>
        <w:tc>
          <w:tcPr>
            <w:tcW w:type="dxa" w:w="3070"/>
            <w:vAlign w:val="center"/>
            <w:tcMar>
              <w:top w:w="80" w:type="dxa"/>
              <w:bottom w:w="80" w:type="dxa"/>
              <w:start w:w="120" w:type="dxa"/>
              <w:end w:w="120" w:type="dxa"/>
            </w:tcMar>
          </w:tcPr>
          <w:p>
            <w:pPr>
              <w:spacing w:before="0" w:after="0" w:line="259" w:lineRule="auto"/>
            </w:pPr>
            <w:r>
              <w:rPr>
                <w:rFonts w:ascii="Calibri" w:hAnsi="Calibri"/>
                <w:color w:val="000000"/>
                <w:sz w:val="17"/>
              </w:rPr>
              <w:t>Quenching and tracer transport comparison</w:t>
            </w:r>
          </w:p>
        </w:tc>
      </w:tr>
      <w:tr>
        <w:trPr>
          <w:cantSplit w:val="true"/>
        </w:trPr>
        <w:tc>
          <w:tcPr>
            <w:tcW w:type="dxa" w:w="160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Radiative time</w:t>
            </w:r>
          </w:p>
        </w:tc>
        <w:tc>
          <w:tcPr>
            <w:tcW w:type="dxa" w:w="469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Perturbation response delta T / delta(dT/dt)_rad; later radiative Jacobian eigenmodes</w:t>
            </w:r>
          </w:p>
        </w:tc>
        <w:tc>
          <w:tcPr>
            <w:tcW w:type="dxa" w:w="307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Thermal response and multirate design</w:t>
            </w:r>
          </w:p>
        </w:tc>
      </w:tr>
      <w:tr>
        <w:trPr>
          <w:cantSplit w:val="true"/>
        </w:trPr>
        <w:tc>
          <w:tcPr>
            <w:tcW w:type="dxa" w:w="1600"/>
            <w:vAlign w:val="center"/>
            <w:tcMar>
              <w:top w:w="80" w:type="dxa"/>
              <w:bottom w:w="80" w:type="dxa"/>
              <w:start w:w="120" w:type="dxa"/>
              <w:end w:w="120" w:type="dxa"/>
            </w:tcMar>
          </w:tcPr>
          <w:p>
            <w:pPr>
              <w:spacing w:before="0" w:after="0" w:line="259" w:lineRule="auto"/>
            </w:pPr>
            <w:r>
              <w:rPr>
                <w:rFonts w:ascii="Calibri" w:hAnsi="Calibri"/>
                <w:color w:val="000000"/>
                <w:sz w:val="17"/>
              </w:rPr>
              <w:t>Chemical time</w:t>
            </w:r>
          </w:p>
        </w:tc>
        <w:tc>
          <w:tcPr>
            <w:tcW w:type="dxa" w:w="4690"/>
            <w:vAlign w:val="center"/>
            <w:tcMar>
              <w:top w:w="80" w:type="dxa"/>
              <w:bottom w:w="80" w:type="dxa"/>
              <w:start w:w="120" w:type="dxa"/>
              <w:end w:w="120" w:type="dxa"/>
            </w:tcMar>
          </w:tcPr>
          <w:p>
            <w:pPr>
              <w:spacing w:before="0" w:after="0" w:line="259" w:lineRule="auto"/>
            </w:pPr>
            <w:r>
              <w:rPr>
                <w:rFonts w:ascii="Calibri" w:hAnsi="Calibri"/>
                <w:color w:val="000000"/>
                <w:sz w:val="17"/>
              </w:rPr>
              <w:t>Reaction/Jacobian eigenvalues or controlled species perturbation</w:t>
            </w:r>
          </w:p>
        </w:tc>
        <w:tc>
          <w:tcPr>
            <w:tcW w:type="dxa" w:w="3070"/>
            <w:vAlign w:val="center"/>
            <w:tcMar>
              <w:top w:w="80" w:type="dxa"/>
              <w:bottom w:w="80" w:type="dxa"/>
              <w:start w:w="120" w:type="dxa"/>
              <w:end w:w="120" w:type="dxa"/>
            </w:tcMar>
          </w:tcPr>
          <w:p>
            <w:pPr>
              <w:spacing w:before="0" w:after="0" w:line="259" w:lineRule="auto"/>
            </w:pPr>
            <w:r>
              <w:rPr>
                <w:rFonts w:ascii="Calibri" w:hAnsi="Calibri"/>
                <w:color w:val="000000"/>
                <w:sz w:val="17"/>
              </w:rPr>
              <w:t>Quenching and stiffness diagnosis</w:t>
            </w:r>
          </w:p>
        </w:tc>
      </w:tr>
      <w:tr>
        <w:trPr>
          <w:cantSplit w:val="true"/>
        </w:trPr>
        <w:tc>
          <w:tcPr>
            <w:tcW w:type="dxa" w:w="160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Coupling convergence</w:t>
            </w:r>
          </w:p>
        </w:tc>
        <w:tc>
          <w:tcPr>
            <w:tcW w:type="dxa" w:w="469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Outer iterations or block residual reduction</w:t>
            </w:r>
          </w:p>
        </w:tc>
        <w:tc>
          <w:tcPr>
            <w:tcW w:type="dxa" w:w="307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Numerical algorithm performance</w:t>
            </w:r>
          </w:p>
        </w:tc>
      </w:tr>
      <w:tr>
        <w:trPr>
          <w:cantSplit w:val="true"/>
        </w:trPr>
        <w:tc>
          <w:tcPr>
            <w:tcW w:type="dxa" w:w="1600"/>
            <w:vAlign w:val="center"/>
            <w:tcMar>
              <w:top w:w="80" w:type="dxa"/>
              <w:bottom w:w="80" w:type="dxa"/>
              <w:start w:w="120" w:type="dxa"/>
              <w:end w:w="120" w:type="dxa"/>
            </w:tcMar>
          </w:tcPr>
          <w:p>
            <w:pPr>
              <w:spacing w:before="0" w:after="0" w:line="259" w:lineRule="auto"/>
            </w:pPr>
            <w:r>
              <w:rPr>
                <w:rFonts w:ascii="Calibri" w:hAnsi="Calibri"/>
                <w:color w:val="000000"/>
                <w:sz w:val="17"/>
              </w:rPr>
              <w:t>Wall-clock time</w:t>
            </w:r>
          </w:p>
        </w:tc>
        <w:tc>
          <w:tcPr>
            <w:tcW w:type="dxa" w:w="4690"/>
            <w:vAlign w:val="center"/>
            <w:tcMar>
              <w:top w:w="80" w:type="dxa"/>
              <w:bottom w:w="80" w:type="dxa"/>
              <w:start w:w="120" w:type="dxa"/>
              <w:end w:w="120" w:type="dxa"/>
            </w:tcMar>
          </w:tcPr>
          <w:p>
            <w:pPr>
              <w:spacing w:before="0" w:after="0" w:line="259" w:lineRule="auto"/>
            </w:pPr>
            <w:r>
              <w:rPr>
                <w:rFonts w:ascii="Calibri" w:hAnsi="Calibri"/>
                <w:color w:val="000000"/>
                <w:sz w:val="17"/>
              </w:rPr>
              <w:t>Measured CPU/GPU seconds and call counts</w:t>
            </w:r>
          </w:p>
        </w:tc>
        <w:tc>
          <w:tcPr>
            <w:tcW w:type="dxa" w:w="3070"/>
            <w:vAlign w:val="center"/>
            <w:tcMar>
              <w:top w:w="80" w:type="dxa"/>
              <w:bottom w:w="80" w:type="dxa"/>
              <w:start w:w="120" w:type="dxa"/>
              <w:end w:w="120" w:type="dxa"/>
            </w:tcMar>
          </w:tcPr>
          <w:p>
            <w:pPr>
              <w:spacing w:before="0" w:after="0" w:line="259" w:lineRule="auto"/>
            </w:pPr>
            <w:r>
              <w:rPr>
                <w:rFonts w:ascii="Calibri" w:hAnsi="Calibri"/>
                <w:color w:val="000000"/>
                <w:sz w:val="17"/>
              </w:rPr>
              <w:t>Computational cost</w:t>
            </w:r>
          </w:p>
        </w:tc>
      </w:tr>
    </w:tbl>
    <w:p>
      <w:pPr>
        <w:spacing w:after="20"/>
      </w:pPr>
    </w:p>
    <w:p>
      <w:r>
        <w:t>For the explicit MLT reference solver, begin with a diffusion-like stability estimate and a fractional-temperature limiter:</w:t>
      </w:r>
    </w:p>
    <w:p>
      <w:pPr>
        <w:pStyle w:val="Equation"/>
        <w:shd w:fill="F2F4F7"/>
      </w:pPr>
      <w:r>
        <w:t>dt_MLT &lt;= C min_i(Delta z_i² / K_H,i), with K_H ~ w ell; additionally enforce max_i |Delta T_i|/T_i &lt; epsilon_T.</w:t>
      </w:r>
    </w:p>
    <w:p>
      <w:r>
        <w:t>Use one global substep for neighbouring layers so a single interface flux is applied consistently to both adjacent control volumes. Local asynchronous timesteps require a deliberately conservative algorithm and are not part of Stage 1.</w:t>
      </w:r>
    </w:p>
    <w:p>
      <w:pPr>
        <w:pStyle w:val="Heading2"/>
      </w:pPr>
      <w:r>
        <w:t>Process-timescale experiments</w:t>
      </w:r>
    </w:p>
    <w:p>
      <w:pPr>
        <w:spacing w:after="80" w:line="300" w:lineRule="auto"/>
        <w:numPr>
          <w:ilvl w:val="0"/>
          <w:numId w:val="10"/>
        </w:numPr>
      </w:pPr>
      <w:r>
        <w:t>Convection: perturb entropy locally in a convective column and fit the decay of modes; compare with ell/w and Hp²/Kzz.</w:t>
      </w:r>
    </w:p>
    <w:p>
      <w:pPr>
        <w:spacing w:after="80" w:line="300" w:lineRule="auto"/>
        <w:numPr>
          <w:ilvl w:val="0"/>
          <w:numId w:val="10"/>
        </w:numPr>
      </w:pPr>
      <w:r>
        <w:t>Radiation: perturb one layer and broader vertical modes, recompute two-stream/HELIOS heating, and estimate the response matrix.</w:t>
      </w:r>
    </w:p>
    <w:p>
      <w:pPr>
        <w:spacing w:after="80" w:line="300" w:lineRule="auto"/>
        <w:numPr>
          <w:ilvl w:val="0"/>
          <w:numId w:val="10"/>
        </w:numPr>
      </w:pPr>
      <w:r>
        <w:t>Chemistry: perturb selected species around steady state and fit relaxation; compare with chemical Jacobian eigenvalues.</w:t>
      </w:r>
    </w:p>
    <w:p>
      <w:pPr>
        <w:spacing w:after="80" w:line="300" w:lineRule="auto"/>
        <w:numPr>
          <w:ilvl w:val="0"/>
          <w:numId w:val="10"/>
        </w:numPr>
      </w:pPr>
      <w:r>
        <w:t>Coupled system: perturb T or composition after Stage 10 and track cross-response without changing numerical tolerance.</w:t>
      </w:r>
    </w:p>
    <w:p>
      <w:pPr>
        <w:spacing w:after="80" w:line="300" w:lineRule="auto"/>
        <w:numPr>
          <w:ilvl w:val="0"/>
          <w:numId w:val="10"/>
        </w:numPr>
      </w:pPr>
      <w:r>
        <w:t>Quenching: locate where tau_chem(P) and tau_mix(P) cross, then verify against the full kinetic abundance profile.</w:t>
      </w:r>
    </w:p>
    <w:p>
      <w:pPr>
        <w:pStyle w:val="Heading2"/>
      </w:pPr>
      <w:r>
        <w:t>Radiative-versus-convective bottleneck experiment</w:t>
      </w:r>
    </w:p>
    <w:p>
      <w:r>
        <w:t>At Stage 4, report three separate answers: (1) which operator sets the smallest stable explicit substep, (2) which physical mode has the longest relaxation time, and (3) which operator consumes the most wall-clock time. Run radiation-only, convection-only and coupled cases from the same perturbed state. Log dt_rad, dt_MLT, residual reduction per call, number of calls, compilation time, steady execution time and final solution error. The same operator need not dominate all three measures.</w:t>
      </w:r>
    </w:p>
    <w:p>
      <w:pPr>
        <w:pStyle w:val="Heading1"/>
      </w:pPr>
      <w:r>
        <w:t>8. Increasing calculation rate</w:t>
      </w:r>
    </w:p>
    <w:p>
      <w:r>
        <w:t>Optimisation should preserve the validated operator. Introduce accelerations in the following order, measuring solution error and wall time at each step.</w:t>
      </w:r>
    </w:p>
    <w:tbl>
      <w:tblPr>
        <w:tblStyle w:val="TableGrid"/>
        <w:tblW w:type="dxa" w:w="9360"/>
        <w:jc w:val="left"/>
        <w:tblLayout w:type="fixed"/>
        <w:tblLook w:firstColumn="1" w:firstRow="1" w:lastColumn="0" w:lastRow="0" w:noHBand="0" w:noVBand="1" w:val="04A0"/>
        <w:tblInd w:type="dxa" w:w="120"/>
      </w:tblPr>
      <w:tblGrid>
        <w:gridCol w:w="1050"/>
        <w:gridCol w:w="3000"/>
        <w:gridCol w:w="2350"/>
        <w:gridCol w:w="2960"/>
      </w:tblGrid>
      <w:tr>
        <w:trPr>
          <w:tblHeader w:val="true"/>
          <w:cantSplit w:val="true"/>
        </w:trPr>
        <w:tc>
          <w:tcPr>
            <w:tcW w:type="dxa" w:w="1050"/>
            <w:shd w:fill="E8EEF5"/>
            <w:vAlign w:val="center"/>
            <w:tcMar>
              <w:top w:w="80" w:type="dxa"/>
              <w:bottom w:w="80" w:type="dxa"/>
              <w:start w:w="120" w:type="dxa"/>
              <w:end w:w="120" w:type="dxa"/>
            </w:tcMar>
          </w:tcPr>
          <w:p>
            <w:pPr>
              <w:spacing w:before="0" w:after="0" w:line="252" w:lineRule="auto"/>
            </w:pPr>
            <w:r>
              <w:rPr>
                <w:rFonts w:ascii="Calibri" w:hAnsi="Calibri"/>
                <w:b/>
                <w:color w:val="0B2545"/>
                <w:sz w:val="15"/>
              </w:rPr>
              <w:t>Tier</w:t>
            </w:r>
          </w:p>
        </w:tc>
        <w:tc>
          <w:tcPr>
            <w:tcW w:type="dxa" w:w="3000"/>
            <w:shd w:fill="E8EEF5"/>
            <w:vAlign w:val="center"/>
            <w:tcMar>
              <w:top w:w="80" w:type="dxa"/>
              <w:bottom w:w="80" w:type="dxa"/>
              <w:start w:w="120" w:type="dxa"/>
              <w:end w:w="120" w:type="dxa"/>
            </w:tcMar>
          </w:tcPr>
          <w:p>
            <w:pPr>
              <w:spacing w:before="0" w:after="0" w:line="252" w:lineRule="auto"/>
            </w:pPr>
            <w:r>
              <w:rPr>
                <w:rFonts w:ascii="Calibri" w:hAnsi="Calibri"/>
                <w:b/>
                <w:color w:val="0B2545"/>
                <w:sz w:val="15"/>
              </w:rPr>
              <w:t>Method</w:t>
            </w:r>
          </w:p>
        </w:tc>
        <w:tc>
          <w:tcPr>
            <w:tcW w:type="dxa" w:w="2350"/>
            <w:shd w:fill="E8EEF5"/>
            <w:vAlign w:val="center"/>
            <w:tcMar>
              <w:top w:w="80" w:type="dxa"/>
              <w:bottom w:w="80" w:type="dxa"/>
              <w:start w:w="120" w:type="dxa"/>
              <w:end w:w="120" w:type="dxa"/>
            </w:tcMar>
          </w:tcPr>
          <w:p>
            <w:pPr>
              <w:spacing w:before="0" w:after="0" w:line="252" w:lineRule="auto"/>
            </w:pPr>
            <w:r>
              <w:rPr>
                <w:rFonts w:ascii="Calibri" w:hAnsi="Calibri"/>
                <w:b/>
                <w:color w:val="0B2545"/>
                <w:sz w:val="15"/>
              </w:rPr>
              <w:t>Expected value</w:t>
            </w:r>
          </w:p>
        </w:tc>
        <w:tc>
          <w:tcPr>
            <w:tcW w:type="dxa" w:w="2960"/>
            <w:shd w:fill="E8EEF5"/>
            <w:vAlign w:val="center"/>
            <w:tcMar>
              <w:top w:w="80" w:type="dxa"/>
              <w:bottom w:w="80" w:type="dxa"/>
              <w:start w:w="120" w:type="dxa"/>
              <w:end w:w="120" w:type="dxa"/>
            </w:tcMar>
          </w:tcPr>
          <w:p>
            <w:pPr>
              <w:spacing w:before="0" w:after="0" w:line="252" w:lineRule="auto"/>
            </w:pPr>
            <w:r>
              <w:rPr>
                <w:rFonts w:ascii="Calibri" w:hAnsi="Calibri"/>
                <w:b/>
                <w:color w:val="0B2545"/>
                <w:sz w:val="15"/>
              </w:rPr>
              <w:t>Primary risk / required check</w:t>
            </w:r>
          </w:p>
        </w:tc>
      </w:tr>
      <w:tr>
        <w:trPr>
          <w:cantSplit w:val="true"/>
        </w:trPr>
        <w:tc>
          <w:tcPr>
            <w:tcW w:type="dxa" w:w="1050"/>
            <w:vAlign w:val="center"/>
            <w:tcMar>
              <w:top w:w="80" w:type="dxa"/>
              <w:bottom w:w="80" w:type="dxa"/>
              <w:start w:w="120" w:type="dxa"/>
              <w:end w:w="120" w:type="dxa"/>
            </w:tcMar>
          </w:tcPr>
          <w:p>
            <w:pPr>
              <w:spacing w:before="0" w:after="0" w:line="259" w:lineRule="auto"/>
            </w:pPr>
            <w:r>
              <w:rPr>
                <w:rFonts w:ascii="Calibri" w:hAnsi="Calibri"/>
                <w:color w:val="000000"/>
                <w:sz w:val="15"/>
              </w:rPr>
              <w:t>A. Reference</w:t>
            </w:r>
          </w:p>
        </w:tc>
        <w:tc>
          <w:tcPr>
            <w:tcW w:type="dxa" w:w="3000"/>
            <w:vAlign w:val="center"/>
            <w:tcMar>
              <w:top w:w="80" w:type="dxa"/>
              <w:bottom w:w="80" w:type="dxa"/>
              <w:start w:w="120" w:type="dxa"/>
              <w:end w:w="120" w:type="dxa"/>
            </w:tcMar>
          </w:tcPr>
          <w:p>
            <w:pPr>
              <w:spacing w:before="0" w:after="0" w:line="259" w:lineRule="auto"/>
            </w:pPr>
            <w:r>
              <w:rPr>
                <w:rFonts w:ascii="Calibri" w:hAnsi="Calibri"/>
                <w:color w:val="000000"/>
                <w:sz w:val="15"/>
              </w:rPr>
              <w:t>Vectorised NumPy; Thomas + sweep/dense transfer references; explicit global dt</w:t>
            </w:r>
          </w:p>
        </w:tc>
        <w:tc>
          <w:tcPr>
            <w:tcW w:type="dxa" w:w="2350"/>
            <w:vAlign w:val="center"/>
            <w:tcMar>
              <w:top w:w="80" w:type="dxa"/>
              <w:bottom w:w="80" w:type="dxa"/>
              <w:start w:w="120" w:type="dxa"/>
              <w:end w:w="120" w:type="dxa"/>
            </w:tcMar>
          </w:tcPr>
          <w:p>
            <w:pPr>
              <w:spacing w:before="0" w:after="0" w:line="259" w:lineRule="auto"/>
            </w:pPr>
            <w:r>
              <w:rPr>
                <w:rFonts w:ascii="Calibri" w:hAnsi="Calibri"/>
                <w:color w:val="000000"/>
                <w:sz w:val="15"/>
              </w:rPr>
              <w:t>Transparent baseline and profiling</w:t>
            </w:r>
          </w:p>
        </w:tc>
        <w:tc>
          <w:tcPr>
            <w:tcW w:type="dxa" w:w="2960"/>
            <w:vAlign w:val="center"/>
            <w:tcMar>
              <w:top w:w="80" w:type="dxa"/>
              <w:bottom w:w="80" w:type="dxa"/>
              <w:start w:w="120" w:type="dxa"/>
              <w:end w:w="120" w:type="dxa"/>
            </w:tcMar>
          </w:tcPr>
          <w:p>
            <w:pPr>
              <w:spacing w:before="0" w:after="0" w:line="259" w:lineRule="auto"/>
            </w:pPr>
            <w:r>
              <w:rPr>
                <w:rFonts w:ascii="Calibri" w:hAnsi="Calibri"/>
                <w:color w:val="000000"/>
                <w:sz w:val="15"/>
              </w:rPr>
              <w:t>Small stable dt; verify call-level conservation</w:t>
            </w:r>
          </w:p>
        </w:tc>
      </w:tr>
      <w:tr>
        <w:trPr>
          <w:cantSplit w:val="true"/>
        </w:trPr>
        <w:tc>
          <w:tcPr>
            <w:tcW w:type="dxa" w:w="1050"/>
            <w:vAlign w:val="center"/>
            <w:shd w:fill="FAFBFC"/>
            <w:tcMar>
              <w:top w:w="80" w:type="dxa"/>
              <w:bottom w:w="80" w:type="dxa"/>
              <w:start w:w="120" w:type="dxa"/>
              <w:end w:w="120" w:type="dxa"/>
            </w:tcMar>
          </w:tcPr>
          <w:p>
            <w:pPr>
              <w:spacing w:before="0" w:after="0" w:line="259" w:lineRule="auto"/>
            </w:pPr>
            <w:r>
              <w:rPr>
                <w:rFonts w:ascii="Calibri" w:hAnsi="Calibri"/>
                <w:color w:val="000000"/>
                <w:sz w:val="15"/>
              </w:rPr>
              <w:t>B. Spectral</w:t>
            </w:r>
          </w:p>
        </w:tc>
        <w:tc>
          <w:tcPr>
            <w:tcW w:type="dxa" w:w="3000"/>
            <w:vAlign w:val="center"/>
            <w:shd w:fill="FAFBFC"/>
            <w:tcMar>
              <w:top w:w="80" w:type="dxa"/>
              <w:bottom w:w="80" w:type="dxa"/>
              <w:start w:w="120" w:type="dxa"/>
              <w:end w:w="120" w:type="dxa"/>
            </w:tcMar>
          </w:tcPr>
          <w:p>
            <w:pPr>
              <w:spacing w:before="0" w:after="0" w:line="259" w:lineRule="auto"/>
            </w:pPr>
            <w:r>
              <w:rPr>
                <w:rFonts w:ascii="Calibri" w:hAnsi="Calibri"/>
                <w:color w:val="000000"/>
                <w:sz w:val="15"/>
              </w:rPr>
              <w:t>JAX jit/vmap; batched tridiagonal solves over wavelengths/g-points; float64 parity</w:t>
            </w:r>
          </w:p>
        </w:tc>
        <w:tc>
          <w:tcPr>
            <w:tcW w:type="dxa" w:w="2350"/>
            <w:vAlign w:val="center"/>
            <w:shd w:fill="FAFBFC"/>
            <w:tcMar>
              <w:top w:w="80" w:type="dxa"/>
              <w:bottom w:w="80" w:type="dxa"/>
              <w:start w:w="120" w:type="dxa"/>
              <w:end w:w="120" w:type="dxa"/>
            </w:tcMar>
          </w:tcPr>
          <w:p>
            <w:pPr>
              <w:spacing w:before="0" w:after="0" w:line="259" w:lineRule="auto"/>
            </w:pPr>
            <w:r>
              <w:rPr>
                <w:rFonts w:ascii="Calibri" w:hAnsi="Calibri"/>
                <w:color w:val="000000"/>
                <w:sz w:val="15"/>
              </w:rPr>
              <w:t>Compiled high-throughput radiation</w:t>
            </w:r>
          </w:p>
        </w:tc>
        <w:tc>
          <w:tcPr>
            <w:tcW w:type="dxa" w:w="2960"/>
            <w:vAlign w:val="center"/>
            <w:shd w:fill="FAFBFC"/>
            <w:tcMar>
              <w:top w:w="80" w:type="dxa"/>
              <w:bottom w:w="80" w:type="dxa"/>
              <w:start w:w="120" w:type="dxa"/>
              <w:end w:w="120" w:type="dxa"/>
            </w:tcMar>
          </w:tcPr>
          <w:p>
            <w:pPr>
              <w:spacing w:before="0" w:after="0" w:line="259" w:lineRule="auto"/>
            </w:pPr>
            <w:r>
              <w:rPr>
                <w:rFonts w:ascii="Calibri" w:hAnsi="Calibri"/>
                <w:color w:val="000000"/>
                <w:sz w:val="15"/>
              </w:rPr>
              <w:t>Compilation overhead, batch size and precision</w:t>
            </w:r>
          </w:p>
        </w:tc>
      </w:tr>
      <w:tr>
        <w:trPr>
          <w:cantSplit w:val="true"/>
        </w:trPr>
        <w:tc>
          <w:tcPr>
            <w:tcW w:type="dxa" w:w="1050"/>
            <w:vAlign w:val="center"/>
            <w:tcMar>
              <w:top w:w="80" w:type="dxa"/>
              <w:bottom w:w="80" w:type="dxa"/>
              <w:start w:w="120" w:type="dxa"/>
              <w:end w:w="120" w:type="dxa"/>
            </w:tcMar>
          </w:tcPr>
          <w:p>
            <w:pPr>
              <w:spacing w:before="0" w:after="0" w:line="259" w:lineRule="auto"/>
            </w:pPr>
            <w:r>
              <w:rPr>
                <w:rFonts w:ascii="Calibri" w:hAnsi="Calibri"/>
                <w:color w:val="000000"/>
                <w:sz w:val="15"/>
              </w:rPr>
              <w:t>C. Safe local</w:t>
            </w:r>
          </w:p>
        </w:tc>
        <w:tc>
          <w:tcPr>
            <w:tcW w:type="dxa" w:w="3000"/>
            <w:vAlign w:val="center"/>
            <w:tcMar>
              <w:top w:w="80" w:type="dxa"/>
              <w:bottom w:w="80" w:type="dxa"/>
              <w:start w:w="120" w:type="dxa"/>
              <w:end w:w="120" w:type="dxa"/>
            </w:tcMar>
          </w:tcPr>
          <w:p>
            <w:pPr>
              <w:spacing w:before="0" w:after="0" w:line="259" w:lineRule="auto"/>
            </w:pPr>
            <w:r>
              <w:rPr>
                <w:rFonts w:ascii="Calibri" w:hAnsi="Calibri"/>
                <w:color w:val="000000"/>
                <w:sz w:val="15"/>
              </w:rPr>
              <w:t>Adaptive global dt, event-aware stopping, reuse opacity when state change is bounded</w:t>
            </w:r>
          </w:p>
        </w:tc>
        <w:tc>
          <w:tcPr>
            <w:tcW w:type="dxa" w:w="2350"/>
            <w:vAlign w:val="center"/>
            <w:tcMar>
              <w:top w:w="80" w:type="dxa"/>
              <w:bottom w:w="80" w:type="dxa"/>
              <w:start w:w="120" w:type="dxa"/>
              <w:end w:w="120" w:type="dxa"/>
            </w:tcMar>
          </w:tcPr>
          <w:p>
            <w:pPr>
              <w:spacing w:before="0" w:after="0" w:line="259" w:lineRule="auto"/>
            </w:pPr>
            <w:r>
              <w:rPr>
                <w:rFonts w:ascii="Calibri" w:hAnsi="Calibri"/>
                <w:color w:val="000000"/>
                <w:sz w:val="15"/>
              </w:rPr>
              <w:t>Fewer unnecessary steps/evaluations</w:t>
            </w:r>
          </w:p>
        </w:tc>
        <w:tc>
          <w:tcPr>
            <w:tcW w:type="dxa" w:w="2960"/>
            <w:vAlign w:val="center"/>
            <w:tcMar>
              <w:top w:w="80" w:type="dxa"/>
              <w:bottom w:w="80" w:type="dxa"/>
              <w:start w:w="120" w:type="dxa"/>
              <w:end w:w="120" w:type="dxa"/>
            </w:tcMar>
          </w:tcPr>
          <w:p>
            <w:pPr>
              <w:spacing w:before="0" w:after="0" w:line="259" w:lineRule="auto"/>
            </w:pPr>
            <w:r>
              <w:rPr>
                <w:rFonts w:ascii="Calibri" w:hAnsi="Calibri"/>
                <w:color w:val="000000"/>
                <w:sz w:val="15"/>
              </w:rPr>
              <w:t>Cache invalidation and tolerance dependence</w:t>
            </w:r>
          </w:p>
        </w:tc>
      </w:tr>
      <w:tr>
        <w:trPr>
          <w:cantSplit w:val="true"/>
        </w:trPr>
        <w:tc>
          <w:tcPr>
            <w:tcW w:type="dxa" w:w="1050"/>
            <w:vAlign w:val="center"/>
            <w:shd w:fill="FAFBFC"/>
            <w:tcMar>
              <w:top w:w="80" w:type="dxa"/>
              <w:bottom w:w="80" w:type="dxa"/>
              <w:start w:w="120" w:type="dxa"/>
              <w:end w:w="120" w:type="dxa"/>
            </w:tcMar>
          </w:tcPr>
          <w:p>
            <w:pPr>
              <w:spacing w:before="0" w:after="0" w:line="259" w:lineRule="auto"/>
            </w:pPr>
            <w:r>
              <w:rPr>
                <w:rFonts w:ascii="Calibri" w:hAnsi="Calibri"/>
                <w:color w:val="000000"/>
                <w:sz w:val="15"/>
              </w:rPr>
              <w:t>D. Convective</w:t>
            </w:r>
          </w:p>
        </w:tc>
        <w:tc>
          <w:tcPr>
            <w:tcW w:type="dxa" w:w="3000"/>
            <w:vAlign w:val="center"/>
            <w:shd w:fill="FAFBFC"/>
            <w:tcMar>
              <w:top w:w="80" w:type="dxa"/>
              <w:bottom w:w="80" w:type="dxa"/>
              <w:start w:w="120" w:type="dxa"/>
              <w:end w:w="120" w:type="dxa"/>
            </w:tcMar>
          </w:tcPr>
          <w:p>
            <w:pPr>
              <w:spacing w:before="0" w:after="0" w:line="259" w:lineRule="auto"/>
            </w:pPr>
            <w:r>
              <w:rPr>
                <w:rFonts w:ascii="Calibri" w:hAnsi="Calibri"/>
                <w:color w:val="000000"/>
                <w:sz w:val="15"/>
              </w:rPr>
              <w:t>Semi-implicit nonlinear diffusion or backward Euler with Newton/Picard</w:t>
            </w:r>
          </w:p>
        </w:tc>
        <w:tc>
          <w:tcPr>
            <w:tcW w:type="dxa" w:w="2350"/>
            <w:vAlign w:val="center"/>
            <w:shd w:fill="FAFBFC"/>
            <w:tcMar>
              <w:top w:w="80" w:type="dxa"/>
              <w:bottom w:w="80" w:type="dxa"/>
              <w:start w:w="120" w:type="dxa"/>
              <w:end w:w="120" w:type="dxa"/>
            </w:tcMar>
          </w:tcPr>
          <w:p>
            <w:pPr>
              <w:spacing w:before="0" w:after="0" w:line="259" w:lineRule="auto"/>
            </w:pPr>
            <w:r>
              <w:rPr>
                <w:rFonts w:ascii="Calibri" w:hAnsi="Calibri"/>
                <w:color w:val="000000"/>
                <w:sz w:val="15"/>
              </w:rPr>
              <w:t>Remove explicit MLT stability bottleneck</w:t>
            </w:r>
          </w:p>
        </w:tc>
        <w:tc>
          <w:tcPr>
            <w:tcW w:type="dxa" w:w="2960"/>
            <w:vAlign w:val="center"/>
            <w:shd w:fill="FAFBFC"/>
            <w:tcMar>
              <w:top w:w="80" w:type="dxa"/>
              <w:bottom w:w="80" w:type="dxa"/>
              <w:start w:w="120" w:type="dxa"/>
              <w:end w:w="120" w:type="dxa"/>
            </w:tcMar>
          </w:tcPr>
          <w:p>
            <w:pPr>
              <w:spacing w:before="0" w:after="0" w:line="259" w:lineRule="auto"/>
            </w:pPr>
            <w:r>
              <w:rPr>
                <w:rFonts w:ascii="Calibri" w:hAnsi="Calibri"/>
                <w:color w:val="000000"/>
                <w:sz w:val="15"/>
              </w:rPr>
              <w:t>Reproduce explicit equilibrium and conserve flux</w:t>
            </w:r>
          </w:p>
        </w:tc>
      </w:tr>
      <w:tr>
        <w:trPr>
          <w:cantSplit w:val="true"/>
        </w:trPr>
        <w:tc>
          <w:tcPr>
            <w:tcW w:type="dxa" w:w="1050"/>
            <w:vAlign w:val="center"/>
            <w:tcMar>
              <w:top w:w="80" w:type="dxa"/>
              <w:bottom w:w="80" w:type="dxa"/>
              <w:start w:w="120" w:type="dxa"/>
              <w:end w:w="120" w:type="dxa"/>
            </w:tcMar>
          </w:tcPr>
          <w:p>
            <w:pPr>
              <w:spacing w:before="0" w:after="0" w:line="259" w:lineRule="auto"/>
            </w:pPr>
            <w:r>
              <w:rPr>
                <w:rFonts w:ascii="Calibri" w:hAnsi="Calibri"/>
                <w:color w:val="000000"/>
                <w:sz w:val="15"/>
              </w:rPr>
              <w:t>E. Full RCE</w:t>
            </w:r>
          </w:p>
        </w:tc>
        <w:tc>
          <w:tcPr>
            <w:tcW w:type="dxa" w:w="3000"/>
            <w:vAlign w:val="center"/>
            <w:tcMar>
              <w:top w:w="80" w:type="dxa"/>
              <w:bottom w:w="80" w:type="dxa"/>
              <w:start w:w="120" w:type="dxa"/>
              <w:end w:w="120" w:type="dxa"/>
            </w:tcMar>
          </w:tcPr>
          <w:p>
            <w:pPr>
              <w:spacing w:before="0" w:after="0" w:line="259" w:lineRule="auto"/>
            </w:pPr>
            <w:r>
              <w:rPr>
                <w:rFonts w:ascii="Calibri" w:hAnsi="Calibri"/>
                <w:color w:val="000000"/>
                <w:sz w:val="15"/>
              </w:rPr>
              <w:t>Direct residual solve with Newton/LM, line search, clipping and continuation</w:t>
            </w:r>
          </w:p>
        </w:tc>
        <w:tc>
          <w:tcPr>
            <w:tcW w:type="dxa" w:w="2350"/>
            <w:vAlign w:val="center"/>
            <w:tcMar>
              <w:top w:w="80" w:type="dxa"/>
              <w:bottom w:w="80" w:type="dxa"/>
              <w:start w:w="120" w:type="dxa"/>
              <w:end w:w="120" w:type="dxa"/>
            </w:tcMar>
          </w:tcPr>
          <w:p>
            <w:pPr>
              <w:spacing w:before="0" w:after="0" w:line="259" w:lineRule="auto"/>
            </w:pPr>
            <w:r>
              <w:rPr>
                <w:rFonts w:ascii="Calibri" w:hAnsi="Calibri"/>
                <w:color w:val="000000"/>
                <w:sz w:val="15"/>
              </w:rPr>
              <w:t>Avoid slow evolution through long radiative times</w:t>
            </w:r>
          </w:p>
        </w:tc>
        <w:tc>
          <w:tcPr>
            <w:tcW w:type="dxa" w:w="2960"/>
            <w:vAlign w:val="center"/>
            <w:tcMar>
              <w:top w:w="80" w:type="dxa"/>
              <w:bottom w:w="80" w:type="dxa"/>
              <w:start w:w="120" w:type="dxa"/>
              <w:end w:w="120" w:type="dxa"/>
            </w:tcMar>
          </w:tcPr>
          <w:p>
            <w:pPr>
              <w:spacing w:before="0" w:after="0" w:line="259" w:lineRule="auto"/>
            </w:pPr>
            <w:r>
              <w:rPr>
                <w:rFonts w:ascii="Calibri" w:hAnsi="Calibri"/>
                <w:color w:val="000000"/>
                <w:sz w:val="15"/>
              </w:rPr>
              <w:t>Non-convexity, initial profiles, Jacobian cost</w:t>
            </w:r>
          </w:p>
        </w:tc>
      </w:tr>
      <w:tr>
        <w:trPr>
          <w:cantSplit w:val="true"/>
        </w:trPr>
        <w:tc>
          <w:tcPr>
            <w:tcW w:type="dxa" w:w="1050"/>
            <w:vAlign w:val="center"/>
            <w:shd w:fill="FAFBFC"/>
            <w:tcMar>
              <w:top w:w="80" w:type="dxa"/>
              <w:bottom w:w="80" w:type="dxa"/>
              <w:start w:w="120" w:type="dxa"/>
              <w:end w:w="120" w:type="dxa"/>
            </w:tcMar>
          </w:tcPr>
          <w:p>
            <w:pPr>
              <w:spacing w:before="0" w:after="0" w:line="259" w:lineRule="auto"/>
            </w:pPr>
            <w:r>
              <w:rPr>
                <w:rFonts w:ascii="Calibri" w:hAnsi="Calibri"/>
                <w:color w:val="000000"/>
                <w:sz w:val="15"/>
              </w:rPr>
              <w:t>F. Jacobian</w:t>
            </w:r>
          </w:p>
        </w:tc>
        <w:tc>
          <w:tcPr>
            <w:tcW w:type="dxa" w:w="3000"/>
            <w:vAlign w:val="center"/>
            <w:shd w:fill="FAFBFC"/>
            <w:tcMar>
              <w:top w:w="80" w:type="dxa"/>
              <w:bottom w:w="80" w:type="dxa"/>
              <w:start w:w="120" w:type="dxa"/>
              <w:end w:w="120" w:type="dxa"/>
            </w:tcMar>
          </w:tcPr>
          <w:p>
            <w:pPr>
              <w:spacing w:before="0" w:after="0" w:line="259" w:lineRule="auto"/>
            </w:pPr>
            <w:r>
              <w:rPr>
                <w:rFonts w:ascii="Calibri" w:hAnsi="Calibri"/>
                <w:color w:val="000000"/>
                <w:sz w:val="15"/>
              </w:rPr>
              <w:t>Structured analytic or JAX automatic derivatives; JFNK/preconditioning</w:t>
            </w:r>
          </w:p>
        </w:tc>
        <w:tc>
          <w:tcPr>
            <w:tcW w:type="dxa" w:w="2350"/>
            <w:vAlign w:val="center"/>
            <w:shd w:fill="FAFBFC"/>
            <w:tcMar>
              <w:top w:w="80" w:type="dxa"/>
              <w:bottom w:w="80" w:type="dxa"/>
              <w:start w:w="120" w:type="dxa"/>
              <w:end w:w="120" w:type="dxa"/>
            </w:tcMar>
          </w:tcPr>
          <w:p>
            <w:pPr>
              <w:spacing w:before="0" w:after="0" w:line="259" w:lineRule="auto"/>
            </w:pPr>
            <w:r>
              <w:rPr>
                <w:rFonts w:ascii="Calibri" w:hAnsi="Calibri"/>
                <w:color w:val="000000"/>
                <w:sz w:val="15"/>
              </w:rPr>
              <w:t>Better scaling with N and variables</w:t>
            </w:r>
          </w:p>
        </w:tc>
        <w:tc>
          <w:tcPr>
            <w:tcW w:type="dxa" w:w="2960"/>
            <w:vAlign w:val="center"/>
            <w:shd w:fill="FAFBFC"/>
            <w:tcMar>
              <w:top w:w="80" w:type="dxa"/>
              <w:bottom w:w="80" w:type="dxa"/>
              <w:start w:w="120" w:type="dxa"/>
              <w:end w:w="120" w:type="dxa"/>
            </w:tcMar>
          </w:tcPr>
          <w:p>
            <w:pPr>
              <w:spacing w:before="0" w:after="0" w:line="259" w:lineRule="auto"/>
            </w:pPr>
            <w:r>
              <w:rPr>
                <w:rFonts w:ascii="Calibri" w:hAnsi="Calibri"/>
                <w:color w:val="000000"/>
                <w:sz w:val="15"/>
              </w:rPr>
              <w:t>Derivative correctness and memory</w:t>
            </w:r>
          </w:p>
        </w:tc>
      </w:tr>
      <w:tr>
        <w:trPr>
          <w:cantSplit w:val="true"/>
        </w:trPr>
        <w:tc>
          <w:tcPr>
            <w:tcW w:type="dxa" w:w="1050"/>
            <w:vAlign w:val="center"/>
            <w:tcMar>
              <w:top w:w="80" w:type="dxa"/>
              <w:bottom w:w="80" w:type="dxa"/>
              <w:start w:w="120" w:type="dxa"/>
              <w:end w:w="120" w:type="dxa"/>
            </w:tcMar>
          </w:tcPr>
          <w:p>
            <w:pPr>
              <w:spacing w:before="0" w:after="0" w:line="259" w:lineRule="auto"/>
            </w:pPr>
            <w:r>
              <w:rPr>
                <w:rFonts w:ascii="Calibri" w:hAnsi="Calibri"/>
                <w:color w:val="000000"/>
                <w:sz w:val="15"/>
              </w:rPr>
              <w:t>G. Coupling</w:t>
            </w:r>
          </w:p>
        </w:tc>
        <w:tc>
          <w:tcPr>
            <w:tcW w:type="dxa" w:w="3000"/>
            <w:vAlign w:val="center"/>
            <w:tcMar>
              <w:top w:w="80" w:type="dxa"/>
              <w:bottom w:w="80" w:type="dxa"/>
              <w:start w:w="120" w:type="dxa"/>
              <w:end w:w="120" w:type="dxa"/>
            </w:tcMar>
          </w:tcPr>
          <w:p>
            <w:pPr>
              <w:spacing w:before="0" w:after="0" w:line="259" w:lineRule="auto"/>
            </w:pPr>
            <w:r>
              <w:rPr>
                <w:rFonts w:ascii="Calibri" w:hAnsi="Calibri"/>
                <w:color w:val="000000"/>
                <w:sz w:val="15"/>
              </w:rPr>
              <w:t>Block Gauss–Seidel, under-relaxation, Anderson acceleration, selective opacity refresh</w:t>
            </w:r>
          </w:p>
        </w:tc>
        <w:tc>
          <w:tcPr>
            <w:tcW w:type="dxa" w:w="2350"/>
            <w:vAlign w:val="center"/>
            <w:tcMar>
              <w:top w:w="80" w:type="dxa"/>
              <w:bottom w:w="80" w:type="dxa"/>
              <w:start w:w="120" w:type="dxa"/>
              <w:end w:w="120" w:type="dxa"/>
            </w:tcMar>
          </w:tcPr>
          <w:p>
            <w:pPr>
              <w:spacing w:before="0" w:after="0" w:line="259" w:lineRule="auto"/>
            </w:pPr>
            <w:r>
              <w:rPr>
                <w:rFonts w:ascii="Calibri" w:hAnsi="Calibri"/>
                <w:color w:val="000000"/>
                <w:sz w:val="15"/>
              </w:rPr>
              <w:t>Fewer outer iterations</w:t>
            </w:r>
          </w:p>
        </w:tc>
        <w:tc>
          <w:tcPr>
            <w:tcW w:type="dxa" w:w="2960"/>
            <w:vAlign w:val="center"/>
            <w:tcMar>
              <w:top w:w="80" w:type="dxa"/>
              <w:bottom w:w="80" w:type="dxa"/>
              <w:start w:w="120" w:type="dxa"/>
              <w:end w:w="120" w:type="dxa"/>
            </w:tcMar>
          </w:tcPr>
          <w:p>
            <w:pPr>
              <w:spacing w:before="0" w:after="0" w:line="259" w:lineRule="auto"/>
            </w:pPr>
            <w:r>
              <w:rPr>
                <w:rFonts w:ascii="Calibri" w:hAnsi="Calibri"/>
                <w:color w:val="000000"/>
                <w:sz w:val="15"/>
              </w:rPr>
              <w:t>False convergence of one block</w:t>
            </w:r>
          </w:p>
        </w:tc>
      </w:tr>
      <w:tr>
        <w:trPr>
          <w:cantSplit w:val="true"/>
        </w:trPr>
        <w:tc>
          <w:tcPr>
            <w:tcW w:type="dxa" w:w="1050"/>
            <w:vAlign w:val="center"/>
            <w:shd w:fill="FAFBFC"/>
            <w:tcMar>
              <w:top w:w="80" w:type="dxa"/>
              <w:bottom w:w="80" w:type="dxa"/>
              <w:start w:w="120" w:type="dxa"/>
              <w:end w:w="120" w:type="dxa"/>
            </w:tcMar>
          </w:tcPr>
          <w:p>
            <w:pPr>
              <w:spacing w:before="0" w:after="0" w:line="259" w:lineRule="auto"/>
            </w:pPr>
            <w:r>
              <w:rPr>
                <w:rFonts w:ascii="Calibri" w:hAnsi="Calibri"/>
                <w:color w:val="000000"/>
                <w:sz w:val="15"/>
              </w:rPr>
              <w:t>H. Hardware</w:t>
            </w:r>
          </w:p>
        </w:tc>
        <w:tc>
          <w:tcPr>
            <w:tcW w:type="dxa" w:w="3000"/>
            <w:vAlign w:val="center"/>
            <w:shd w:fill="FAFBFC"/>
            <w:tcMar>
              <w:top w:w="80" w:type="dxa"/>
              <w:bottom w:w="80" w:type="dxa"/>
              <w:start w:w="120" w:type="dxa"/>
              <w:end w:w="120" w:type="dxa"/>
            </w:tcMar>
          </w:tcPr>
          <w:p>
            <w:pPr>
              <w:spacing w:before="0" w:after="0" w:line="259" w:lineRule="auto"/>
            </w:pPr>
            <w:r>
              <w:rPr>
                <w:rFonts w:ascii="Calibri" w:hAnsi="Calibri"/>
                <w:color w:val="000000"/>
                <w:sz w:val="15"/>
              </w:rPr>
              <w:t>Fuse flux/divergence kernels; parallel spectral and parameter sweeps</w:t>
            </w:r>
          </w:p>
        </w:tc>
        <w:tc>
          <w:tcPr>
            <w:tcW w:type="dxa" w:w="2350"/>
            <w:vAlign w:val="center"/>
            <w:shd w:fill="FAFBFC"/>
            <w:tcMar>
              <w:top w:w="80" w:type="dxa"/>
              <w:bottom w:w="80" w:type="dxa"/>
              <w:start w:w="120" w:type="dxa"/>
              <w:end w:w="120" w:type="dxa"/>
            </w:tcMar>
          </w:tcPr>
          <w:p>
            <w:pPr>
              <w:spacing w:before="0" w:after="0" w:line="259" w:lineRule="auto"/>
            </w:pPr>
            <w:r>
              <w:rPr>
                <w:rFonts w:ascii="Calibri" w:hAnsi="Calibri"/>
                <w:color w:val="000000"/>
                <w:sz w:val="15"/>
              </w:rPr>
              <w:t>High throughput after validation</w:t>
            </w:r>
          </w:p>
        </w:tc>
        <w:tc>
          <w:tcPr>
            <w:tcW w:type="dxa" w:w="2960"/>
            <w:vAlign w:val="center"/>
            <w:shd w:fill="FAFBFC"/>
            <w:tcMar>
              <w:top w:w="80" w:type="dxa"/>
              <w:bottom w:w="80" w:type="dxa"/>
              <w:start w:w="120" w:type="dxa"/>
              <w:end w:w="120" w:type="dxa"/>
            </w:tcMar>
          </w:tcPr>
          <w:p>
            <w:pPr>
              <w:spacing w:before="0" w:after="0" w:line="259" w:lineRule="auto"/>
            </w:pPr>
            <w:r>
              <w:rPr>
                <w:rFonts w:ascii="Calibri" w:hAnsi="Calibri"/>
                <w:color w:val="000000"/>
                <w:sz w:val="15"/>
              </w:rPr>
              <w:t>Transfer overhead and backend divergence</w:t>
            </w:r>
          </w:p>
        </w:tc>
      </w:tr>
      <w:tr>
        <w:trPr>
          <w:cantSplit w:val="true"/>
        </w:trPr>
        <w:tc>
          <w:tcPr>
            <w:tcW w:type="dxa" w:w="1050"/>
            <w:vAlign w:val="center"/>
            <w:tcMar>
              <w:top w:w="80" w:type="dxa"/>
              <w:bottom w:w="80" w:type="dxa"/>
              <w:start w:w="120" w:type="dxa"/>
              <w:end w:w="120" w:type="dxa"/>
            </w:tcMar>
          </w:tcPr>
          <w:p>
            <w:pPr>
              <w:spacing w:before="0" w:after="0" w:line="259" w:lineRule="auto"/>
            </w:pPr>
            <w:r>
              <w:rPr>
                <w:rFonts w:ascii="Calibri" w:hAnsi="Calibri"/>
                <w:color w:val="000000"/>
                <w:sz w:val="15"/>
              </w:rPr>
              <w:t>I. Surrogates</w:t>
            </w:r>
          </w:p>
        </w:tc>
        <w:tc>
          <w:tcPr>
            <w:tcW w:type="dxa" w:w="3000"/>
            <w:vAlign w:val="center"/>
            <w:tcMar>
              <w:top w:w="80" w:type="dxa"/>
              <w:bottom w:w="80" w:type="dxa"/>
              <w:start w:w="120" w:type="dxa"/>
              <w:end w:w="120" w:type="dxa"/>
            </w:tcMar>
          </w:tcPr>
          <w:p>
            <w:pPr>
              <w:spacing w:before="0" w:after="0" w:line="259" w:lineRule="auto"/>
            </w:pPr>
            <w:r>
              <w:rPr>
                <w:rFonts w:ascii="Calibri" w:hAnsi="Calibri"/>
                <w:color w:val="000000"/>
                <w:sz w:val="15"/>
              </w:rPr>
              <w:t>Reduced chemistry or emulators for repeated science grids</w:t>
            </w:r>
          </w:p>
        </w:tc>
        <w:tc>
          <w:tcPr>
            <w:tcW w:type="dxa" w:w="2350"/>
            <w:vAlign w:val="center"/>
            <w:tcMar>
              <w:top w:w="80" w:type="dxa"/>
              <w:bottom w:w="80" w:type="dxa"/>
              <w:start w:w="120" w:type="dxa"/>
              <w:end w:w="120" w:type="dxa"/>
            </w:tcMar>
          </w:tcPr>
          <w:p>
            <w:pPr>
              <w:spacing w:before="0" w:after="0" w:line="259" w:lineRule="auto"/>
            </w:pPr>
            <w:r>
              <w:rPr>
                <w:rFonts w:ascii="Calibri" w:hAnsi="Calibri"/>
                <w:color w:val="000000"/>
                <w:sz w:val="15"/>
              </w:rPr>
              <w:t>Production-scale studies</w:t>
            </w:r>
          </w:p>
        </w:tc>
        <w:tc>
          <w:tcPr>
            <w:tcW w:type="dxa" w:w="2960"/>
            <w:vAlign w:val="center"/>
            <w:tcMar>
              <w:top w:w="80" w:type="dxa"/>
              <w:bottom w:w="80" w:type="dxa"/>
              <w:start w:w="120" w:type="dxa"/>
              <w:end w:w="120" w:type="dxa"/>
            </w:tcMar>
          </w:tcPr>
          <w:p>
            <w:pPr>
              <w:spacing w:before="0" w:after="0" w:line="259" w:lineRule="auto"/>
            </w:pPr>
            <w:r>
              <w:rPr>
                <w:rFonts w:ascii="Calibri" w:hAnsi="Calibri"/>
                <w:color w:val="000000"/>
                <w:sz w:val="15"/>
              </w:rPr>
              <w:t>Validity domain and conservation loss</w:t>
            </w:r>
          </w:p>
        </w:tc>
      </w:tr>
    </w:tbl>
    <w:p>
      <w:pPr>
        <w:spacing w:after="20"/>
      </w:pPr>
    </w:p>
    <w:p>
      <w:pPr>
        <w:pStyle w:val="Heading2"/>
      </w:pPr>
      <w:r>
        <w:t>Recommended steady-solver path</w:t>
      </w:r>
    </w:p>
    <w:p>
      <w:pPr>
        <w:spacing w:after="80" w:line="300" w:lineRule="auto"/>
        <w:numPr>
          <w:ilvl w:val="0"/>
          <w:numId w:val="13"/>
        </w:numPr>
      </w:pPr>
      <w:r>
        <w:t>Retain forward Euler as the truth-maintaining transient reference.</w:t>
      </w:r>
    </w:p>
    <w:p>
      <w:pPr>
        <w:spacing w:after="80" w:line="300" w:lineRule="auto"/>
        <w:numPr>
          <w:ilvl w:val="0"/>
          <w:numId w:val="13"/>
        </w:numPr>
      </w:pPr>
      <w:r>
        <w:t>Retain NumPy Thomas, dense and directional-sweep radiative solutions as small-column references; compare every JAX kernel against them.</w:t>
      </w:r>
    </w:p>
    <w:p>
      <w:pPr>
        <w:spacing w:after="80" w:line="300" w:lineRule="auto"/>
        <w:numPr>
          <w:ilvl w:val="0"/>
          <w:numId w:val="13"/>
        </w:numPr>
      </w:pPr>
      <w:r>
        <w:t>Implement a conservative backward-Euler or semi-implicit convection-only step and compare against the reference.</w:t>
      </w:r>
    </w:p>
    <w:p>
      <w:pPr>
        <w:spacing w:after="80" w:line="300" w:lineRule="auto"/>
        <w:numPr>
          <w:ilvl w:val="0"/>
          <w:numId w:val="13"/>
        </w:numPr>
      </w:pPr>
      <w:r>
        <w:t>Form a steady residual from interface total-flux differences, following AGNI’s energy-conservation framing.</w:t>
      </w:r>
    </w:p>
    <w:p>
      <w:pPr>
        <w:spacing w:after="80" w:line="300" w:lineRule="auto"/>
        <w:numPr>
          <w:ilvl w:val="0"/>
          <w:numId w:val="13"/>
        </w:numPr>
      </w:pPr>
      <w:r>
        <w:t>Use line search and update clipping; apply continuation from grey → fixed production opacity → variable gas composition → phase change → scattering/cloud opacity.</w:t>
      </w:r>
    </w:p>
    <w:p>
      <w:pPr>
        <w:spacing w:after="80" w:line="300" w:lineRule="auto"/>
        <w:numPr>
          <w:ilvl w:val="0"/>
          <w:numId w:val="13"/>
        </w:numPr>
      </w:pPr>
      <w:r>
        <w:t>Exploit the local/banded structure of MLT and the nonlocal structure of radiation explicitly in the preconditioner.</w:t>
      </w:r>
    </w:p>
    <w:p>
      <w:pPr>
        <w:spacing w:after="80" w:line="300" w:lineRule="auto"/>
        <w:numPr>
          <w:ilvl w:val="0"/>
          <w:numId w:val="13"/>
        </w:numPr>
      </w:pPr>
      <w:r>
        <w:t>Profile before porting the new operator to the GPU; radiative transfer may remain the dominant cost.</w:t>
      </w:r>
    </w:p>
    <w:p>
      <w:pPr>
        <w:pStyle w:val="Heading2"/>
      </w:pPr>
      <w:r>
        <w:t>Performance benchmark record</w:t>
      </w:r>
    </w:p>
    <w:p>
      <w:r>
        <w:t>Every benchmark should log N, spectral points/bands, chemical species/reactions, hardware, precision, solver, iterations, rejected steps, radiation calls, chemistry calls, MLT calls, wall time, peak memory, final residuals, and solution error versus the reference.</w:t>
      </w:r>
    </w:p>
    <w:p>
      <w:pPr>
        <w:pStyle w:val="Heading1"/>
      </w:pPr>
      <w:r>
        <w:t>9. HELIOS–VULCAN coupling protocol</w:t>
      </w:r>
    </w:p>
    <w:p>
      <w:r>
        <w:t>Stage 7 is deliberately one way; Stage 10 activates sequential fixed-point feedback. A monolithic radiation–convection–chemistry Jacobian is a later optimisation, not the first integration target. Phase-change and surface modules are validated before the two-way gas-opacity loop, even though fully coupled condensing RCE is completed only after that loop exists.</w:t>
      </w:r>
    </w:p>
    <w:p>
      <w:pPr>
        <w:spacing w:after="80" w:line="300" w:lineRule="auto"/>
        <w:numPr>
          <w:ilvl w:val="0"/>
          <w:numId w:val="15"/>
        </w:numPr>
      </w:pPr>
      <w:r>
        <w:t>The fixed-composition RCE solver (project two-stream kernel and/or HELIOS comparison path) outputs centre T(P), thermodynamics, interface w, ell, Fconv and Kzz_conv.</w:t>
      </w:r>
    </w:p>
    <w:p>
      <w:pPr>
        <w:spacing w:after="80" w:line="300" w:lineRule="auto"/>
        <w:numPr>
          <w:ilvl w:val="0"/>
          <w:numId w:val="15"/>
        </w:numPr>
      </w:pPr>
      <w:r>
        <w:t>The adapter constructs total Kzz using the declared convective, overshoot, wave/background and floor components, then interpolates T and Kzz to VULCAN.</w:t>
      </w:r>
    </w:p>
    <w:p>
      <w:pPr>
        <w:spacing w:after="80" w:line="300" w:lineRule="auto"/>
        <w:numPr>
          <w:ilvl w:val="0"/>
          <w:numId w:val="15"/>
        </w:numPr>
      </w:pPr>
      <w:r>
        <w:t>In Stage 7, VULCAN integrates chemistry/photochemistry and returns diagnostic composition, but the RCE opacity and thermodynamics remain frozen.</w:t>
      </w:r>
    </w:p>
    <w:p>
      <w:pPr>
        <w:spacing w:after="80" w:line="300" w:lineRule="auto"/>
        <w:numPr>
          <w:ilvl w:val="0"/>
          <w:numId w:val="15"/>
        </w:numPr>
      </w:pPr>
      <w:r>
        <w:t>In Stage 10, a property layer computes updated mu, cp, nabla_ad, EOS quantities and gas-opacity inputs from VULCAN composition on the radiative grid.</w:t>
      </w:r>
    </w:p>
    <w:p>
      <w:pPr>
        <w:spacing w:after="80" w:line="300" w:lineRule="auto"/>
        <w:numPr>
          <w:ilvl w:val="0"/>
          <w:numId w:val="15"/>
        </w:numPr>
      </w:pPr>
      <w:r>
        <w:t>The RCE solver recomputes temperature and mixing. Under-relax temperature, composition or gas opacity if the outer loop oscillates.</w:t>
      </w:r>
    </w:p>
    <w:p>
      <w:pPr>
        <w:spacing w:after="80" w:line="300" w:lineRule="auto"/>
        <w:numPr>
          <w:ilvl w:val="0"/>
          <w:numId w:val="15"/>
        </w:numPr>
      </w:pPr>
      <w:r>
        <w:t>Stage 11 additionally activates the already validated phase-change reservoirs and latent-energy term; Stage 12 adds condensate/cloud opacity and scattering.</w:t>
      </w:r>
    </w:p>
    <w:p>
      <w:pPr>
        <w:spacing w:after="80" w:line="300" w:lineRule="auto"/>
        <w:numPr>
          <w:ilvl w:val="0"/>
          <w:numId w:val="15"/>
        </w:numPr>
      </w:pPr>
      <w:r>
        <w:t>Stop only when flux residuals, temperature changes, abundance changes, elemental budgets and opacity changes all satisfy their own criteria.</w:t>
      </w:r>
    </w:p>
    <w:tbl>
      <w:tblPr>
        <w:tblStyle w:val="TableGrid"/>
        <w:tblW w:type="dxa" w:w="9360"/>
        <w:jc w:val="left"/>
        <w:tblLayout w:type="fixed"/>
        <w:tblLook w:firstColumn="1" w:firstRow="1" w:lastColumn="0" w:lastRow="0" w:noHBand="0" w:noVBand="1" w:val="04A0"/>
        <w:tblInd w:type="dxa" w:w="120"/>
      </w:tblPr>
      <w:tblGrid>
        <w:gridCol w:w="2100"/>
        <w:gridCol w:w="2500"/>
        <w:gridCol w:w="4760"/>
      </w:tblGrid>
      <w:tr>
        <w:trPr>
          <w:tblHeader w:val="true"/>
          <w:cantSplit w:val="true"/>
        </w:trPr>
        <w:tc>
          <w:tcPr>
            <w:tcW w:type="dxa" w:w="2100"/>
            <w:shd w:fill="E8EEF5"/>
            <w:vAlign w:val="center"/>
            <w:tcMar>
              <w:top w:w="80" w:type="dxa"/>
              <w:bottom w:w="80" w:type="dxa"/>
              <w:start w:w="120" w:type="dxa"/>
              <w:end w:w="120" w:type="dxa"/>
            </w:tcMar>
          </w:tcPr>
          <w:p>
            <w:pPr>
              <w:spacing w:before="0" w:after="0" w:line="252" w:lineRule="auto"/>
            </w:pPr>
            <w:r>
              <w:rPr>
                <w:rFonts w:ascii="Calibri" w:hAnsi="Calibri"/>
                <w:b/>
                <w:color w:val="0B2545"/>
                <w:sz w:val="17"/>
              </w:rPr>
              <w:t>Exchange field</w:t>
            </w:r>
          </w:p>
        </w:tc>
        <w:tc>
          <w:tcPr>
            <w:tcW w:type="dxa" w:w="2500"/>
            <w:shd w:fill="E8EEF5"/>
            <w:vAlign w:val="center"/>
            <w:tcMar>
              <w:top w:w="80" w:type="dxa"/>
              <w:bottom w:w="80" w:type="dxa"/>
              <w:start w:w="120" w:type="dxa"/>
              <w:end w:w="120" w:type="dxa"/>
            </w:tcMar>
          </w:tcPr>
          <w:p>
            <w:pPr>
              <w:spacing w:before="0" w:after="0" w:line="252" w:lineRule="auto"/>
            </w:pPr>
            <w:r>
              <w:rPr>
                <w:rFonts w:ascii="Calibri" w:hAnsi="Calibri"/>
                <w:b/>
                <w:color w:val="0B2545"/>
                <w:sz w:val="17"/>
              </w:rPr>
              <w:t>Native location</w:t>
            </w:r>
          </w:p>
        </w:tc>
        <w:tc>
          <w:tcPr>
            <w:tcW w:type="dxa" w:w="4760"/>
            <w:shd w:fill="E8EEF5"/>
            <w:vAlign w:val="center"/>
            <w:tcMar>
              <w:top w:w="80" w:type="dxa"/>
              <w:bottom w:w="80" w:type="dxa"/>
              <w:start w:w="120" w:type="dxa"/>
              <w:end w:w="120" w:type="dxa"/>
            </w:tcMar>
          </w:tcPr>
          <w:p>
            <w:pPr>
              <w:spacing w:before="0" w:after="0" w:line="252" w:lineRule="auto"/>
            </w:pPr>
            <w:r>
              <w:rPr>
                <w:rFonts w:ascii="Calibri" w:hAnsi="Calibri"/>
                <w:b/>
                <w:color w:val="0B2545"/>
                <w:sz w:val="17"/>
              </w:rPr>
              <w:t>Coupling rule</w:t>
            </w:r>
          </w:p>
        </w:tc>
      </w:tr>
      <w:tr>
        <w:trPr>
          <w:cantSplit w:val="true"/>
        </w:trPr>
        <w:tc>
          <w:tcPr>
            <w:tcW w:type="dxa" w:w="2100"/>
            <w:vAlign w:val="center"/>
            <w:tcMar>
              <w:top w:w="80" w:type="dxa"/>
              <w:bottom w:w="80" w:type="dxa"/>
              <w:start w:w="120" w:type="dxa"/>
              <w:end w:w="120" w:type="dxa"/>
            </w:tcMar>
          </w:tcPr>
          <w:p>
            <w:pPr>
              <w:spacing w:before="0" w:after="0" w:line="259" w:lineRule="auto"/>
            </w:pPr>
            <w:r>
              <w:rPr>
                <w:rFonts w:ascii="Calibri" w:hAnsi="Calibri"/>
                <w:color w:val="000000"/>
                <w:sz w:val="17"/>
              </w:rPr>
              <w:t>T, P, g, rho, mu, cp, nabla_ad</w:t>
            </w:r>
          </w:p>
        </w:tc>
        <w:tc>
          <w:tcPr>
            <w:tcW w:type="dxa" w:w="2500"/>
            <w:vAlign w:val="center"/>
            <w:tcMar>
              <w:top w:w="80" w:type="dxa"/>
              <w:bottom w:w="80" w:type="dxa"/>
              <w:start w:w="120" w:type="dxa"/>
              <w:end w:w="120" w:type="dxa"/>
            </w:tcMar>
          </w:tcPr>
          <w:p>
            <w:pPr>
              <w:spacing w:before="0" w:after="0" w:line="259" w:lineRule="auto"/>
            </w:pPr>
            <w:r>
              <w:rPr>
                <w:rFonts w:ascii="Calibri" w:hAnsi="Calibri"/>
                <w:color w:val="000000"/>
                <w:sz w:val="17"/>
              </w:rPr>
              <w:t>Layer centres</w:t>
            </w:r>
          </w:p>
        </w:tc>
        <w:tc>
          <w:tcPr>
            <w:tcW w:type="dxa" w:w="4760"/>
            <w:vAlign w:val="center"/>
            <w:tcMar>
              <w:top w:w="80" w:type="dxa"/>
              <w:bottom w:w="80" w:type="dxa"/>
              <w:start w:w="120" w:type="dxa"/>
              <w:end w:w="120" w:type="dxa"/>
            </w:tcMar>
          </w:tcPr>
          <w:p>
            <w:pPr>
              <w:spacing w:before="0" w:after="0" w:line="259" w:lineRule="auto"/>
            </w:pPr>
            <w:r>
              <w:rPr>
                <w:rFonts w:ascii="Calibri" w:hAnsi="Calibri"/>
                <w:color w:val="000000"/>
                <w:sz w:val="17"/>
              </w:rPr>
              <w:t>Shape-preserving interpolation in log P where appropriate</w:t>
            </w:r>
          </w:p>
        </w:tc>
      </w:tr>
      <w:tr>
        <w:trPr>
          <w:cantSplit w:val="true"/>
        </w:trPr>
        <w:tc>
          <w:tcPr>
            <w:tcW w:type="dxa" w:w="210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Fconv, w, ell, Kzz</w:t>
            </w:r>
          </w:p>
        </w:tc>
        <w:tc>
          <w:tcPr>
            <w:tcW w:type="dxa" w:w="250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Interfaces</w:t>
            </w:r>
          </w:p>
        </w:tc>
        <w:tc>
          <w:tcPr>
            <w:tcW w:type="dxa" w:w="476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Preserve interface meaning; convert m² s⁻¹ ↔ cm² s⁻¹ explicitly</w:t>
            </w:r>
          </w:p>
        </w:tc>
      </w:tr>
      <w:tr>
        <w:trPr>
          <w:cantSplit w:val="true"/>
        </w:trPr>
        <w:tc>
          <w:tcPr>
            <w:tcW w:type="dxa" w:w="2100"/>
            <w:vAlign w:val="center"/>
            <w:tcMar>
              <w:top w:w="80" w:type="dxa"/>
              <w:bottom w:w="80" w:type="dxa"/>
              <w:start w:w="120" w:type="dxa"/>
              <w:end w:w="120" w:type="dxa"/>
            </w:tcMar>
          </w:tcPr>
          <w:p>
            <w:pPr>
              <w:spacing w:before="0" w:after="0" w:line="259" w:lineRule="auto"/>
            </w:pPr>
            <w:r>
              <w:rPr>
                <w:rFonts w:ascii="Calibri" w:hAnsi="Calibri"/>
                <w:color w:val="000000"/>
                <w:sz w:val="17"/>
              </w:rPr>
              <w:t>Mixing ratios/number densities</w:t>
            </w:r>
          </w:p>
        </w:tc>
        <w:tc>
          <w:tcPr>
            <w:tcW w:type="dxa" w:w="2500"/>
            <w:vAlign w:val="center"/>
            <w:tcMar>
              <w:top w:w="80" w:type="dxa"/>
              <w:bottom w:w="80" w:type="dxa"/>
              <w:start w:w="120" w:type="dxa"/>
              <w:end w:w="120" w:type="dxa"/>
            </w:tcMar>
          </w:tcPr>
          <w:p>
            <w:pPr>
              <w:spacing w:before="0" w:after="0" w:line="259" w:lineRule="auto"/>
            </w:pPr>
            <w:r>
              <w:rPr>
                <w:rFonts w:ascii="Calibri" w:hAnsi="Calibri"/>
                <w:color w:val="000000"/>
                <w:sz w:val="17"/>
              </w:rPr>
              <w:t>VULCAN centres</w:t>
            </w:r>
          </w:p>
        </w:tc>
        <w:tc>
          <w:tcPr>
            <w:tcW w:type="dxa" w:w="4760"/>
            <w:vAlign w:val="center"/>
            <w:tcMar>
              <w:top w:w="80" w:type="dxa"/>
              <w:bottom w:w="80" w:type="dxa"/>
              <w:start w:w="120" w:type="dxa"/>
              <w:end w:w="120" w:type="dxa"/>
            </w:tcMar>
          </w:tcPr>
          <w:p>
            <w:pPr>
              <w:spacing w:before="0" w:after="0" w:line="259" w:lineRule="auto"/>
            </w:pPr>
            <w:r>
              <w:rPr>
                <w:rFonts w:ascii="Calibri" w:hAnsi="Calibri"/>
                <w:color w:val="000000"/>
                <w:sz w:val="17"/>
              </w:rPr>
              <w:t>Conservative/positive mapping; renormalise only with an auditable rule</w:t>
            </w:r>
          </w:p>
        </w:tc>
      </w:tr>
      <w:tr>
        <w:trPr>
          <w:cantSplit w:val="true"/>
        </w:trPr>
        <w:tc>
          <w:tcPr>
            <w:tcW w:type="dxa" w:w="210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Gas-opacity inputs</w:t>
            </w:r>
          </w:p>
        </w:tc>
        <w:tc>
          <w:tcPr>
            <w:tcW w:type="dxa" w:w="250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Radiative layer/species representation</w:t>
            </w:r>
          </w:p>
        </w:tc>
        <w:tc>
          <w:tcPr>
            <w:tcW w:type="dxa" w:w="476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Frozen in Stages 7/9; interactive from Stage 10; cache with an audited threshold</w:t>
            </w:r>
          </w:p>
        </w:tc>
      </w:tr>
      <w:tr>
        <w:trPr>
          <w:cantSplit w:val="true"/>
        </w:trPr>
        <w:tc>
          <w:tcPr>
            <w:tcW w:type="dxa" w:w="2100"/>
            <w:vAlign w:val="center"/>
            <w:tcMar>
              <w:top w:w="80" w:type="dxa"/>
              <w:bottom w:w="80" w:type="dxa"/>
              <w:start w:w="120" w:type="dxa"/>
              <w:end w:w="120" w:type="dxa"/>
            </w:tcMar>
          </w:tcPr>
          <w:p>
            <w:pPr>
              <w:spacing w:before="0" w:after="0" w:line="259" w:lineRule="auto"/>
            </w:pPr>
            <w:r>
              <w:rPr>
                <w:rFonts w:ascii="Calibri" w:hAnsi="Calibri"/>
                <w:color w:val="000000"/>
                <w:sz w:val="17"/>
              </w:rPr>
              <w:t>Condensed/rained mass</w:t>
            </w:r>
          </w:p>
        </w:tc>
        <w:tc>
          <w:tcPr>
            <w:tcW w:type="dxa" w:w="2500"/>
            <w:vAlign w:val="center"/>
            <w:tcMar>
              <w:top w:w="80" w:type="dxa"/>
              <w:bottom w:w="80" w:type="dxa"/>
              <w:start w:w="120" w:type="dxa"/>
              <w:end w:w="120" w:type="dxa"/>
            </w:tcMar>
          </w:tcPr>
          <w:p>
            <w:pPr>
              <w:spacing w:before="0" w:after="0" w:line="259" w:lineRule="auto"/>
            </w:pPr>
            <w:r>
              <w:rPr>
                <w:rFonts w:ascii="Calibri" w:hAnsi="Calibri"/>
                <w:color w:val="000000"/>
                <w:sz w:val="17"/>
              </w:rPr>
              <w:t>Layer + reservoir</w:t>
            </w:r>
          </w:p>
        </w:tc>
        <w:tc>
          <w:tcPr>
            <w:tcW w:type="dxa" w:w="4760"/>
            <w:vAlign w:val="center"/>
            <w:tcMar>
              <w:top w:w="80" w:type="dxa"/>
              <w:bottom w:w="80" w:type="dxa"/>
              <w:start w:w="120" w:type="dxa"/>
              <w:end w:w="120" w:type="dxa"/>
            </w:tcMar>
          </w:tcPr>
          <w:p>
            <w:pPr>
              <w:spacing w:before="0" w:after="0" w:line="259" w:lineRule="auto"/>
            </w:pPr>
            <w:r>
              <w:rPr>
                <w:rFonts w:ascii="Calibri" w:hAnsi="Calibri"/>
                <w:color w:val="000000"/>
                <w:sz w:val="17"/>
              </w:rPr>
              <w:t>Budgeted in Stage 9; coupled to RCE in Stage 11; cloud opacity deferred to Stage 12</w:t>
            </w:r>
          </w:p>
        </w:tc>
      </w:tr>
    </w:tbl>
    <w:p>
      <w:pPr>
        <w:spacing w:after="20"/>
      </w:pPr>
    </w:p>
    <w:p>
      <w:pPr>
        <w:pStyle w:val="Heading2"/>
      </w:pPr>
      <w:r>
        <w:t>Kzz policy</w:t>
      </w:r>
    </w:p>
    <w:p>
      <w:r>
        <w:t>Publish each component separately: Kzz_conv from MLT, Kzz_overshoot, Kzz_background, and Kzz_total used by VULCAN. This avoids interpreting a numerical floor or radiative-zone prescription as a direct prediction of convection.</w:t>
      </w:r>
    </w:p>
    <w:p>
      <w:pPr>
        <w:pStyle w:val="Heading1"/>
      </w:pPr>
      <w:r>
        <w:t>10. Relationship to existing codes and studies</w:t>
      </w:r>
    </w:p>
    <w:tbl>
      <w:tblPr>
        <w:tblStyle w:val="TableGrid"/>
        <w:tblW w:type="dxa" w:w="9360"/>
        <w:jc w:val="left"/>
        <w:tblLayout w:type="fixed"/>
        <w:tblLook w:firstColumn="1" w:firstRow="1" w:lastColumn="0" w:lastRow="0" w:noHBand="0" w:noVBand="1" w:val="04A0"/>
        <w:tblInd w:type="dxa" w:w="120"/>
      </w:tblPr>
      <w:tblGrid>
        <w:gridCol w:w="1600"/>
        <w:gridCol w:w="4260"/>
        <w:gridCol w:w="3500"/>
      </w:tblGrid>
      <w:tr>
        <w:trPr>
          <w:tblHeader w:val="true"/>
          <w:cantSplit w:val="true"/>
        </w:trPr>
        <w:tc>
          <w:tcPr>
            <w:tcW w:type="dxa" w:w="1600"/>
            <w:shd w:fill="E8EEF5"/>
            <w:vAlign w:val="center"/>
            <w:tcMar>
              <w:top w:w="80" w:type="dxa"/>
              <w:bottom w:w="80" w:type="dxa"/>
              <w:start w:w="120" w:type="dxa"/>
              <w:end w:w="120" w:type="dxa"/>
            </w:tcMar>
          </w:tcPr>
          <w:p>
            <w:pPr>
              <w:spacing w:before="0" w:after="0" w:line="252" w:lineRule="auto"/>
            </w:pPr>
            <w:r>
              <w:rPr>
                <w:rFonts w:ascii="Calibri" w:hAnsi="Calibri"/>
                <w:b/>
                <w:color w:val="0B2545"/>
                <w:sz w:val="16"/>
              </w:rPr>
              <w:t>Reference</w:t>
            </w:r>
          </w:p>
        </w:tc>
        <w:tc>
          <w:tcPr>
            <w:tcW w:type="dxa" w:w="4260"/>
            <w:shd w:fill="E8EEF5"/>
            <w:vAlign w:val="center"/>
            <w:tcMar>
              <w:top w:w="80" w:type="dxa"/>
              <w:bottom w:w="80" w:type="dxa"/>
              <w:start w:w="120" w:type="dxa"/>
              <w:end w:w="120" w:type="dxa"/>
            </w:tcMar>
          </w:tcPr>
          <w:p>
            <w:pPr>
              <w:spacing w:before="0" w:after="0" w:line="252" w:lineRule="auto"/>
            </w:pPr>
            <w:r>
              <w:rPr>
                <w:rFonts w:ascii="Calibri" w:hAnsi="Calibri"/>
                <w:b/>
                <w:color w:val="0B2545"/>
                <w:sz w:val="16"/>
              </w:rPr>
              <w:t>Similarity / lesson</w:t>
            </w:r>
          </w:p>
        </w:tc>
        <w:tc>
          <w:tcPr>
            <w:tcW w:type="dxa" w:w="3500"/>
            <w:shd w:fill="E8EEF5"/>
            <w:vAlign w:val="center"/>
            <w:tcMar>
              <w:top w:w="80" w:type="dxa"/>
              <w:bottom w:w="80" w:type="dxa"/>
              <w:start w:w="120" w:type="dxa"/>
              <w:end w:w="120" w:type="dxa"/>
            </w:tcMar>
          </w:tcPr>
          <w:p>
            <w:pPr>
              <w:spacing w:before="0" w:after="0" w:line="252" w:lineRule="auto"/>
            </w:pPr>
            <w:r>
              <w:rPr>
                <w:rFonts w:ascii="Calibri" w:hAnsi="Calibri"/>
                <w:b/>
                <w:color w:val="0B2545"/>
                <w:sz w:val="16"/>
              </w:rPr>
              <w:t>Project use</w:t>
            </w:r>
          </w:p>
        </w:tc>
      </w:tr>
      <w:tr>
        <w:trPr>
          <w:cantSplit w:val="true"/>
        </w:trPr>
        <w:tc>
          <w:tcPr>
            <w:tcW w:type="dxa" w:w="1600"/>
            <w:vAlign w:val="center"/>
            <w:tcMar>
              <w:top w:w="80" w:type="dxa"/>
              <w:bottom w:w="80" w:type="dxa"/>
              <w:start w:w="120" w:type="dxa"/>
              <w:end w:w="120" w:type="dxa"/>
            </w:tcMar>
          </w:tcPr>
          <w:p>
            <w:pPr>
              <w:spacing w:before="0" w:after="0" w:line="259" w:lineRule="auto"/>
            </w:pPr>
            <w:r>
              <w:rPr>
                <w:rFonts w:ascii="Calibri" w:hAnsi="Calibri"/>
                <w:color w:val="000000"/>
                <w:sz w:val="16"/>
              </w:rPr>
              <w:t>AGNI</w:t>
            </w:r>
          </w:p>
        </w:tc>
        <w:tc>
          <w:tcPr>
            <w:tcW w:type="dxa" w:w="4260"/>
            <w:vAlign w:val="center"/>
            <w:tcMar>
              <w:top w:w="80" w:type="dxa"/>
              <w:bottom w:w="80" w:type="dxa"/>
              <w:start w:w="120" w:type="dxa"/>
              <w:end w:w="120" w:type="dxa"/>
            </w:tcMar>
          </w:tcPr>
          <w:p>
            <w:pPr>
              <w:spacing w:before="0" w:after="0" w:line="259" w:lineRule="auto"/>
            </w:pPr>
            <w:r>
              <w:rPr>
                <w:rFonts w:ascii="Calibri" w:hAnsi="Calibri"/>
                <w:color w:val="000000"/>
                <w:sz w:val="16"/>
              </w:rPr>
              <w:t>N pressure centres, N+1 flux interfaces; MLT Fconv; Kzz; separate latent/sensible terms; nonlinear energy-flux residual solve; rocky-planet surface treatment</w:t>
            </w:r>
          </w:p>
        </w:tc>
        <w:tc>
          <w:tcPr>
            <w:tcW w:type="dxa" w:w="3500"/>
            <w:vAlign w:val="center"/>
            <w:tcMar>
              <w:top w:w="80" w:type="dxa"/>
              <w:bottom w:w="80" w:type="dxa"/>
              <w:start w:w="120" w:type="dxa"/>
              <w:end w:w="120" w:type="dxa"/>
            </w:tcMar>
          </w:tcPr>
          <w:p>
            <w:pPr>
              <w:spacing w:before="0" w:after="0" w:line="259" w:lineRule="auto"/>
            </w:pPr>
            <w:r>
              <w:rPr>
                <w:rFonts w:ascii="Calibri" w:hAnsi="Calibri"/>
                <w:color w:val="000000"/>
                <w:sz w:val="16"/>
              </w:rPr>
              <w:t>Closest architecture. Adopt staggering, modular flux sum, surface-aware mixing length and steady-residual concept; use matched dry rocky cases for intercomparison.</w:t>
            </w:r>
          </w:p>
        </w:tc>
      </w:tr>
      <w:tr>
        <w:trPr>
          <w:cantSplit w:val="true"/>
        </w:trPr>
        <w:tc>
          <w:tcPr>
            <w:tcW w:type="dxa" w:w="1600"/>
            <w:vAlign w:val="center"/>
            <w:shd w:fill="FAFBFC"/>
            <w:tcMar>
              <w:top w:w="80" w:type="dxa"/>
              <w:bottom w:w="80" w:type="dxa"/>
              <w:start w:w="120" w:type="dxa"/>
              <w:end w:w="120" w:type="dxa"/>
            </w:tcMar>
          </w:tcPr>
          <w:p>
            <w:pPr>
              <w:spacing w:before="0" w:after="0" w:line="259" w:lineRule="auto"/>
            </w:pPr>
            <w:r>
              <w:rPr>
                <w:rFonts w:ascii="Calibri" w:hAnsi="Calibri"/>
                <w:color w:val="000000"/>
                <w:sz w:val="16"/>
              </w:rPr>
              <w:t>Current HELIOS</w:t>
            </w:r>
          </w:p>
        </w:tc>
        <w:tc>
          <w:tcPr>
            <w:tcW w:type="dxa" w:w="4260"/>
            <w:vAlign w:val="center"/>
            <w:shd w:fill="FAFBFC"/>
            <w:tcMar>
              <w:top w:w="80" w:type="dxa"/>
              <w:bottom w:w="80" w:type="dxa"/>
              <w:start w:w="120" w:type="dxa"/>
              <w:end w:w="120" w:type="dxa"/>
            </w:tcMar>
          </w:tcPr>
          <w:p>
            <w:pPr>
              <w:spacing w:before="0" w:after="0" w:line="259" w:lineRule="auto"/>
            </w:pPr>
            <w:r>
              <w:rPr>
                <w:rFonts w:ascii="Calibri" w:hAnsi="Calibri"/>
                <w:color w:val="000000"/>
                <w:sz w:val="16"/>
              </w:rPr>
              <w:t>Same centre/interface grid concept and GPU radiative transfer; existing enthalpy-conserving dry convective adjustment</w:t>
            </w:r>
          </w:p>
        </w:tc>
        <w:tc>
          <w:tcPr>
            <w:tcW w:type="dxa" w:w="3500"/>
            <w:vAlign w:val="center"/>
            <w:shd w:fill="FAFBFC"/>
            <w:tcMar>
              <w:top w:w="80" w:type="dxa"/>
              <w:bottom w:w="80" w:type="dxa"/>
              <w:start w:w="120" w:type="dxa"/>
              <w:end w:w="120" w:type="dxa"/>
            </w:tcMar>
          </w:tcPr>
          <w:p>
            <w:pPr>
              <w:spacing w:before="0" w:after="0" w:line="259" w:lineRule="auto"/>
            </w:pPr>
            <w:r>
              <w:rPr>
                <w:rFonts w:ascii="Calibri" w:hAnsi="Calibri"/>
                <w:color w:val="000000"/>
                <w:sz w:val="16"/>
              </w:rPr>
              <w:t>Integration/parity target and efficient-convection benchmark. Keep adjustment and radiation as selectable comparison paths while the project-owned kernels mature.</w:t>
            </w:r>
          </w:p>
        </w:tc>
      </w:tr>
      <w:tr>
        <w:trPr>
          <w:cantSplit w:val="true"/>
        </w:trPr>
        <w:tc>
          <w:tcPr>
            <w:tcW w:type="dxa" w:w="1600"/>
            <w:vAlign w:val="center"/>
            <w:tcMar>
              <w:top w:w="80" w:type="dxa"/>
              <w:bottom w:w="80" w:type="dxa"/>
              <w:start w:w="120" w:type="dxa"/>
              <w:end w:w="120" w:type="dxa"/>
            </w:tcMar>
          </w:tcPr>
          <w:p>
            <w:pPr>
              <w:spacing w:before="0" w:after="0" w:line="259" w:lineRule="auto"/>
            </w:pPr>
            <w:r>
              <w:rPr>
                <w:rFonts w:ascii="Calibri" w:hAnsi="Calibri"/>
                <w:color w:val="000000"/>
                <w:sz w:val="16"/>
              </w:rPr>
              <w:t>shone</w:t>
            </w:r>
          </w:p>
        </w:tc>
        <w:tc>
          <w:tcPr>
            <w:tcW w:type="dxa" w:w="4260"/>
            <w:vAlign w:val="center"/>
            <w:tcMar>
              <w:top w:w="80" w:type="dxa"/>
              <w:bottom w:w="80" w:type="dxa"/>
              <w:start w:w="120" w:type="dxa"/>
              <w:end w:w="120" w:type="dxa"/>
            </w:tcMar>
          </w:tcPr>
          <w:p>
            <w:pPr>
              <w:spacing w:before="0" w:after="0" w:line="259" w:lineRule="auto"/>
            </w:pPr>
            <w:r>
              <w:rPr>
                <w:rFonts w:ascii="Calibri" w:hAnsi="Calibri"/>
                <w:color w:val="000000"/>
                <w:sz w:val="16"/>
              </w:rPr>
              <w:t>JAX-based opacity download/cache and P–T–wavelength interpolation patterns; transmission tools</w:t>
            </w:r>
          </w:p>
        </w:tc>
        <w:tc>
          <w:tcPr>
            <w:tcW w:type="dxa" w:w="3500"/>
            <w:vAlign w:val="center"/>
            <w:tcMar>
              <w:top w:w="80" w:type="dxa"/>
              <w:bottom w:w="80" w:type="dxa"/>
              <w:start w:w="120" w:type="dxa"/>
              <w:end w:w="120" w:type="dxa"/>
            </w:tcMar>
          </w:tcPr>
          <w:p>
            <w:pPr>
              <w:spacing w:before="0" w:after="0" w:line="259" w:lineRule="auto"/>
            </w:pPr>
            <w:r>
              <w:rPr>
                <w:rFonts w:ascii="Calibri" w:hAnsi="Calibri"/>
                <w:color w:val="000000"/>
                <w:sz w:val="16"/>
              </w:rPr>
              <w:t>Strong starting point for opacity data plumbing and interpolation. Keep the project-owned emission/RCE kernel independently tested; do not depend on an unvalidated draft emission implementation.</w:t>
            </w:r>
          </w:p>
        </w:tc>
      </w:tr>
      <w:tr>
        <w:trPr>
          <w:cantSplit w:val="true"/>
        </w:trPr>
        <w:tc>
          <w:tcPr>
            <w:tcW w:type="dxa" w:w="1600"/>
            <w:vAlign w:val="center"/>
            <w:shd w:fill="FAFBFC"/>
            <w:tcMar>
              <w:top w:w="80" w:type="dxa"/>
              <w:bottom w:w="80" w:type="dxa"/>
              <w:start w:w="120" w:type="dxa"/>
              <w:end w:w="120" w:type="dxa"/>
            </w:tcMar>
          </w:tcPr>
          <w:p>
            <w:pPr>
              <w:spacing w:before="0" w:after="0" w:line="259" w:lineRule="auto"/>
            </w:pPr>
            <w:r>
              <w:rPr>
                <w:rFonts w:ascii="Calibri" w:hAnsi="Calibri"/>
                <w:color w:val="000000"/>
                <w:sz w:val="16"/>
              </w:rPr>
              <w:t>JAX</w:t>
            </w:r>
          </w:p>
        </w:tc>
        <w:tc>
          <w:tcPr>
            <w:tcW w:type="dxa" w:w="4260"/>
            <w:vAlign w:val="center"/>
            <w:shd w:fill="FAFBFC"/>
            <w:tcMar>
              <w:top w:w="80" w:type="dxa"/>
              <w:bottom w:w="80" w:type="dxa"/>
              <w:start w:w="120" w:type="dxa"/>
              <w:end w:w="120" w:type="dxa"/>
            </w:tcMar>
          </w:tcPr>
          <w:p>
            <w:pPr>
              <w:spacing w:before="0" w:after="0" w:line="259" w:lineRule="auto"/>
            </w:pPr>
            <w:r>
              <w:rPr>
                <w:rFonts w:ascii="Calibri" w:hAnsi="Calibri"/>
                <w:color w:val="000000"/>
                <w:sz w:val="16"/>
              </w:rPr>
              <w:t>Compiled array execution, vmap batching, automatic differentiation and a batched tridiagonal solve</w:t>
            </w:r>
          </w:p>
        </w:tc>
        <w:tc>
          <w:tcPr>
            <w:tcW w:type="dxa" w:w="3500"/>
            <w:vAlign w:val="center"/>
            <w:shd w:fill="FAFBFC"/>
            <w:tcMar>
              <w:top w:w="80" w:type="dxa"/>
              <w:bottom w:w="80" w:type="dxa"/>
              <w:start w:w="120" w:type="dxa"/>
              <w:end w:w="120" w:type="dxa"/>
            </w:tcMar>
          </w:tcPr>
          <w:p>
            <w:pPr>
              <w:spacing w:before="0" w:after="0" w:line="259" w:lineRule="auto"/>
            </w:pPr>
            <w:r>
              <w:rPr>
                <w:rFonts w:ascii="Calibri" w:hAnsi="Calibri"/>
                <w:color w:val="000000"/>
                <w:sz w:val="16"/>
              </w:rPr>
              <w:t>Production framework for spectral/g-point batches and later Jacobians. Retain NumPy Thomas/dense references and benchmark compilation overhead.</w:t>
            </w:r>
          </w:p>
        </w:tc>
      </w:tr>
      <w:tr>
        <w:trPr>
          <w:cantSplit w:val="true"/>
        </w:trPr>
        <w:tc>
          <w:tcPr>
            <w:tcW w:type="dxa" w:w="1600"/>
            <w:vAlign w:val="center"/>
            <w:tcMar>
              <w:top w:w="80" w:type="dxa"/>
              <w:bottom w:w="80" w:type="dxa"/>
              <w:start w:w="120" w:type="dxa"/>
              <w:end w:w="120" w:type="dxa"/>
            </w:tcMar>
          </w:tcPr>
          <w:p>
            <w:pPr>
              <w:spacing w:before="0" w:after="0" w:line="259" w:lineRule="auto"/>
            </w:pPr>
            <w:r>
              <w:rPr>
                <w:rFonts w:ascii="Calibri" w:hAnsi="Calibri"/>
                <w:color w:val="000000"/>
                <w:sz w:val="16"/>
              </w:rPr>
              <w:t>VULCAN</w:t>
            </w:r>
          </w:p>
        </w:tc>
        <w:tc>
          <w:tcPr>
            <w:tcW w:type="dxa" w:w="4260"/>
            <w:vAlign w:val="center"/>
            <w:tcMar>
              <w:top w:w="80" w:type="dxa"/>
              <w:bottom w:w="80" w:type="dxa"/>
              <w:start w:w="120" w:type="dxa"/>
              <w:end w:w="120" w:type="dxa"/>
            </w:tcMar>
          </w:tcPr>
          <w:p>
            <w:pPr>
              <w:spacing w:before="0" w:after="0" w:line="259" w:lineRule="auto"/>
            </w:pPr>
            <w:r>
              <w:rPr>
                <w:rFonts w:ascii="Calibri" w:hAnsi="Calibri"/>
                <w:color w:val="000000"/>
                <w:sz w:val="16"/>
              </w:rPr>
              <w:t>1D kinetics/photochemistry with transport, condensation/rainout options, T(P) and Kzz inputs</w:t>
            </w:r>
          </w:p>
        </w:tc>
        <w:tc>
          <w:tcPr>
            <w:tcW w:type="dxa" w:w="3500"/>
            <w:vAlign w:val="center"/>
            <w:tcMar>
              <w:top w:w="80" w:type="dxa"/>
              <w:bottom w:w="80" w:type="dxa"/>
              <w:start w:w="120" w:type="dxa"/>
              <w:end w:w="120" w:type="dxa"/>
            </w:tcMar>
          </w:tcPr>
          <w:p>
            <w:pPr>
              <w:spacing w:before="0" w:after="0" w:line="259" w:lineRule="auto"/>
            </w:pPr>
            <w:r>
              <w:rPr>
                <w:rFonts w:ascii="Calibri" w:hAnsi="Calibri"/>
                <w:color w:val="000000"/>
                <w:sz w:val="16"/>
              </w:rPr>
              <w:t>Chemistry engine. Couple first one-way, then return composition-dependent opacity and thermodynamics.</w:t>
            </w:r>
          </w:p>
        </w:tc>
      </w:tr>
      <w:tr>
        <w:trPr>
          <w:cantSplit w:val="true"/>
        </w:trPr>
        <w:tc>
          <w:tcPr>
            <w:tcW w:type="dxa" w:w="1600"/>
            <w:vAlign w:val="center"/>
            <w:shd w:fill="FAFBFC"/>
            <w:tcMar>
              <w:top w:w="80" w:type="dxa"/>
              <w:bottom w:w="80" w:type="dxa"/>
              <w:start w:w="120" w:type="dxa"/>
              <w:end w:w="120" w:type="dxa"/>
            </w:tcMar>
          </w:tcPr>
          <w:p>
            <w:pPr>
              <w:spacing w:before="0" w:after="0" w:line="259" w:lineRule="auto"/>
            </w:pPr>
            <w:r>
              <w:rPr>
                <w:rFonts w:ascii="Calibri" w:hAnsi="Calibri"/>
                <w:color w:val="000000"/>
                <w:sz w:val="16"/>
              </w:rPr>
              <w:t>Lee, Tan &amp; Tsai / Exo-FMS</w:t>
            </w:r>
          </w:p>
        </w:tc>
        <w:tc>
          <w:tcPr>
            <w:tcW w:type="dxa" w:w="4260"/>
            <w:vAlign w:val="center"/>
            <w:shd w:fill="FAFBFC"/>
            <w:tcMar>
              <w:top w:w="80" w:type="dxa"/>
              <w:bottom w:w="80" w:type="dxa"/>
              <w:start w:w="120" w:type="dxa"/>
              <w:end w:w="120" w:type="dxa"/>
            </w:tcMar>
          </w:tcPr>
          <w:p>
            <w:pPr>
              <w:spacing w:before="0" w:after="0" w:line="259" w:lineRule="auto"/>
            </w:pPr>
            <w:r>
              <w:rPr>
                <w:rFonts w:ascii="Calibri" w:hAnsi="Calibri"/>
                <w:color w:val="000000"/>
                <w:sz w:val="16"/>
              </w:rPr>
              <w:t>Pressure-coordinate time-dependent MLT, Kzz = w ell, subcycling; explicit steps around or below 1 s in reported tests</w:t>
            </w:r>
          </w:p>
        </w:tc>
        <w:tc>
          <w:tcPr>
            <w:tcW w:type="dxa" w:w="3500"/>
            <w:vAlign w:val="center"/>
            <w:shd w:fill="FAFBFC"/>
            <w:tcMar>
              <w:top w:w="80" w:type="dxa"/>
              <w:bottom w:w="80" w:type="dxa"/>
              <w:start w:w="120" w:type="dxa"/>
              <w:end w:w="120" w:type="dxa"/>
            </w:tcMar>
          </w:tcPr>
          <w:p>
            <w:pPr>
              <w:spacing w:before="0" w:after="0" w:line="259" w:lineRule="auto"/>
            </w:pPr>
            <w:r>
              <w:rPr>
                <w:rFonts w:ascii="Calibri" w:hAnsi="Calibri"/>
                <w:color w:val="000000"/>
                <w:sz w:val="16"/>
              </w:rPr>
              <w:t>Guide explicit implementation, stability tests, subcycling, Kzz and overshoot diagnostics. Note that the published application is a 3D GCM, not the final 1D solver.</w:t>
            </w:r>
          </w:p>
        </w:tc>
      </w:tr>
      <w:tr>
        <w:trPr>
          <w:cantSplit w:val="true"/>
        </w:trPr>
        <w:tc>
          <w:tcPr>
            <w:tcW w:type="dxa" w:w="1600"/>
            <w:vAlign w:val="center"/>
            <w:tcMar>
              <w:top w:w="80" w:type="dxa"/>
              <w:bottom w:w="80" w:type="dxa"/>
              <w:start w:w="120" w:type="dxa"/>
              <w:end w:w="120" w:type="dxa"/>
            </w:tcMar>
          </w:tcPr>
          <w:p>
            <w:pPr>
              <w:spacing w:before="0" w:after="0" w:line="259" w:lineRule="auto"/>
            </w:pPr>
            <w:r>
              <w:rPr>
                <w:rFonts w:ascii="Calibri" w:hAnsi="Calibri"/>
                <w:color w:val="000000"/>
                <w:sz w:val="16"/>
              </w:rPr>
              <w:t>Robinson &amp; Marley</w:t>
            </w:r>
          </w:p>
        </w:tc>
        <w:tc>
          <w:tcPr>
            <w:tcW w:type="dxa" w:w="4260"/>
            <w:vAlign w:val="center"/>
            <w:tcMar>
              <w:top w:w="80" w:type="dxa"/>
              <w:bottom w:w="80" w:type="dxa"/>
              <w:start w:w="120" w:type="dxa"/>
              <w:end w:w="120" w:type="dxa"/>
            </w:tcMar>
          </w:tcPr>
          <w:p>
            <w:pPr>
              <w:spacing w:before="0" w:after="0" w:line="259" w:lineRule="auto"/>
            </w:pPr>
            <w:r>
              <w:rPr>
                <w:rFonts w:ascii="Calibri" w:hAnsi="Calibri"/>
                <w:color w:val="000000"/>
                <w:sz w:val="16"/>
              </w:rPr>
              <w:t>1D time-stepping radiative–convective model; mixing-length sensitivity and thermal response times</w:t>
            </w:r>
          </w:p>
        </w:tc>
        <w:tc>
          <w:tcPr>
            <w:tcW w:type="dxa" w:w="3500"/>
            <w:vAlign w:val="center"/>
            <w:tcMar>
              <w:top w:w="80" w:type="dxa"/>
              <w:bottom w:w="80" w:type="dxa"/>
              <w:start w:w="120" w:type="dxa"/>
              <w:end w:w="120" w:type="dxa"/>
            </w:tcMar>
          </w:tcPr>
          <w:p>
            <w:pPr>
              <w:spacing w:before="0" w:after="0" w:line="259" w:lineRule="auto"/>
            </w:pPr>
            <w:r>
              <w:rPr>
                <w:rFonts w:ascii="Calibri" w:hAnsi="Calibri"/>
                <w:color w:val="000000"/>
                <w:sz w:val="16"/>
              </w:rPr>
              <w:t>Reference for transient convergence, timestep behaviour and physical perturbation experiments.</w:t>
            </w:r>
          </w:p>
        </w:tc>
      </w:tr>
      <w:tr>
        <w:trPr>
          <w:cantSplit w:val="true"/>
        </w:trPr>
        <w:tc>
          <w:tcPr>
            <w:tcW w:type="dxa" w:w="1600"/>
            <w:vAlign w:val="center"/>
            <w:shd w:fill="FAFBFC"/>
            <w:tcMar>
              <w:top w:w="80" w:type="dxa"/>
              <w:bottom w:w="80" w:type="dxa"/>
              <w:start w:w="120" w:type="dxa"/>
              <w:end w:w="120" w:type="dxa"/>
            </w:tcMar>
          </w:tcPr>
          <w:p>
            <w:pPr>
              <w:spacing w:before="0" w:after="0" w:line="259" w:lineRule="auto"/>
            </w:pPr>
            <w:r>
              <w:rPr>
                <w:rFonts w:ascii="Calibri" w:hAnsi="Calibri"/>
                <w:color w:val="000000"/>
                <w:sz w:val="16"/>
              </w:rPr>
              <w:t>GENESIS</w:t>
            </w:r>
          </w:p>
        </w:tc>
        <w:tc>
          <w:tcPr>
            <w:tcW w:type="dxa" w:w="4260"/>
            <w:vAlign w:val="center"/>
            <w:shd w:fill="FAFBFC"/>
            <w:tcMar>
              <w:top w:w="80" w:type="dxa"/>
              <w:bottom w:w="80" w:type="dxa"/>
              <w:start w:w="120" w:type="dxa"/>
              <w:end w:w="120" w:type="dxa"/>
            </w:tcMar>
          </w:tcPr>
          <w:p>
            <w:pPr>
              <w:spacing w:before="0" w:after="0" w:line="259" w:lineRule="auto"/>
            </w:pPr>
            <w:r>
              <w:rPr>
                <w:rFonts w:ascii="Calibri" w:hAnsi="Calibri"/>
                <w:color w:val="000000"/>
                <w:sz w:val="16"/>
              </w:rPr>
              <w:t>MLT embedded in a Rybicki/Newton-like radiative–convective solve; parcel optical-depth/radiative exchange in the closure</w:t>
            </w:r>
          </w:p>
        </w:tc>
        <w:tc>
          <w:tcPr>
            <w:tcW w:type="dxa" w:w="3500"/>
            <w:vAlign w:val="center"/>
            <w:shd w:fill="FAFBFC"/>
            <w:tcMar>
              <w:top w:w="80" w:type="dxa"/>
              <w:bottom w:w="80" w:type="dxa"/>
              <w:start w:w="120" w:type="dxa"/>
              <w:end w:w="120" w:type="dxa"/>
            </w:tcMar>
          </w:tcPr>
          <w:p>
            <w:pPr>
              <w:spacing w:before="0" w:after="0" w:line="259" w:lineRule="auto"/>
            </w:pPr>
            <w:r>
              <w:rPr>
                <w:rFonts w:ascii="Calibri" w:hAnsi="Calibri"/>
                <w:color w:val="000000"/>
                <w:sz w:val="16"/>
              </w:rPr>
              <w:t>Benchmark fuller MLT near inefficient convection/RCB. Defer this closure until the simple model is validated.</w:t>
            </w:r>
          </w:p>
        </w:tc>
      </w:tr>
      <w:tr>
        <w:trPr>
          <w:cantSplit w:val="true"/>
        </w:trPr>
        <w:tc>
          <w:tcPr>
            <w:tcW w:type="dxa" w:w="1600"/>
            <w:vAlign w:val="center"/>
            <w:tcMar>
              <w:top w:w="80" w:type="dxa"/>
              <w:bottom w:w="80" w:type="dxa"/>
              <w:start w:w="120" w:type="dxa"/>
              <w:end w:w="120" w:type="dxa"/>
            </w:tcMar>
          </w:tcPr>
          <w:p>
            <w:pPr>
              <w:spacing w:before="0" w:after="0" w:line="259" w:lineRule="auto"/>
            </w:pPr>
            <w:r>
              <w:rPr>
                <w:rFonts w:ascii="Calibri" w:hAnsi="Calibri"/>
                <w:color w:val="000000"/>
                <w:sz w:val="16"/>
              </w:rPr>
              <w:t>Joyce &amp; Tayar</w:t>
            </w:r>
          </w:p>
        </w:tc>
        <w:tc>
          <w:tcPr>
            <w:tcW w:type="dxa" w:w="4260"/>
            <w:vAlign w:val="center"/>
            <w:tcMar>
              <w:top w:w="80" w:type="dxa"/>
              <w:bottom w:w="80" w:type="dxa"/>
              <w:start w:w="120" w:type="dxa"/>
              <w:end w:w="120" w:type="dxa"/>
            </w:tcMar>
          </w:tcPr>
          <w:p>
            <w:pPr>
              <w:spacing w:before="0" w:after="0" w:line="259" w:lineRule="auto"/>
            </w:pPr>
            <w:r>
              <w:rPr>
                <w:rFonts w:ascii="Calibri" w:hAnsi="Calibri"/>
                <w:color w:val="000000"/>
                <w:sz w:val="16"/>
              </w:rPr>
              <w:t>Modern review of assumptions, free parameters and limitations of 1D MLT</w:t>
            </w:r>
          </w:p>
        </w:tc>
        <w:tc>
          <w:tcPr>
            <w:tcW w:type="dxa" w:w="3500"/>
            <w:vAlign w:val="center"/>
            <w:tcMar>
              <w:top w:w="80" w:type="dxa"/>
              <w:bottom w:w="80" w:type="dxa"/>
              <w:start w:w="120" w:type="dxa"/>
              <w:end w:w="120" w:type="dxa"/>
            </w:tcMar>
          </w:tcPr>
          <w:p>
            <w:pPr>
              <w:spacing w:before="0" w:after="0" w:line="259" w:lineRule="auto"/>
            </w:pPr>
            <w:r>
              <w:rPr>
                <w:rFonts w:ascii="Calibri" w:hAnsi="Calibri"/>
                <w:color w:val="000000"/>
                <w:sz w:val="16"/>
              </w:rPr>
              <w:t>Theory and notation reference; use to document calibration limits.</w:t>
            </w:r>
          </w:p>
        </w:tc>
      </w:tr>
    </w:tbl>
    <w:p>
      <w:pPr>
        <w:spacing w:after="20"/>
      </w:pPr>
    </w:p>
    <w:p>
      <w:pPr>
        <w:pStyle w:val="SmallNote"/>
        <w:spacing w:before="80" w:after="80"/>
      </w:pPr>
      <w:r>
        <w:t>The comparison reflects the cited papers, public repositories and documentation available on 8 August 2026. shone’s public opacity tools are treated as reusable infrastructure; any emission/scattering code must pass this project’s independent validation before adoption. Verify version-specific details before freezing dependencies.</w:t>
      </w:r>
    </w:p>
    <w:p>
      <w:pPr>
        <w:pStyle w:val="Heading2"/>
      </w:pPr>
      <w:r>
        <w:t>What to adopt now, benchmark, and defer</w:t>
      </w:r>
    </w:p>
    <w:tbl>
      <w:tblPr>
        <w:tblStyle w:val="TableGrid"/>
        <w:tblW w:type="dxa" w:w="9360"/>
        <w:jc w:val="left"/>
        <w:tblLayout w:type="fixed"/>
        <w:tblLook w:firstColumn="1" w:firstRow="1" w:lastColumn="0" w:lastRow="0" w:noHBand="0" w:noVBand="1" w:val="04A0"/>
        <w:tblInd w:type="dxa" w:w="120"/>
      </w:tblPr>
      <w:tblGrid>
        <w:gridCol w:w="3120"/>
        <w:gridCol w:w="3120"/>
        <w:gridCol w:w="3120"/>
      </w:tblGrid>
      <w:tr>
        <w:trPr>
          <w:tblHeader w:val="true"/>
          <w:cantSplit w:val="true"/>
        </w:trPr>
        <w:tc>
          <w:tcPr>
            <w:tcW w:type="dxa" w:w="3120"/>
            <w:shd w:fill="E8EEF5"/>
            <w:vAlign w:val="center"/>
            <w:tcMar>
              <w:top w:w="80" w:type="dxa"/>
              <w:bottom w:w="80" w:type="dxa"/>
              <w:start w:w="120" w:type="dxa"/>
              <w:end w:w="120" w:type="dxa"/>
            </w:tcMar>
          </w:tcPr>
          <w:p>
            <w:pPr>
              <w:spacing w:before="0" w:after="0" w:line="252" w:lineRule="auto"/>
            </w:pPr>
            <w:r>
              <w:rPr>
                <w:rFonts w:ascii="Calibri" w:hAnsi="Calibri"/>
                <w:b/>
                <w:color w:val="0B2545"/>
                <w:sz w:val="17"/>
              </w:rPr>
              <w:t>Adopt now</w:t>
            </w:r>
          </w:p>
        </w:tc>
        <w:tc>
          <w:tcPr>
            <w:tcW w:type="dxa" w:w="3120"/>
            <w:shd w:fill="E8EEF5"/>
            <w:vAlign w:val="center"/>
            <w:tcMar>
              <w:top w:w="80" w:type="dxa"/>
              <w:bottom w:w="80" w:type="dxa"/>
              <w:start w:w="120" w:type="dxa"/>
              <w:end w:w="120" w:type="dxa"/>
            </w:tcMar>
          </w:tcPr>
          <w:p>
            <w:pPr>
              <w:spacing w:before="0" w:after="0" w:line="252" w:lineRule="auto"/>
            </w:pPr>
            <w:r>
              <w:rPr>
                <w:rFonts w:ascii="Calibri" w:hAnsi="Calibri"/>
                <w:b/>
                <w:color w:val="0B2545"/>
                <w:sz w:val="17"/>
              </w:rPr>
              <w:t>Benchmark explicitly</w:t>
            </w:r>
          </w:p>
        </w:tc>
        <w:tc>
          <w:tcPr>
            <w:tcW w:type="dxa" w:w="3120"/>
            <w:shd w:fill="E8EEF5"/>
            <w:vAlign w:val="center"/>
            <w:tcMar>
              <w:top w:w="80" w:type="dxa"/>
              <w:bottom w:w="80" w:type="dxa"/>
              <w:start w:w="120" w:type="dxa"/>
              <w:end w:w="120" w:type="dxa"/>
            </w:tcMar>
          </w:tcPr>
          <w:p>
            <w:pPr>
              <w:spacing w:before="0" w:after="0" w:line="252" w:lineRule="auto"/>
            </w:pPr>
            <w:r>
              <w:rPr>
                <w:rFonts w:ascii="Calibri" w:hAnsi="Calibri"/>
                <w:b/>
                <w:color w:val="0B2545"/>
                <w:sz w:val="17"/>
              </w:rPr>
              <w:t>Defer until justified</w:t>
            </w:r>
          </w:p>
        </w:tc>
      </w:tr>
      <w:tr>
        <w:trPr>
          <w:cantSplit w:val="true"/>
        </w:trPr>
        <w:tc>
          <w:tcPr>
            <w:tcW w:type="dxa" w:w="3120"/>
            <w:vAlign w:val="center"/>
            <w:tcMar>
              <w:top w:w="80" w:type="dxa"/>
              <w:bottom w:w="80" w:type="dxa"/>
              <w:start w:w="120" w:type="dxa"/>
              <w:end w:w="120" w:type="dxa"/>
            </w:tcMar>
          </w:tcPr>
          <w:p>
            <w:pPr>
              <w:spacing w:before="0" w:after="0" w:line="259" w:lineRule="auto"/>
            </w:pPr>
            <w:r>
              <w:rPr>
                <w:rFonts w:ascii="Calibri" w:hAnsi="Calibri"/>
                <w:color w:val="000000"/>
                <w:sz w:val="17"/>
              </w:rPr>
              <w:t>Interface flux staggering; conservative divergence; simple MLT; absorption-only two stream; NumPy/JAX parity; separate Kzz components</w:t>
            </w:r>
          </w:p>
        </w:tc>
        <w:tc>
          <w:tcPr>
            <w:tcW w:type="dxa" w:w="3120"/>
            <w:vAlign w:val="center"/>
            <w:tcMar>
              <w:top w:w="80" w:type="dxa"/>
              <w:bottom w:w="80" w:type="dxa"/>
              <w:start w:w="120" w:type="dxa"/>
              <w:end w:w="120" w:type="dxa"/>
            </w:tcMar>
          </w:tcPr>
          <w:p>
            <w:pPr>
              <w:spacing w:before="0" w:after="0" w:line="259" w:lineRule="auto"/>
            </w:pPr>
            <w:r>
              <w:rPr>
                <w:rFonts w:ascii="Calibri" w:hAnsi="Calibri"/>
                <w:color w:val="000000"/>
                <w:sz w:val="17"/>
              </w:rPr>
              <w:t>Thomas/dense/sweep transfer; HELIOS adjustment/radiation; AGNI dry cases; analytic H₂ adiabat; Lee/Robinson transients</w:t>
            </w:r>
          </w:p>
        </w:tc>
        <w:tc>
          <w:tcPr>
            <w:tcW w:type="dxa" w:w="3120"/>
            <w:vAlign w:val="center"/>
            <w:tcMar>
              <w:top w:w="80" w:type="dxa"/>
              <w:bottom w:w="80" w:type="dxa"/>
              <w:start w:w="120" w:type="dxa"/>
              <w:end w:w="120" w:type="dxa"/>
            </w:tcMar>
          </w:tcPr>
          <w:p>
            <w:pPr>
              <w:spacing w:before="0" w:after="0" w:line="259" w:lineRule="auto"/>
            </w:pPr>
            <w:r>
              <w:rPr>
                <w:rFonts w:ascii="Calibri" w:hAnsi="Calibri"/>
                <w:color w:val="000000"/>
                <w:sz w:val="17"/>
              </w:rPr>
              <w:t>Scattering/cloud opacity; parcel radiative-loss closure; Ledoux/overshoot; monolithic coupled Jacobian; cloud microphysics</w:t>
            </w:r>
          </w:p>
        </w:tc>
      </w:tr>
    </w:tbl>
    <w:p>
      <w:pPr>
        <w:spacing w:after="20"/>
      </w:pPr>
    </w:p>
    <w:p>
      <w:pPr>
        <w:pStyle w:val="Heading1"/>
      </w:pPr>
      <w:r>
        <w:t>11. Project governance, deliverables and release gates</w:t>
      </w:r>
    </w:p>
    <w:p>
      <w:r>
        <w:t>Use work packages with evidence-based release gates rather than date-only milestones. Calendar estimates depend strongly on available developer time, opacity-data access and representative CPU/GPU hardware.</w:t>
      </w:r>
    </w:p>
    <w:tbl>
      <w:tblPr>
        <w:tblStyle w:val="TableGrid"/>
        <w:tblW w:type="dxa" w:w="9360"/>
        <w:jc w:val="left"/>
        <w:tblLayout w:type="fixed"/>
        <w:tblLook w:firstColumn="1" w:firstRow="1" w:lastColumn="0" w:lastRow="0" w:noHBand="0" w:noVBand="1" w:val="04A0"/>
        <w:tblInd w:type="dxa" w:w="120"/>
      </w:tblPr>
      <w:tblGrid>
        <w:gridCol w:w="1650"/>
        <w:gridCol w:w="4140"/>
        <w:gridCol w:w="3570"/>
      </w:tblGrid>
      <w:tr>
        <w:trPr>
          <w:tblHeader w:val="true"/>
          <w:cantSplit w:val="true"/>
        </w:trPr>
        <w:tc>
          <w:tcPr>
            <w:tcW w:type="dxa" w:w="1650"/>
            <w:shd w:fill="E8EEF5"/>
            <w:vAlign w:val="center"/>
            <w:tcMar>
              <w:top w:w="80" w:type="dxa"/>
              <w:bottom w:w="80" w:type="dxa"/>
              <w:start w:w="120" w:type="dxa"/>
              <w:end w:w="120" w:type="dxa"/>
            </w:tcMar>
          </w:tcPr>
          <w:p>
            <w:pPr>
              <w:spacing w:before="0" w:after="0" w:line="252" w:lineRule="auto"/>
            </w:pPr>
            <w:r>
              <w:rPr>
                <w:rFonts w:ascii="Calibri" w:hAnsi="Calibri"/>
                <w:b/>
                <w:color w:val="0B2545"/>
                <w:sz w:val="17"/>
              </w:rPr>
              <w:t>Release</w:t>
            </w:r>
          </w:p>
        </w:tc>
        <w:tc>
          <w:tcPr>
            <w:tcW w:type="dxa" w:w="4140"/>
            <w:shd w:fill="E8EEF5"/>
            <w:vAlign w:val="center"/>
            <w:tcMar>
              <w:top w:w="80" w:type="dxa"/>
              <w:bottom w:w="80" w:type="dxa"/>
              <w:start w:w="120" w:type="dxa"/>
              <w:end w:w="120" w:type="dxa"/>
            </w:tcMar>
          </w:tcPr>
          <w:p>
            <w:pPr>
              <w:spacing w:before="0" w:after="0" w:line="252" w:lineRule="auto"/>
            </w:pPr>
            <w:r>
              <w:rPr>
                <w:rFonts w:ascii="Calibri" w:hAnsi="Calibri"/>
                <w:b/>
                <w:color w:val="0B2545"/>
                <w:sz w:val="17"/>
              </w:rPr>
              <w:t>Minimum deliverables</w:t>
            </w:r>
          </w:p>
        </w:tc>
        <w:tc>
          <w:tcPr>
            <w:tcW w:type="dxa" w:w="3570"/>
            <w:shd w:fill="E8EEF5"/>
            <w:vAlign w:val="center"/>
            <w:tcMar>
              <w:top w:w="80" w:type="dxa"/>
              <w:bottom w:w="80" w:type="dxa"/>
              <w:start w:w="120" w:type="dxa"/>
              <w:end w:w="120" w:type="dxa"/>
            </w:tcMar>
          </w:tcPr>
          <w:p>
            <w:pPr>
              <w:spacing w:before="0" w:after="0" w:line="252" w:lineRule="auto"/>
            </w:pPr>
            <w:r>
              <w:rPr>
                <w:rFonts w:ascii="Calibri" w:hAnsi="Calibri"/>
                <w:b/>
                <w:color w:val="0B2545"/>
                <w:sz w:val="17"/>
              </w:rPr>
              <w:t>Release evidence</w:t>
            </w:r>
          </w:p>
        </w:tc>
      </w:tr>
      <w:tr>
        <w:trPr>
          <w:cantSplit w:val="true"/>
        </w:trPr>
        <w:tc>
          <w:tcPr>
            <w:tcW w:type="dxa" w:w="1650"/>
            <w:vAlign w:val="center"/>
            <w:tcMar>
              <w:top w:w="80" w:type="dxa"/>
              <w:bottom w:w="80" w:type="dxa"/>
              <w:start w:w="120" w:type="dxa"/>
              <w:end w:w="120" w:type="dxa"/>
            </w:tcMar>
          </w:tcPr>
          <w:p>
            <w:pPr>
              <w:spacing w:before="0" w:after="0" w:line="259" w:lineRule="auto"/>
            </w:pPr>
            <w:r>
              <w:rPr>
                <w:rFonts w:ascii="Calibri" w:hAnsi="Calibri"/>
                <w:color w:val="000000"/>
                <w:sz w:val="17"/>
              </w:rPr>
              <w:t>R0 — Reference kernel</w:t>
            </w:r>
          </w:p>
        </w:tc>
        <w:tc>
          <w:tcPr>
            <w:tcW w:type="dxa" w:w="4140"/>
            <w:vAlign w:val="center"/>
            <w:tcMar>
              <w:top w:w="80" w:type="dxa"/>
              <w:bottom w:w="80" w:type="dxa"/>
              <w:start w:w="120" w:type="dxa"/>
              <w:end w:w="120" w:type="dxa"/>
            </w:tcMar>
          </w:tcPr>
          <w:p>
            <w:pPr>
              <w:spacing w:before="0" w:after="0" w:line="259" w:lineRule="auto"/>
            </w:pPr>
            <w:r>
              <w:rPr>
                <w:rFonts w:ascii="Calibri" w:hAnsi="Calibri"/>
                <w:color w:val="000000"/>
                <w:sz w:val="17"/>
              </w:rPr>
              <w:t>Package, docs, Stage 0–1 tests, reproducible sweep runner</w:t>
            </w:r>
          </w:p>
        </w:tc>
        <w:tc>
          <w:tcPr>
            <w:tcW w:type="dxa" w:w="3570"/>
            <w:vAlign w:val="center"/>
            <w:tcMar>
              <w:top w:w="80" w:type="dxa"/>
              <w:bottom w:w="80" w:type="dxa"/>
              <w:start w:w="120" w:type="dxa"/>
              <w:end w:w="120" w:type="dxa"/>
            </w:tcMar>
          </w:tcPr>
          <w:p>
            <w:pPr>
              <w:spacing w:before="0" w:after="0" w:line="259" w:lineRule="auto"/>
            </w:pPr>
            <w:r>
              <w:rPr>
                <w:rFonts w:ascii="Calibri" w:hAnsi="Calibri"/>
                <w:color w:val="000000"/>
                <w:sz w:val="17"/>
              </w:rPr>
              <w:t>Closed-H₂ validation report and CI</w:t>
            </w:r>
          </w:p>
        </w:tc>
      </w:tr>
      <w:tr>
        <w:trPr>
          <w:cantSplit w:val="true"/>
        </w:trPr>
        <w:tc>
          <w:tcPr>
            <w:tcW w:type="dxa" w:w="165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R1 — Radiative kernel</w:t>
            </w:r>
          </w:p>
        </w:tc>
        <w:tc>
          <w:tcPr>
            <w:tcW w:type="dxa" w:w="414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Staggered absorption-only two stream; NumPy Thomas/dense/sweep references; JAX parity</w:t>
            </w:r>
          </w:p>
        </w:tc>
        <w:tc>
          <w:tcPr>
            <w:tcW w:type="dxa" w:w="357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Analytic limits, flux conservation and solver-equivalence report</w:t>
            </w:r>
          </w:p>
        </w:tc>
      </w:tr>
      <w:tr>
        <w:trPr>
          <w:cantSplit w:val="true"/>
        </w:trPr>
        <w:tc>
          <w:tcPr>
            <w:tcW w:type="dxa" w:w="1650"/>
            <w:vAlign w:val="center"/>
            <w:tcMar>
              <w:top w:w="80" w:type="dxa"/>
              <w:bottom w:w="80" w:type="dxa"/>
              <w:start w:w="120" w:type="dxa"/>
              <w:end w:w="120" w:type="dxa"/>
            </w:tcMar>
          </w:tcPr>
          <w:p>
            <w:pPr>
              <w:spacing w:before="0" w:after="0" w:line="259" w:lineRule="auto"/>
            </w:pPr>
            <w:r>
              <w:rPr>
                <w:rFonts w:ascii="Calibri" w:hAnsi="Calibri"/>
                <w:color w:val="000000"/>
                <w:sz w:val="17"/>
              </w:rPr>
              <w:t>R2 — Fixed H₂ RCE</w:t>
            </w:r>
          </w:p>
        </w:tc>
        <w:tc>
          <w:tcPr>
            <w:tcW w:type="dxa" w:w="4140"/>
            <w:vAlign w:val="center"/>
            <w:tcMar>
              <w:top w:w="80" w:type="dxa"/>
              <w:bottom w:w="80" w:type="dxa"/>
              <w:start w:w="120" w:type="dxa"/>
              <w:end w:w="120" w:type="dxa"/>
            </w:tcMar>
          </w:tcPr>
          <w:p>
            <w:pPr>
              <w:spacing w:before="0" w:after="0" w:line="259" w:lineRule="auto"/>
            </w:pPr>
            <w:r>
              <w:rPr>
                <w:rFonts w:ascii="Calibri" w:hAnsi="Calibri"/>
                <w:color w:val="000000"/>
                <w:sz w:val="17"/>
              </w:rPr>
              <w:t>MLT + radiation, HELIOS parity/adapter, fixed opacity and bottleneck instrumentation</w:t>
            </w:r>
          </w:p>
        </w:tc>
        <w:tc>
          <w:tcPr>
            <w:tcW w:type="dxa" w:w="3570"/>
            <w:vAlign w:val="center"/>
            <w:tcMar>
              <w:top w:w="80" w:type="dxa"/>
              <w:bottom w:w="80" w:type="dxa"/>
              <w:start w:w="120" w:type="dxa"/>
              <w:end w:w="120" w:type="dxa"/>
            </w:tcMar>
          </w:tcPr>
          <w:p>
            <w:pPr>
              <w:spacing w:before="0" w:after="0" w:line="259" w:lineRule="auto"/>
            </w:pPr>
            <w:r>
              <w:rPr>
                <w:rFonts w:ascii="Calibri" w:hAnsi="Calibri"/>
                <w:color w:val="000000"/>
                <w:sz w:val="17"/>
              </w:rPr>
              <w:t>Flux/RCB convergence and dt/relaxation/wall-time report</w:t>
            </w:r>
          </w:p>
        </w:tc>
      </w:tr>
      <w:tr>
        <w:trPr>
          <w:cantSplit w:val="true"/>
        </w:trPr>
        <w:tc>
          <w:tcPr>
            <w:tcW w:type="dxa" w:w="165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R3 — Opacity + one-way chemistry</w:t>
            </w:r>
          </w:p>
        </w:tc>
        <w:tc>
          <w:tcPr>
            <w:tcW w:type="dxa" w:w="414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Production gas-opacity provider, shone adapter where suitable, T/Kzz export to VULCAN</w:t>
            </w:r>
          </w:p>
        </w:tc>
        <w:tc>
          <w:tcPr>
            <w:tcW w:type="dxa" w:w="357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Opacity provenance/interpolation tests and quench baseline</w:t>
            </w:r>
          </w:p>
        </w:tc>
      </w:tr>
      <w:tr>
        <w:trPr>
          <w:cantSplit w:val="true"/>
        </w:trPr>
        <w:tc>
          <w:tcPr>
            <w:tcW w:type="dxa" w:w="1650"/>
            <w:vAlign w:val="center"/>
            <w:tcMar>
              <w:top w:w="80" w:type="dxa"/>
              <w:bottom w:w="80" w:type="dxa"/>
              <w:start w:w="120" w:type="dxa"/>
              <w:end w:w="120" w:type="dxa"/>
            </w:tcMar>
          </w:tcPr>
          <w:p>
            <w:pPr>
              <w:spacing w:before="0" w:after="0" w:line="259" w:lineRule="auto"/>
            </w:pPr>
            <w:r>
              <w:rPr>
                <w:rFonts w:ascii="Calibri" w:hAnsi="Calibri"/>
                <w:color w:val="000000"/>
                <w:sz w:val="17"/>
              </w:rPr>
              <w:t>R4 — Dry rocky surface</w:t>
            </w:r>
          </w:p>
        </w:tc>
        <w:tc>
          <w:tcPr>
            <w:tcW w:type="dxa" w:w="4140"/>
            <w:vAlign w:val="center"/>
            <w:tcMar>
              <w:top w:w="80" w:type="dxa"/>
              <w:bottom w:w="80" w:type="dxa"/>
              <w:start w:w="120" w:type="dxa"/>
              <w:end w:w="120" w:type="dxa"/>
            </w:tcMar>
          </w:tcPr>
          <w:p>
            <w:pPr>
              <w:spacing w:before="0" w:after="0" w:line="259" w:lineRule="auto"/>
            </w:pPr>
            <w:r>
              <w:rPr>
                <w:rFonts w:ascii="Calibri" w:hAnsi="Calibri"/>
                <w:color w:val="000000"/>
                <w:sz w:val="17"/>
              </w:rPr>
              <w:t>General EOS, fixed-composition opacity, surface and sensible heat</w:t>
            </w:r>
          </w:p>
        </w:tc>
        <w:tc>
          <w:tcPr>
            <w:tcW w:type="dxa" w:w="3570"/>
            <w:vAlign w:val="center"/>
            <w:tcMar>
              <w:top w:w="80" w:type="dxa"/>
              <w:bottom w:w="80" w:type="dxa"/>
              <w:start w:w="120" w:type="dxa"/>
              <w:end w:w="120" w:type="dxa"/>
            </w:tcMar>
          </w:tcPr>
          <w:p>
            <w:pPr>
              <w:spacing w:before="0" w:after="0" w:line="259" w:lineRule="auto"/>
            </w:pPr>
            <w:r>
              <w:rPr>
                <w:rFonts w:ascii="Calibri" w:hAnsi="Calibri"/>
                <w:color w:val="000000"/>
                <w:sz w:val="17"/>
              </w:rPr>
              <w:t>AGNI/matched-case comparison and surface energy closure</w:t>
            </w:r>
          </w:p>
        </w:tc>
      </w:tr>
      <w:tr>
        <w:trPr>
          <w:cantSplit w:val="true"/>
        </w:trPr>
        <w:tc>
          <w:tcPr>
            <w:tcW w:type="dxa" w:w="165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R5 — Phase change module</w:t>
            </w:r>
          </w:p>
        </w:tc>
        <w:tc>
          <w:tcPr>
            <w:tcW w:type="dxa" w:w="414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Rainout + latent energy + reservoirs with frozen/prescribed opacity</w:t>
            </w:r>
          </w:p>
        </w:tc>
        <w:tc>
          <w:tcPr>
            <w:tcW w:type="dxa" w:w="357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Mass/energy closure and dry/pseudo-moist limits</w:t>
            </w:r>
          </w:p>
        </w:tc>
      </w:tr>
      <w:tr>
        <w:trPr>
          <w:cantSplit w:val="true"/>
        </w:trPr>
        <w:tc>
          <w:tcPr>
            <w:tcW w:type="dxa" w:w="1650"/>
            <w:vAlign w:val="center"/>
            <w:tcMar>
              <w:top w:w="80" w:type="dxa"/>
              <w:bottom w:w="80" w:type="dxa"/>
              <w:start w:w="120" w:type="dxa"/>
              <w:end w:w="120" w:type="dxa"/>
            </w:tcMar>
          </w:tcPr>
          <w:p>
            <w:pPr>
              <w:spacing w:before="0" w:after="0" w:line="259" w:lineRule="auto"/>
            </w:pPr>
            <w:r>
              <w:rPr>
                <w:rFonts w:ascii="Calibri" w:hAnsi="Calibri"/>
                <w:color w:val="000000"/>
                <w:sz w:val="17"/>
              </w:rPr>
              <w:t>R6 — Two-way gas feedback</w:t>
            </w:r>
          </w:p>
        </w:tc>
        <w:tc>
          <w:tcPr>
            <w:tcW w:type="dxa" w:w="4140"/>
            <w:vAlign w:val="center"/>
            <w:tcMar>
              <w:top w:w="80" w:type="dxa"/>
              <w:bottom w:w="80" w:type="dxa"/>
              <w:start w:w="120" w:type="dxa"/>
              <w:end w:w="120" w:type="dxa"/>
            </w:tcMar>
          </w:tcPr>
          <w:p>
            <w:pPr>
              <w:spacing w:before="0" w:after="0" w:line="259" w:lineRule="auto"/>
            </w:pPr>
            <w:r>
              <w:rPr>
                <w:rFonts w:ascii="Calibri" w:hAnsi="Calibri"/>
                <w:color w:val="000000"/>
                <w:sz w:val="17"/>
              </w:rPr>
              <w:t>Outer composition–thermodynamic–gas-opacity coupling and acceleration</w:t>
            </w:r>
          </w:p>
        </w:tc>
        <w:tc>
          <w:tcPr>
            <w:tcW w:type="dxa" w:w="3570"/>
            <w:vAlign w:val="center"/>
            <w:tcMar>
              <w:top w:w="80" w:type="dxa"/>
              <w:bottom w:w="80" w:type="dxa"/>
              <w:start w:w="120" w:type="dxa"/>
              <w:end w:w="120" w:type="dxa"/>
            </w:tcMar>
          </w:tcPr>
          <w:p>
            <w:pPr>
              <w:spacing w:before="0" w:after="0" w:line="259" w:lineRule="auto"/>
            </w:pPr>
            <w:r>
              <w:rPr>
                <w:rFonts w:ascii="Calibri" w:hAnsi="Calibri"/>
                <w:color w:val="000000"/>
                <w:sz w:val="17"/>
              </w:rPr>
              <w:t>Joint convergence, restart/path and frozen-opacity-limit tests</w:t>
            </w:r>
          </w:p>
        </w:tc>
      </w:tr>
      <w:tr>
        <w:trPr>
          <w:cantSplit w:val="true"/>
        </w:trPr>
        <w:tc>
          <w:tcPr>
            <w:tcW w:type="dxa" w:w="165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R7 — Condensing rocky RCE</w:t>
            </w:r>
          </w:p>
        </w:tc>
        <w:tc>
          <w:tcPr>
            <w:tcW w:type="dxa" w:w="414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Surface + phase change + chemistry + interactive gas opacity</w:t>
            </w:r>
          </w:p>
        </w:tc>
        <w:tc>
          <w:tcPr>
            <w:tcW w:type="dxa" w:w="357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Full mass/element/energy closure and grid-independent moist RCE</w:t>
            </w:r>
          </w:p>
        </w:tc>
      </w:tr>
      <w:tr>
        <w:trPr>
          <w:cantSplit w:val="true"/>
        </w:trPr>
        <w:tc>
          <w:tcPr>
            <w:tcW w:type="dxa" w:w="1650"/>
            <w:vAlign w:val="center"/>
            <w:tcMar>
              <w:top w:w="80" w:type="dxa"/>
              <w:bottom w:w="80" w:type="dxa"/>
              <w:start w:w="120" w:type="dxa"/>
              <w:end w:w="120" w:type="dxa"/>
            </w:tcMar>
          </w:tcPr>
          <w:p>
            <w:pPr>
              <w:spacing w:before="0" w:after="0" w:line="259" w:lineRule="auto"/>
            </w:pPr>
            <w:r>
              <w:rPr>
                <w:rFonts w:ascii="Calibri" w:hAnsi="Calibri"/>
                <w:color w:val="000000"/>
                <w:sz w:val="17"/>
              </w:rPr>
              <w:t>R8 — Scattering and clouds</w:t>
            </w:r>
          </w:p>
        </w:tc>
        <w:tc>
          <w:tcPr>
            <w:tcW w:type="dxa" w:w="4140"/>
            <w:vAlign w:val="center"/>
            <w:tcMar>
              <w:top w:w="80" w:type="dxa"/>
              <w:bottom w:w="80" w:type="dxa"/>
              <w:start w:w="120" w:type="dxa"/>
              <w:end w:w="120" w:type="dxa"/>
            </w:tcMar>
          </w:tcPr>
          <w:p>
            <w:pPr>
              <w:spacing w:before="0" w:after="0" w:line="259" w:lineRule="auto"/>
            </w:pPr>
            <w:r>
              <w:rPr>
                <w:rFonts w:ascii="Calibri" w:hAnsi="Calibri"/>
                <w:color w:val="000000"/>
                <w:sz w:val="17"/>
              </w:rPr>
              <w:t>Scattering solver, condensate opacity and later microphysics</w:t>
            </w:r>
          </w:p>
        </w:tc>
        <w:tc>
          <w:tcPr>
            <w:tcW w:type="dxa" w:w="3570"/>
            <w:vAlign w:val="center"/>
            <w:tcMar>
              <w:top w:w="80" w:type="dxa"/>
              <w:bottom w:w="80" w:type="dxa"/>
              <w:start w:w="120" w:type="dxa"/>
              <w:end w:w="120" w:type="dxa"/>
            </w:tcMar>
          </w:tcPr>
          <w:p>
            <w:pPr>
              <w:spacing w:before="0" w:after="0" w:line="259" w:lineRule="auto"/>
            </w:pPr>
            <w:r>
              <w:rPr>
                <w:rFonts w:ascii="Calibri" w:hAnsi="Calibri"/>
                <w:color w:val="000000"/>
                <w:sz w:val="17"/>
              </w:rPr>
              <w:t>Scattering limits and trusted-solver intercomparison</w:t>
            </w:r>
          </w:p>
        </w:tc>
      </w:tr>
    </w:tbl>
    <w:p>
      <w:pPr>
        <w:spacing w:after="20"/>
      </w:pPr>
    </w:p>
    <w:p>
      <w:pPr>
        <w:pStyle w:val="Heading2"/>
      </w:pPr>
      <w:r>
        <w:t>Definition of done for each work package</w:t>
      </w:r>
    </w:p>
    <w:p>
      <w:pPr>
        <w:spacing w:after="80" w:line="300" w:lineRule="auto"/>
        <w:numPr>
          <w:ilvl w:val="0"/>
          <w:numId w:val="10"/>
        </w:numPr>
      </w:pPr>
      <w:r>
        <w:t>Equations and sign/unit conventions documented.</w:t>
      </w:r>
    </w:p>
    <w:p>
      <w:pPr>
        <w:spacing w:after="80" w:line="300" w:lineRule="auto"/>
        <w:numPr>
          <w:ilvl w:val="0"/>
          <w:numId w:val="10"/>
        </w:numPr>
      </w:pPr>
      <w:r>
        <w:t>Unit, invariant, convergence and regression tests pass.</w:t>
      </w:r>
    </w:p>
    <w:p>
      <w:pPr>
        <w:spacing w:after="80" w:line="300" w:lineRule="auto"/>
        <w:numPr>
          <w:ilvl w:val="0"/>
          <w:numId w:val="10"/>
        </w:numPr>
      </w:pPr>
      <w:r>
        <w:t>A reproducible experiment configuration and compact results file are committed.</w:t>
      </w:r>
    </w:p>
    <w:p>
      <w:pPr>
        <w:spacing w:after="80" w:line="300" w:lineRule="auto"/>
        <w:numPr>
          <w:ilvl w:val="0"/>
          <w:numId w:val="10"/>
        </w:numPr>
      </w:pPr>
      <w:r>
        <w:t>Failure modes and valid parameter domain are documented.</w:t>
      </w:r>
    </w:p>
    <w:p>
      <w:pPr>
        <w:spacing w:after="80" w:line="300" w:lineRule="auto"/>
        <w:numPr>
          <w:ilvl w:val="0"/>
          <w:numId w:val="10"/>
        </w:numPr>
      </w:pPr>
      <w:r>
        <w:t>Performance is measured on at least one named reference machine.</w:t>
      </w:r>
    </w:p>
    <w:p>
      <w:pPr>
        <w:spacing w:after="80" w:line="300" w:lineRule="auto"/>
        <w:numPr>
          <w:ilvl w:val="0"/>
          <w:numId w:val="10"/>
        </w:numPr>
      </w:pPr>
      <w:r>
        <w:t>Any change to a physics baseline has a short decision record.</w:t>
      </w:r>
    </w:p>
    <w:p>
      <w:pPr>
        <w:pStyle w:val="Heading2"/>
      </w:pPr>
      <w:r>
        <w:t>Risk register</w:t>
      </w:r>
    </w:p>
    <w:tbl>
      <w:tblPr>
        <w:tblStyle w:val="TableGrid"/>
        <w:tblW w:type="dxa" w:w="9360"/>
        <w:jc w:val="left"/>
        <w:tblLayout w:type="fixed"/>
        <w:tblLook w:firstColumn="1" w:firstRow="1" w:lastColumn="0" w:lastRow="0" w:noHBand="0" w:noVBand="1" w:val="04A0"/>
        <w:tblInd w:type="dxa" w:w="120"/>
      </w:tblPr>
      <w:tblGrid>
        <w:gridCol w:w="1900"/>
        <w:gridCol w:w="3500"/>
        <w:gridCol w:w="3960"/>
      </w:tblGrid>
      <w:tr>
        <w:trPr>
          <w:tblHeader w:val="true"/>
          <w:cantSplit w:val="true"/>
        </w:trPr>
        <w:tc>
          <w:tcPr>
            <w:tcW w:type="dxa" w:w="1900"/>
            <w:shd w:fill="E8EEF5"/>
            <w:vAlign w:val="center"/>
            <w:tcMar>
              <w:top w:w="80" w:type="dxa"/>
              <w:bottom w:w="80" w:type="dxa"/>
              <w:start w:w="120" w:type="dxa"/>
              <w:end w:w="120" w:type="dxa"/>
            </w:tcMar>
          </w:tcPr>
          <w:p>
            <w:pPr>
              <w:spacing w:before="0" w:after="0" w:line="252" w:lineRule="auto"/>
            </w:pPr>
            <w:r>
              <w:rPr>
                <w:rFonts w:ascii="Calibri" w:hAnsi="Calibri"/>
                <w:b/>
                <w:color w:val="0B2545"/>
                <w:sz w:val="16"/>
              </w:rPr>
              <w:t>Risk</w:t>
            </w:r>
          </w:p>
        </w:tc>
        <w:tc>
          <w:tcPr>
            <w:tcW w:type="dxa" w:w="3500"/>
            <w:shd w:fill="E8EEF5"/>
            <w:vAlign w:val="center"/>
            <w:tcMar>
              <w:top w:w="80" w:type="dxa"/>
              <w:bottom w:w="80" w:type="dxa"/>
              <w:start w:w="120" w:type="dxa"/>
              <w:end w:w="120" w:type="dxa"/>
            </w:tcMar>
          </w:tcPr>
          <w:p>
            <w:pPr>
              <w:spacing w:before="0" w:after="0" w:line="252" w:lineRule="auto"/>
            </w:pPr>
            <w:r>
              <w:rPr>
                <w:rFonts w:ascii="Calibri" w:hAnsi="Calibri"/>
                <w:b/>
                <w:color w:val="0B2545"/>
                <w:sz w:val="16"/>
              </w:rPr>
              <w:t>Early warning</w:t>
            </w:r>
          </w:p>
        </w:tc>
        <w:tc>
          <w:tcPr>
            <w:tcW w:type="dxa" w:w="3960"/>
            <w:shd w:fill="E8EEF5"/>
            <w:vAlign w:val="center"/>
            <w:tcMar>
              <w:top w:w="80" w:type="dxa"/>
              <w:bottom w:w="80" w:type="dxa"/>
              <w:start w:w="120" w:type="dxa"/>
              <w:end w:w="120" w:type="dxa"/>
            </w:tcMar>
          </w:tcPr>
          <w:p>
            <w:pPr>
              <w:spacing w:before="0" w:after="0" w:line="252" w:lineRule="auto"/>
            </w:pPr>
            <w:r>
              <w:rPr>
                <w:rFonts w:ascii="Calibri" w:hAnsi="Calibri"/>
                <w:b/>
                <w:color w:val="0B2545"/>
                <w:sz w:val="16"/>
              </w:rPr>
              <w:t>Mitigation</w:t>
            </w:r>
          </w:p>
        </w:tc>
      </w:tr>
      <w:tr>
        <w:trPr>
          <w:cantSplit w:val="true"/>
        </w:trPr>
        <w:tc>
          <w:tcPr>
            <w:tcW w:type="dxa" w:w="1900"/>
            <w:vAlign w:val="center"/>
            <w:tcMar>
              <w:top w:w="80" w:type="dxa"/>
              <w:bottom w:w="80" w:type="dxa"/>
              <w:start w:w="120" w:type="dxa"/>
              <w:end w:w="120" w:type="dxa"/>
            </w:tcMar>
          </w:tcPr>
          <w:p>
            <w:pPr>
              <w:spacing w:before="0" w:after="0" w:line="259" w:lineRule="auto"/>
            </w:pPr>
            <w:r>
              <w:rPr>
                <w:rFonts w:ascii="Calibri" w:hAnsi="Calibri"/>
                <w:color w:val="000000"/>
                <w:sz w:val="16"/>
              </w:rPr>
              <w:t>Explicit MLT is prohibitively stiff</w:t>
            </w:r>
          </w:p>
        </w:tc>
        <w:tc>
          <w:tcPr>
            <w:tcW w:type="dxa" w:w="3500"/>
            <w:vAlign w:val="center"/>
            <w:tcMar>
              <w:top w:w="80" w:type="dxa"/>
              <w:bottom w:w="80" w:type="dxa"/>
              <w:start w:w="120" w:type="dxa"/>
              <w:end w:w="120" w:type="dxa"/>
            </w:tcMar>
          </w:tcPr>
          <w:p>
            <w:pPr>
              <w:spacing w:before="0" w:after="0" w:line="259" w:lineRule="auto"/>
            </w:pPr>
            <w:r>
              <w:rPr>
                <w:rFonts w:ascii="Calibri" w:hAnsi="Calibri"/>
                <w:color w:val="000000"/>
                <w:sz w:val="16"/>
              </w:rPr>
              <w:t>dt shrinks rapidly with N or alpha</w:t>
            </w:r>
          </w:p>
        </w:tc>
        <w:tc>
          <w:tcPr>
            <w:tcW w:type="dxa" w:w="3960"/>
            <w:vAlign w:val="center"/>
            <w:tcMar>
              <w:top w:w="80" w:type="dxa"/>
              <w:bottom w:w="80" w:type="dxa"/>
              <w:start w:w="120" w:type="dxa"/>
              <w:end w:w="120" w:type="dxa"/>
            </w:tcMar>
          </w:tcPr>
          <w:p>
            <w:pPr>
              <w:spacing w:before="0" w:after="0" w:line="259" w:lineRule="auto"/>
            </w:pPr>
            <w:r>
              <w:rPr>
                <w:rFonts w:ascii="Calibri" w:hAnsi="Calibri"/>
                <w:color w:val="000000"/>
                <w:sz w:val="16"/>
              </w:rPr>
              <w:t>Keep reference solver; add conservative semi-implicit step before full HELIOS production</w:t>
            </w:r>
          </w:p>
        </w:tc>
      </w:tr>
      <w:tr>
        <w:trPr>
          <w:cantSplit w:val="true"/>
        </w:trPr>
        <w:tc>
          <w:tcPr>
            <w:tcW w:type="dxa" w:w="1900"/>
            <w:vAlign w:val="center"/>
            <w:shd w:fill="FAFBFC"/>
            <w:tcMar>
              <w:top w:w="80" w:type="dxa"/>
              <w:bottom w:w="80" w:type="dxa"/>
              <w:start w:w="120" w:type="dxa"/>
              <w:end w:w="120" w:type="dxa"/>
            </w:tcMar>
          </w:tcPr>
          <w:p>
            <w:pPr>
              <w:spacing w:before="0" w:after="0" w:line="259" w:lineRule="auto"/>
            </w:pPr>
            <w:r>
              <w:rPr>
                <w:rFonts w:ascii="Calibri" w:hAnsi="Calibri"/>
                <w:color w:val="000000"/>
                <w:sz w:val="16"/>
              </w:rPr>
              <w:t>Near-adiabat freezing/overshoot</w:t>
            </w:r>
          </w:p>
        </w:tc>
        <w:tc>
          <w:tcPr>
            <w:tcW w:type="dxa" w:w="3500"/>
            <w:vAlign w:val="center"/>
            <w:shd w:fill="FAFBFC"/>
            <w:tcMar>
              <w:top w:w="80" w:type="dxa"/>
              <w:bottom w:w="80" w:type="dxa"/>
              <w:start w:w="120" w:type="dxa"/>
              <w:end w:w="120" w:type="dxa"/>
            </w:tcMar>
          </w:tcPr>
          <w:p>
            <w:pPr>
              <w:spacing w:before="0" w:after="0" w:line="259" w:lineRule="auto"/>
            </w:pPr>
            <w:r>
              <w:rPr>
                <w:rFonts w:ascii="Calibri" w:hAnsi="Calibri"/>
                <w:color w:val="000000"/>
                <w:sz w:val="16"/>
              </w:rPr>
              <w:t>Patchy stable interfaces and entropy noise</w:t>
            </w:r>
          </w:p>
        </w:tc>
        <w:tc>
          <w:tcPr>
            <w:tcW w:type="dxa" w:w="3960"/>
            <w:vAlign w:val="center"/>
            <w:shd w:fill="FAFBFC"/>
            <w:tcMar>
              <w:top w:w="80" w:type="dxa"/>
              <w:bottom w:w="80" w:type="dxa"/>
              <w:start w:w="120" w:type="dxa"/>
              <w:end w:w="120" w:type="dxa"/>
            </w:tcMar>
          </w:tcPr>
          <w:p>
            <w:pPr>
              <w:spacing w:before="0" w:after="0" w:line="259" w:lineRule="auto"/>
            </w:pPr>
            <w:r>
              <w:rPr>
                <w:rFonts w:ascii="Calibri" w:hAnsi="Calibri"/>
                <w:color w:val="000000"/>
                <w:sz w:val="16"/>
              </w:rPr>
              <w:t>Global dt, fractional-change limiter, monotone/nonlinear solve, entropy diagnostics</w:t>
            </w:r>
          </w:p>
        </w:tc>
      </w:tr>
      <w:tr>
        <w:trPr>
          <w:cantSplit w:val="true"/>
        </w:trPr>
        <w:tc>
          <w:tcPr>
            <w:tcW w:type="dxa" w:w="1900"/>
            <w:vAlign w:val="center"/>
            <w:tcMar>
              <w:top w:w="80" w:type="dxa"/>
              <w:bottom w:w="80" w:type="dxa"/>
              <w:start w:w="120" w:type="dxa"/>
              <w:end w:w="120" w:type="dxa"/>
            </w:tcMar>
          </w:tcPr>
          <w:p>
            <w:pPr>
              <w:spacing w:before="0" w:after="0" w:line="259" w:lineRule="auto"/>
            </w:pPr>
            <w:r>
              <w:rPr>
                <w:rFonts w:ascii="Calibri" w:hAnsi="Calibri"/>
                <w:color w:val="000000"/>
                <w:sz w:val="16"/>
              </w:rPr>
              <w:t>Radiative discretisation is wrong but converges</w:t>
            </w:r>
          </w:p>
        </w:tc>
        <w:tc>
          <w:tcPr>
            <w:tcW w:type="dxa" w:w="3500"/>
            <w:vAlign w:val="center"/>
            <w:tcMar>
              <w:top w:w="80" w:type="dxa"/>
              <w:bottom w:w="80" w:type="dxa"/>
              <w:start w:w="120" w:type="dxa"/>
              <w:end w:w="120" w:type="dxa"/>
            </w:tcMar>
          </w:tcPr>
          <w:p>
            <w:pPr>
              <w:spacing w:before="0" w:after="0" w:line="259" w:lineRule="auto"/>
            </w:pPr>
            <w:r>
              <w:rPr>
                <w:rFonts w:ascii="Calibri" w:hAnsi="Calibri"/>
                <w:color w:val="000000"/>
                <w:sz w:val="16"/>
              </w:rPr>
              <w:t>Thomas result disagrees with dense/sweep or analytic limits</w:t>
            </w:r>
          </w:p>
        </w:tc>
        <w:tc>
          <w:tcPr>
            <w:tcW w:type="dxa" w:w="3960"/>
            <w:vAlign w:val="center"/>
            <w:tcMar>
              <w:top w:w="80" w:type="dxa"/>
              <w:bottom w:w="80" w:type="dxa"/>
              <w:start w:w="120" w:type="dxa"/>
              <w:end w:w="120" w:type="dxa"/>
            </w:tcMar>
          </w:tcPr>
          <w:p>
            <w:pPr>
              <w:spacing w:before="0" w:after="0" w:line="259" w:lineRule="auto"/>
            </w:pPr>
            <w:r>
              <w:rPr>
                <w:rFonts w:ascii="Calibri" w:hAnsi="Calibri"/>
                <w:color w:val="000000"/>
                <w:sz w:val="16"/>
              </w:rPr>
              <w:t>Maintain three independent small-column routes and boundary-flux invariants</w:t>
            </w:r>
          </w:p>
        </w:tc>
      </w:tr>
      <w:tr>
        <w:trPr>
          <w:cantSplit w:val="true"/>
        </w:trPr>
        <w:tc>
          <w:tcPr>
            <w:tcW w:type="dxa" w:w="1900"/>
            <w:vAlign w:val="center"/>
            <w:shd w:fill="FAFBFC"/>
            <w:tcMar>
              <w:top w:w="80" w:type="dxa"/>
              <w:bottom w:w="80" w:type="dxa"/>
              <w:start w:w="120" w:type="dxa"/>
              <w:end w:w="120" w:type="dxa"/>
            </w:tcMar>
          </w:tcPr>
          <w:p>
            <w:pPr>
              <w:spacing w:before="0" w:after="0" w:line="259" w:lineRule="auto"/>
            </w:pPr>
            <w:r>
              <w:rPr>
                <w:rFonts w:ascii="Calibri" w:hAnsi="Calibri"/>
                <w:color w:val="000000"/>
                <w:sz w:val="16"/>
              </w:rPr>
              <w:t>Opacity interpolation is silently invalid</w:t>
            </w:r>
          </w:p>
        </w:tc>
        <w:tc>
          <w:tcPr>
            <w:tcW w:type="dxa" w:w="3500"/>
            <w:vAlign w:val="center"/>
            <w:shd w:fill="FAFBFC"/>
            <w:tcMar>
              <w:top w:w="80" w:type="dxa"/>
              <w:bottom w:w="80" w:type="dxa"/>
              <w:start w:w="120" w:type="dxa"/>
              <w:end w:w="120" w:type="dxa"/>
            </w:tcMar>
          </w:tcPr>
          <w:p>
            <w:pPr>
              <w:spacing w:before="0" w:after="0" w:line="259" w:lineRule="auto"/>
            </w:pPr>
            <w:r>
              <w:rPr>
                <w:rFonts w:ascii="Calibri" w:hAnsi="Calibri"/>
                <w:color w:val="000000"/>
                <w:sz w:val="16"/>
              </w:rPr>
              <w:t>Out-of-range P–T states or discontinuous heating</w:t>
            </w:r>
          </w:p>
        </w:tc>
        <w:tc>
          <w:tcPr>
            <w:tcW w:type="dxa" w:w="3960"/>
            <w:vAlign w:val="center"/>
            <w:shd w:fill="FAFBFC"/>
            <w:tcMar>
              <w:top w:w="80" w:type="dxa"/>
              <w:bottom w:w="80" w:type="dxa"/>
              <w:start w:w="120" w:type="dxa"/>
              <w:end w:w="120" w:type="dxa"/>
            </w:tcMar>
          </w:tcPr>
          <w:p>
            <w:pPr>
              <w:spacing w:before="0" w:after="0" w:line="259" w:lineRule="auto"/>
            </w:pPr>
            <w:r>
              <w:rPr>
                <w:rFonts w:ascii="Calibri" w:hAnsi="Calibri"/>
                <w:color w:val="000000"/>
                <w:sz w:val="16"/>
              </w:rPr>
              <w:t>Record provenance/domain; fail loudly; use synthetic fixtures and cache-threshold refinement</w:t>
            </w:r>
          </w:p>
        </w:tc>
      </w:tr>
      <w:tr>
        <w:trPr>
          <w:cantSplit w:val="true"/>
        </w:trPr>
        <w:tc>
          <w:tcPr>
            <w:tcW w:type="dxa" w:w="1900"/>
            <w:vAlign w:val="center"/>
            <w:tcMar>
              <w:top w:w="80" w:type="dxa"/>
              <w:bottom w:w="80" w:type="dxa"/>
              <w:start w:w="120" w:type="dxa"/>
              <w:end w:w="120" w:type="dxa"/>
            </w:tcMar>
          </w:tcPr>
          <w:p>
            <w:pPr>
              <w:spacing w:before="0" w:after="0" w:line="259" w:lineRule="auto"/>
            </w:pPr>
            <w:r>
              <w:rPr>
                <w:rFonts w:ascii="Calibri" w:hAnsi="Calibri"/>
                <w:color w:val="000000"/>
                <w:sz w:val="16"/>
              </w:rPr>
              <w:t>JAX changes precision or hides overhead</w:t>
            </w:r>
          </w:p>
        </w:tc>
        <w:tc>
          <w:tcPr>
            <w:tcW w:type="dxa" w:w="3500"/>
            <w:vAlign w:val="center"/>
            <w:tcMar>
              <w:top w:w="80" w:type="dxa"/>
              <w:bottom w:w="80" w:type="dxa"/>
              <w:start w:w="120" w:type="dxa"/>
              <w:end w:w="120" w:type="dxa"/>
            </w:tcMar>
          </w:tcPr>
          <w:p>
            <w:pPr>
              <w:spacing w:before="0" w:after="0" w:line="259" w:lineRule="auto"/>
            </w:pPr>
            <w:r>
              <w:rPr>
                <w:rFonts w:ascii="Calibri" w:hAnsi="Calibri"/>
                <w:color w:val="000000"/>
                <w:sz w:val="16"/>
              </w:rPr>
              <w:t>CPU/JAX parity loss or compilation dominates runtime</w:t>
            </w:r>
          </w:p>
        </w:tc>
        <w:tc>
          <w:tcPr>
            <w:tcW w:type="dxa" w:w="3960"/>
            <w:vAlign w:val="center"/>
            <w:tcMar>
              <w:top w:w="80" w:type="dxa"/>
              <w:bottom w:w="80" w:type="dxa"/>
              <w:start w:w="120" w:type="dxa"/>
              <w:end w:w="120" w:type="dxa"/>
            </w:tcMar>
          </w:tcPr>
          <w:p>
            <w:pPr>
              <w:spacing w:before="0" w:after="0" w:line="259" w:lineRule="auto"/>
            </w:pPr>
            <w:r>
              <w:rPr>
                <w:rFonts w:ascii="Calibri" w:hAnsi="Calibri"/>
                <w:color w:val="000000"/>
                <w:sz w:val="16"/>
              </w:rPr>
              <w:t>Enable/test float64; separate compile and execute timings; retain NumPy reference</w:t>
            </w:r>
          </w:p>
        </w:tc>
      </w:tr>
      <w:tr>
        <w:trPr>
          <w:cantSplit w:val="true"/>
        </w:trPr>
        <w:tc>
          <w:tcPr>
            <w:tcW w:type="dxa" w:w="1900"/>
            <w:vAlign w:val="center"/>
            <w:shd w:fill="FAFBFC"/>
            <w:tcMar>
              <w:top w:w="80" w:type="dxa"/>
              <w:bottom w:w="80" w:type="dxa"/>
              <w:start w:w="120" w:type="dxa"/>
              <w:end w:w="120" w:type="dxa"/>
            </w:tcMar>
          </w:tcPr>
          <w:p>
            <w:pPr>
              <w:spacing w:before="0" w:after="0" w:line="259" w:lineRule="auto"/>
            </w:pPr>
            <w:r>
              <w:rPr>
                <w:rFonts w:ascii="Calibri" w:hAnsi="Calibri"/>
                <w:color w:val="000000"/>
                <w:sz w:val="16"/>
              </w:rPr>
              <w:t>Radiation–chemistry oscillation</w:t>
            </w:r>
          </w:p>
        </w:tc>
        <w:tc>
          <w:tcPr>
            <w:tcW w:type="dxa" w:w="3500"/>
            <w:vAlign w:val="center"/>
            <w:shd w:fill="FAFBFC"/>
            <w:tcMar>
              <w:top w:w="80" w:type="dxa"/>
              <w:bottom w:w="80" w:type="dxa"/>
              <w:start w:w="120" w:type="dxa"/>
              <w:end w:w="120" w:type="dxa"/>
            </w:tcMar>
          </w:tcPr>
          <w:p>
            <w:pPr>
              <w:spacing w:before="0" w:after="0" w:line="259" w:lineRule="auto"/>
            </w:pPr>
            <w:r>
              <w:rPr>
                <w:rFonts w:ascii="Calibri" w:hAnsi="Calibri"/>
                <w:color w:val="000000"/>
                <w:sz w:val="16"/>
              </w:rPr>
              <w:t>Outer residual alternates or opacity jumps</w:t>
            </w:r>
          </w:p>
        </w:tc>
        <w:tc>
          <w:tcPr>
            <w:tcW w:type="dxa" w:w="3960"/>
            <w:vAlign w:val="center"/>
            <w:shd w:fill="FAFBFC"/>
            <w:tcMar>
              <w:top w:w="80" w:type="dxa"/>
              <w:bottom w:w="80" w:type="dxa"/>
              <w:start w:w="120" w:type="dxa"/>
              <w:end w:w="120" w:type="dxa"/>
            </w:tcMar>
          </w:tcPr>
          <w:p>
            <w:pPr>
              <w:spacing w:before="0" w:after="0" w:line="259" w:lineRule="auto"/>
            </w:pPr>
            <w:r>
              <w:rPr>
                <w:rFonts w:ascii="Calibri" w:hAnsi="Calibri"/>
                <w:color w:val="000000"/>
                <w:sz w:val="16"/>
              </w:rPr>
              <w:t>Block under-relaxation, Anderson acceleration, continuation and selective updates</w:t>
            </w:r>
          </w:p>
        </w:tc>
      </w:tr>
      <w:tr>
        <w:trPr>
          <w:cantSplit w:val="true"/>
        </w:trPr>
        <w:tc>
          <w:tcPr>
            <w:tcW w:type="dxa" w:w="1900"/>
            <w:vAlign w:val="center"/>
            <w:tcMar>
              <w:top w:w="80" w:type="dxa"/>
              <w:bottom w:w="80" w:type="dxa"/>
              <w:start w:w="120" w:type="dxa"/>
              <w:end w:w="120" w:type="dxa"/>
            </w:tcMar>
          </w:tcPr>
          <w:p>
            <w:pPr>
              <w:spacing w:before="0" w:after="0" w:line="259" w:lineRule="auto"/>
            </w:pPr>
            <w:r>
              <w:rPr>
                <w:rFonts w:ascii="Calibri" w:hAnsi="Calibri"/>
                <w:color w:val="000000"/>
                <w:sz w:val="16"/>
              </w:rPr>
              <w:t>Kzz overinterpretation</w:t>
            </w:r>
          </w:p>
        </w:tc>
        <w:tc>
          <w:tcPr>
            <w:tcW w:type="dxa" w:w="3500"/>
            <w:vAlign w:val="center"/>
            <w:tcMar>
              <w:top w:w="80" w:type="dxa"/>
              <w:bottom w:w="80" w:type="dxa"/>
              <w:start w:w="120" w:type="dxa"/>
              <w:end w:w="120" w:type="dxa"/>
            </w:tcMar>
          </w:tcPr>
          <w:p>
            <w:pPr>
              <w:spacing w:before="0" w:after="0" w:line="259" w:lineRule="auto"/>
            </w:pPr>
            <w:r>
              <w:rPr>
                <w:rFonts w:ascii="Calibri" w:hAnsi="Calibri"/>
                <w:color w:val="000000"/>
                <w:sz w:val="16"/>
              </w:rPr>
              <w:t>Radiative-zone mixing attributed to convection</w:t>
            </w:r>
          </w:p>
        </w:tc>
        <w:tc>
          <w:tcPr>
            <w:tcW w:type="dxa" w:w="3960"/>
            <w:vAlign w:val="center"/>
            <w:tcMar>
              <w:top w:w="80" w:type="dxa"/>
              <w:bottom w:w="80" w:type="dxa"/>
              <w:start w:w="120" w:type="dxa"/>
              <w:end w:w="120" w:type="dxa"/>
            </w:tcMar>
          </w:tcPr>
          <w:p>
            <w:pPr>
              <w:spacing w:before="0" w:after="0" w:line="259" w:lineRule="auto"/>
            </w:pPr>
            <w:r>
              <w:rPr>
                <w:rFonts w:ascii="Calibri" w:hAnsi="Calibri"/>
                <w:color w:val="000000"/>
                <w:sz w:val="16"/>
              </w:rPr>
              <w:t>Output Kzz components separately and document floors/overshoot</w:t>
            </w:r>
          </w:p>
        </w:tc>
      </w:tr>
      <w:tr>
        <w:trPr>
          <w:cantSplit w:val="true"/>
        </w:trPr>
        <w:tc>
          <w:tcPr>
            <w:tcW w:type="dxa" w:w="1900"/>
            <w:vAlign w:val="center"/>
            <w:shd w:fill="FAFBFC"/>
            <w:tcMar>
              <w:top w:w="80" w:type="dxa"/>
              <w:bottom w:w="80" w:type="dxa"/>
              <w:start w:w="120" w:type="dxa"/>
              <w:end w:w="120" w:type="dxa"/>
            </w:tcMar>
          </w:tcPr>
          <w:p>
            <w:pPr>
              <w:spacing w:before="0" w:after="0" w:line="259" w:lineRule="auto"/>
            </w:pPr>
            <w:r>
              <w:rPr>
                <w:rFonts w:ascii="Calibri" w:hAnsi="Calibri"/>
                <w:color w:val="000000"/>
                <w:sz w:val="16"/>
              </w:rPr>
              <w:t>Condensation breaks energy closure</w:t>
            </w:r>
          </w:p>
        </w:tc>
        <w:tc>
          <w:tcPr>
            <w:tcW w:type="dxa" w:w="3500"/>
            <w:vAlign w:val="center"/>
            <w:shd w:fill="FAFBFC"/>
            <w:tcMar>
              <w:top w:w="80" w:type="dxa"/>
              <w:bottom w:w="80" w:type="dxa"/>
              <w:start w:w="120" w:type="dxa"/>
              <w:end w:w="120" w:type="dxa"/>
            </w:tcMar>
          </w:tcPr>
          <w:p>
            <w:pPr>
              <w:spacing w:before="0" w:after="0" w:line="259" w:lineRule="auto"/>
            </w:pPr>
            <w:r>
              <w:rPr>
                <w:rFonts w:ascii="Calibri" w:hAnsi="Calibri"/>
                <w:color w:val="000000"/>
                <w:sz w:val="16"/>
              </w:rPr>
              <w:t>T changes when mass is removed without latent term</w:t>
            </w:r>
          </w:p>
        </w:tc>
        <w:tc>
          <w:tcPr>
            <w:tcW w:type="dxa" w:w="3960"/>
            <w:vAlign w:val="center"/>
            <w:shd w:fill="FAFBFC"/>
            <w:tcMar>
              <w:top w:w="80" w:type="dxa"/>
              <w:bottom w:w="80" w:type="dxa"/>
              <w:start w:w="120" w:type="dxa"/>
              <w:end w:w="120" w:type="dxa"/>
            </w:tcMar>
          </w:tcPr>
          <w:p>
            <w:pPr>
              <w:spacing w:before="0" w:after="0" w:line="259" w:lineRule="auto"/>
            </w:pPr>
            <w:r>
              <w:rPr>
                <w:rFonts w:ascii="Calibri" w:hAnsi="Calibri"/>
                <w:color w:val="000000"/>
                <w:sz w:val="16"/>
              </w:rPr>
              <w:t>Keep rainout and energy terms explicit; maintain reservoir budgets</w:t>
            </w:r>
          </w:p>
        </w:tc>
      </w:tr>
      <w:tr>
        <w:trPr>
          <w:cantSplit w:val="true"/>
        </w:trPr>
        <w:tc>
          <w:tcPr>
            <w:tcW w:type="dxa" w:w="1900"/>
            <w:vAlign w:val="center"/>
            <w:tcMar>
              <w:top w:w="80" w:type="dxa"/>
              <w:bottom w:w="80" w:type="dxa"/>
              <w:start w:w="120" w:type="dxa"/>
              <w:end w:w="120" w:type="dxa"/>
            </w:tcMar>
          </w:tcPr>
          <w:p>
            <w:pPr>
              <w:spacing w:before="0" w:after="0" w:line="259" w:lineRule="auto"/>
            </w:pPr>
            <w:r>
              <w:rPr>
                <w:rFonts w:ascii="Calibri" w:hAnsi="Calibri"/>
                <w:color w:val="000000"/>
                <w:sz w:val="16"/>
              </w:rPr>
              <w:t>GPU port obscures bugs</w:t>
            </w:r>
          </w:p>
        </w:tc>
        <w:tc>
          <w:tcPr>
            <w:tcW w:type="dxa" w:w="3500"/>
            <w:vAlign w:val="center"/>
            <w:tcMar>
              <w:top w:w="80" w:type="dxa"/>
              <w:bottom w:w="80" w:type="dxa"/>
              <w:start w:w="120" w:type="dxa"/>
              <w:end w:w="120" w:type="dxa"/>
            </w:tcMar>
          </w:tcPr>
          <w:p>
            <w:pPr>
              <w:spacing w:before="0" w:after="0" w:line="259" w:lineRule="auto"/>
            </w:pPr>
            <w:r>
              <w:rPr>
                <w:rFonts w:ascii="Calibri" w:hAnsi="Calibri"/>
                <w:color w:val="000000"/>
                <w:sz w:val="16"/>
              </w:rPr>
              <w:t>CPU/GPU divergence or nondeterministic residuals</w:t>
            </w:r>
          </w:p>
        </w:tc>
        <w:tc>
          <w:tcPr>
            <w:tcW w:type="dxa" w:w="3960"/>
            <w:vAlign w:val="center"/>
            <w:tcMar>
              <w:top w:w="80" w:type="dxa"/>
              <w:bottom w:w="80" w:type="dxa"/>
              <w:start w:w="120" w:type="dxa"/>
              <w:end w:w="120" w:type="dxa"/>
            </w:tcMar>
          </w:tcPr>
          <w:p>
            <w:pPr>
              <w:spacing w:before="0" w:after="0" w:line="259" w:lineRule="auto"/>
            </w:pPr>
            <w:r>
              <w:rPr>
                <w:rFonts w:ascii="Calibri" w:hAnsi="Calibri"/>
                <w:color w:val="000000"/>
                <w:sz w:val="16"/>
              </w:rPr>
              <w:t>CPU reference and small deterministic GPU parity tests</w:t>
            </w:r>
          </w:p>
        </w:tc>
      </w:tr>
      <w:tr>
        <w:trPr>
          <w:cantSplit w:val="true"/>
        </w:trPr>
        <w:tc>
          <w:tcPr>
            <w:tcW w:type="dxa" w:w="1900"/>
            <w:vAlign w:val="center"/>
            <w:shd w:fill="FAFBFC"/>
            <w:tcMar>
              <w:top w:w="80" w:type="dxa"/>
              <w:bottom w:w="80" w:type="dxa"/>
              <w:start w:w="120" w:type="dxa"/>
              <w:end w:w="120" w:type="dxa"/>
            </w:tcMar>
          </w:tcPr>
          <w:p>
            <w:pPr>
              <w:spacing w:before="0" w:after="0" w:line="259" w:lineRule="auto"/>
            </w:pPr>
            <w:r>
              <w:rPr>
                <w:rFonts w:ascii="Calibri" w:hAnsi="Calibri"/>
                <w:color w:val="000000"/>
                <w:sz w:val="16"/>
              </w:rPr>
              <w:t>Scope expands before validation</w:t>
            </w:r>
          </w:p>
        </w:tc>
        <w:tc>
          <w:tcPr>
            <w:tcW w:type="dxa" w:w="3500"/>
            <w:vAlign w:val="center"/>
            <w:shd w:fill="FAFBFC"/>
            <w:tcMar>
              <w:top w:w="80" w:type="dxa"/>
              <w:bottom w:w="80" w:type="dxa"/>
              <w:start w:w="120" w:type="dxa"/>
              <w:end w:w="120" w:type="dxa"/>
            </w:tcMar>
          </w:tcPr>
          <w:p>
            <w:pPr>
              <w:spacing w:before="0" w:after="0" w:line="259" w:lineRule="auto"/>
            </w:pPr>
            <w:r>
              <w:rPr>
                <w:rFonts w:ascii="Calibri" w:hAnsi="Calibri"/>
                <w:color w:val="000000"/>
                <w:sz w:val="16"/>
              </w:rPr>
              <w:t>Many features, no analytic benchmark</w:t>
            </w:r>
          </w:p>
        </w:tc>
        <w:tc>
          <w:tcPr>
            <w:tcW w:type="dxa" w:w="3960"/>
            <w:vAlign w:val="center"/>
            <w:shd w:fill="FAFBFC"/>
            <w:tcMar>
              <w:top w:w="80" w:type="dxa"/>
              <w:bottom w:w="80" w:type="dxa"/>
              <w:start w:w="120" w:type="dxa"/>
              <w:end w:w="120" w:type="dxa"/>
            </w:tcMar>
          </w:tcPr>
          <w:p>
            <w:pPr>
              <w:spacing w:before="0" w:after="0" w:line="259" w:lineRule="auto"/>
            </w:pPr>
            <w:r>
              <w:rPr>
                <w:rFonts w:ascii="Calibri" w:hAnsi="Calibri"/>
                <w:color w:val="000000"/>
                <w:sz w:val="16"/>
              </w:rPr>
              <w:t>Enforce stage gates and feature flags</w:t>
            </w:r>
          </w:p>
        </w:tc>
      </w:tr>
    </w:tbl>
    <w:p>
      <w:pPr>
        <w:spacing w:after="20"/>
      </w:pPr>
    </w:p>
    <w:p>
      <w:pPr>
        <w:pStyle w:val="Heading1"/>
      </w:pPr>
      <w:r>
        <w:t>12. Immediate implementation backlog</w:t>
      </w:r>
    </w:p>
    <w:p>
      <w:r>
        <w:t>The first development cycle should end with Stage 1 evidence, not a Guillot-profile production run.</w:t>
      </w:r>
    </w:p>
    <w:p>
      <w:pPr>
        <w:spacing w:after="80" w:line="300" w:lineRule="auto"/>
        <w:numPr>
          <w:ilvl w:val="0"/>
          <w:numId w:val="17"/>
        </w:numPr>
      </w:pPr>
      <w:r>
        <w:t>Freeze existing v2/v3 code under legacy/ and record one reproducible legacy baseline.</w:t>
      </w:r>
    </w:p>
    <w:p>
      <w:pPr>
        <w:spacing w:after="80" w:line="300" w:lineRule="auto"/>
        <w:numPr>
          <w:ilvl w:val="0"/>
          <w:numId w:val="17"/>
        </w:numPr>
      </w:pPr>
      <w:r>
        <w:t>Create grid, constant-H₂ thermodynamics, MLT closure, energy operator, diagnostics and solver modules.</w:t>
      </w:r>
    </w:p>
    <w:p>
      <w:pPr>
        <w:spacing w:after="80" w:line="300" w:lineRule="auto"/>
        <w:numPr>
          <w:ilvl w:val="0"/>
          <w:numId w:val="17"/>
        </w:numPr>
      </w:pPr>
      <w:r>
        <w:t>Correct cp = (7/2)R/mu for the baseline and use enthalpy consistently.</w:t>
      </w:r>
    </w:p>
    <w:p>
      <w:pPr>
        <w:spacing w:after="80" w:line="300" w:lineRule="auto"/>
        <w:numPr>
          <w:ilvl w:val="0"/>
          <w:numId w:val="17"/>
        </w:numPr>
      </w:pPr>
      <w:r>
        <w:t>Reverse the staggering to centre T / interface Fconv and define upward-positive flux.</w:t>
      </w:r>
    </w:p>
    <w:p>
      <w:pPr>
        <w:spacing w:after="80" w:line="300" w:lineRule="auto"/>
        <w:numPr>
          <w:ilvl w:val="0"/>
          <w:numId w:val="17"/>
        </w:numPr>
      </w:pPr>
      <w:r>
        <w:t>Implement zero-flux boundaries and one global explicit substep.</w:t>
      </w:r>
    </w:p>
    <w:p>
      <w:pPr>
        <w:spacing w:after="80" w:line="300" w:lineRule="auto"/>
        <w:numPr>
          <w:ilvl w:val="0"/>
          <w:numId w:val="17"/>
        </w:numPr>
      </w:pPr>
      <w:r>
        <w:t>Implement analytic enthalpy-normalised final adiabat.</w:t>
      </w:r>
    </w:p>
    <w:p>
      <w:pPr>
        <w:spacing w:after="80" w:line="300" w:lineRule="auto"/>
        <w:numPr>
          <w:ilvl w:val="0"/>
          <w:numId w:val="17"/>
        </w:numPr>
      </w:pPr>
      <w:r>
        <w:t>Write stable, exact-adiabat, manufactured-flux, sign and enthalpy tests.</w:t>
      </w:r>
    </w:p>
    <w:p>
      <w:pPr>
        <w:spacing w:after="80" w:line="300" w:lineRule="auto"/>
        <w:numPr>
          <w:ilvl w:val="0"/>
          <w:numId w:val="17"/>
        </w:numPr>
      </w:pPr>
      <w:r>
        <w:t>Build the N–alpha–dt–grid–profile sweep runner with deterministic metadata.</w:t>
      </w:r>
    </w:p>
    <w:p>
      <w:pPr>
        <w:spacing w:after="80" w:line="300" w:lineRule="auto"/>
        <w:numPr>
          <w:ilvl w:val="0"/>
          <w:numId w:val="17"/>
        </w:numPr>
      </w:pPr>
      <w:r>
        <w:t>Generate convergence plots/tables and identify stable dt limits.</w:t>
      </w:r>
    </w:p>
    <w:p>
      <w:pPr>
        <w:spacing w:after="80" w:line="300" w:lineRule="auto"/>
        <w:numPr>
          <w:ilvl w:val="0"/>
          <w:numId w:val="17"/>
        </w:numPr>
      </w:pPr>
      <w:r>
        <w:t>Only after the exit gate, specify the Stage 3 staggered absorption-only kernel, boundary conditions, Thomas/dense/sweep references and JAX parity tests.</w:t>
      </w:r>
    </w:p>
    <w:p>
      <w:pPr>
        <w:spacing w:before="100" w:after="160" w:line="288" w:lineRule="auto"/>
        <w:ind w:left="202" w:right="144"/>
        <w:shd w:fill="E8F2EC"/>
        <w:pBdr>
          <w:left w:val="single" w:sz="18" w:space="8" w:color="3A7D5C"/>
        </w:pBdr>
      </w:pPr>
      <w:r>
        <w:rPr>
          <w:b/>
          <w:color w:val="0B2545"/>
        </w:rPr>
        <w:t xml:space="preserve">FIRST MILESTONE  </w:t>
      </w:r>
      <w:r>
        <w:t>For a closed convection-only constant-cp H₂ column, every tested resolution and every non-zero alpha must converge to the same enthalpy-conserving analytic adiabat. Timestep refinement may change the transient path, but not the final state.</w:t>
      </w:r>
    </w:p>
    <w:p>
      <w:pPr>
        <w:pStyle w:val="Heading1"/>
      </w:pPr>
      <w:r>
        <w:t>13. References and code resources</w:t>
      </w:r>
    </w:p>
    <w:p>
      <w:pPr>
        <w:spacing w:after="120"/>
        <w:ind w:left="490" w:hanging="490"/>
      </w:pPr>
      <w:r>
        <w:rPr>
          <w:b/>
        </w:rPr>
        <w:t xml:space="preserve">[R1] </w:t>
      </w:r>
      <w:r>
        <w:t xml:space="preserve">Nicholls, H., Pierrehumbert, R. &amp; Lichtenberg, T. (2025). AGNI: A radiative-convective model for lava planet atmospheres. Journal of Open Source Software 10, 7726. </w:t>
      </w:r>
      <w:hyperlink r:id="rId11">
        <w:r>
          <w:rPr>
            <w:rFonts w:ascii="Calibri" w:hAnsi="Calibri"/>
            <w:color w:val="2E74B5"/>
            <w:u w:val="single"/>
          </w:rPr>
          <w:t>Open reference</w:t>
        </w:r>
      </w:hyperlink>
    </w:p>
    <w:p>
      <w:pPr>
        <w:spacing w:after="120"/>
        <w:ind w:left="490" w:hanging="490"/>
      </w:pPr>
      <w:r>
        <w:rPr>
          <w:b/>
        </w:rPr>
        <w:t xml:space="preserve">[R2] </w:t>
      </w:r>
      <w:r>
        <w:t xml:space="preserve">AGNI model description and nonlinear energy-residual solver documentation (current documentation accessed 8 August 2026). </w:t>
      </w:r>
      <w:hyperlink r:id="rId12">
        <w:r>
          <w:rPr>
            <w:rFonts w:ascii="Calibri" w:hAnsi="Calibri"/>
            <w:color w:val="2E74B5"/>
            <w:u w:val="single"/>
          </w:rPr>
          <w:t>Open reference</w:t>
        </w:r>
      </w:hyperlink>
    </w:p>
    <w:p>
      <w:pPr>
        <w:spacing w:after="120"/>
        <w:ind w:left="490" w:hanging="490"/>
      </w:pPr>
      <w:r>
        <w:rPr>
          <w:b/>
        </w:rPr>
        <w:t xml:space="preserve">[R3] </w:t>
      </w:r>
      <w:r>
        <w:t xml:space="preserve">AGNI atmospheric convection and Kzz documentation (current documentation accessed 8 August 2026). </w:t>
      </w:r>
      <w:hyperlink r:id="rId13">
        <w:r>
          <w:rPr>
            <w:rFonts w:ascii="Calibri" w:hAnsi="Calibri"/>
            <w:color w:val="2E74B5"/>
            <w:u w:val="single"/>
          </w:rPr>
          <w:t>Open reference</w:t>
        </w:r>
      </w:hyperlink>
    </w:p>
    <w:p>
      <w:pPr>
        <w:spacing w:after="120"/>
        <w:ind w:left="490" w:hanging="490"/>
      </w:pPr>
      <w:r>
        <w:rPr>
          <w:b/>
        </w:rPr>
        <w:t xml:space="preserve">[R4] </w:t>
      </w:r>
      <w:r>
        <w:t xml:space="preserve">Nicholls, H. et al. (2025). Convective shutdown in the atmospheres of lava worlds. MNRAS 536, 2957–2971. </w:t>
      </w:r>
      <w:hyperlink r:id="rId14">
        <w:r>
          <w:rPr>
            <w:rFonts w:ascii="Calibri" w:hAnsi="Calibri"/>
            <w:color w:val="2E74B5"/>
            <w:u w:val="single"/>
          </w:rPr>
          <w:t>Open reference</w:t>
        </w:r>
      </w:hyperlink>
    </w:p>
    <w:p>
      <w:pPr>
        <w:spacing w:after="120"/>
        <w:ind w:left="490" w:hanging="490"/>
      </w:pPr>
      <w:r>
        <w:rPr>
          <w:b/>
        </w:rPr>
        <w:t xml:space="preserve">[R5] </w:t>
      </w:r>
      <w:r>
        <w:t xml:space="preserve">Malik, M. et al. (2019). Self-luminous and irradiated exoplanetary atmospheres explored with HELIOS. Astronomical Journal 157, 170. </w:t>
      </w:r>
      <w:hyperlink r:id="rId15">
        <w:r>
          <w:rPr>
            <w:rFonts w:ascii="Calibri" w:hAnsi="Calibri"/>
            <w:color w:val="2E74B5"/>
            <w:u w:val="single"/>
          </w:rPr>
          <w:t>Open reference</w:t>
        </w:r>
      </w:hyperlink>
    </w:p>
    <w:p>
      <w:pPr>
        <w:spacing w:after="120"/>
        <w:ind w:left="490" w:hanging="490"/>
      </w:pPr>
      <w:r>
        <w:rPr>
          <w:b/>
        </w:rPr>
        <w:t xml:space="preserve">[R6] </w:t>
      </w:r>
      <w:r>
        <w:t xml:space="preserve">HELIOS open-source repository. </w:t>
      </w:r>
      <w:hyperlink r:id="rId16">
        <w:r>
          <w:rPr>
            <w:rFonts w:ascii="Calibri" w:hAnsi="Calibri"/>
            <w:color w:val="2E74B5"/>
            <w:u w:val="single"/>
          </w:rPr>
          <w:t>Open reference</w:t>
        </w:r>
      </w:hyperlink>
    </w:p>
    <w:p>
      <w:pPr>
        <w:spacing w:after="120"/>
        <w:ind w:left="490" w:hanging="490"/>
      </w:pPr>
      <w:r>
        <w:rPr>
          <w:b/>
        </w:rPr>
        <w:t xml:space="preserve">[R7] </w:t>
      </w:r>
      <w:r>
        <w:t xml:space="preserve">Tsai, S.-M. et al. (2017). VULCAN: an open-source, validated chemical kinetics Python code for exoplanetary atmospheres. ApJS; preprint and model description. </w:t>
      </w:r>
      <w:hyperlink r:id="rId17">
        <w:r>
          <w:rPr>
            <w:rFonts w:ascii="Calibri" w:hAnsi="Calibri"/>
            <w:color w:val="2E74B5"/>
            <w:u w:val="single"/>
          </w:rPr>
          <w:t>Open reference</w:t>
        </w:r>
      </w:hyperlink>
    </w:p>
    <w:p>
      <w:pPr>
        <w:spacing w:after="120"/>
        <w:ind w:left="490" w:hanging="490"/>
      </w:pPr>
      <w:r>
        <w:rPr>
          <w:b/>
        </w:rPr>
        <w:t xml:space="preserve">[R8] </w:t>
      </w:r>
      <w:r>
        <w:t xml:space="preserve">Tsai, S.-M. et al. (2021). A comparative study of atmospheric chemistry with VULCAN. ApJ 923, 264. </w:t>
      </w:r>
      <w:hyperlink r:id="rId18">
        <w:r>
          <w:rPr>
            <w:rFonts w:ascii="Calibri" w:hAnsi="Calibri"/>
            <w:color w:val="2E74B5"/>
            <w:u w:val="single"/>
          </w:rPr>
          <w:t>Open reference</w:t>
        </w:r>
      </w:hyperlink>
    </w:p>
    <w:p>
      <w:pPr>
        <w:spacing w:after="120"/>
        <w:ind w:left="490" w:hanging="490"/>
      </w:pPr>
      <w:r>
        <w:rPr>
          <w:b/>
        </w:rPr>
        <w:t xml:space="preserve">[R9] </w:t>
      </w:r>
      <w:r>
        <w:t xml:space="preserve">VULCAN open-source repository. </w:t>
      </w:r>
      <w:hyperlink r:id="rId19">
        <w:r>
          <w:rPr>
            <w:rFonts w:ascii="Calibri" w:hAnsi="Calibri"/>
            <w:color w:val="2E74B5"/>
            <w:u w:val="single"/>
          </w:rPr>
          <w:t>Open reference</w:t>
        </w:r>
      </w:hyperlink>
    </w:p>
    <w:p>
      <w:pPr>
        <w:spacing w:after="120"/>
        <w:ind w:left="490" w:hanging="490"/>
      </w:pPr>
      <w:r>
        <w:rPr>
          <w:b/>
        </w:rPr>
        <w:t xml:space="preserve">[R10] </w:t>
      </w:r>
      <w:r>
        <w:t xml:space="preserve">Lee, E. K. H., Tan, X. &amp; Tsai, S.-M. (2024). Dynamically coupled kinetic chemistry in brown dwarf atmospheres II. MNRAS 529, 2686–2701. </w:t>
      </w:r>
      <w:hyperlink r:id="rId20">
        <w:r>
          <w:rPr>
            <w:rFonts w:ascii="Calibri" w:hAnsi="Calibri"/>
            <w:color w:val="2E74B5"/>
            <w:u w:val="single"/>
          </w:rPr>
          <w:t>Open reference</w:t>
        </w:r>
      </w:hyperlink>
    </w:p>
    <w:p>
      <w:pPr>
        <w:spacing w:after="120"/>
        <w:ind w:left="490" w:hanging="490"/>
      </w:pPr>
      <w:r>
        <w:rPr>
          <w:b/>
        </w:rPr>
        <w:t xml:space="preserve">[R11] </w:t>
      </w:r>
      <w:r>
        <w:t xml:space="preserve">Exo-FMS one-column correlated-k implementation, including MLT options. </w:t>
      </w:r>
      <w:hyperlink r:id="rId21">
        <w:r>
          <w:rPr>
            <w:rFonts w:ascii="Calibri" w:hAnsi="Calibri"/>
            <w:color w:val="2E74B5"/>
            <w:u w:val="single"/>
          </w:rPr>
          <w:t>Open reference</w:t>
        </w:r>
      </w:hyperlink>
    </w:p>
    <w:p>
      <w:pPr>
        <w:spacing w:after="120"/>
        <w:ind w:left="490" w:hanging="490"/>
      </w:pPr>
      <w:r>
        <w:rPr>
          <w:b/>
        </w:rPr>
        <w:t xml:space="preserve">[R12] </w:t>
      </w:r>
      <w:r>
        <w:t xml:space="preserve">Robinson, T. D. &amp; Marley, M. S. (2014). Temperature fluctuations as a source of brown dwarf variability. ApJ 785, 158. </w:t>
      </w:r>
      <w:hyperlink r:id="rId22">
        <w:r>
          <w:rPr>
            <w:rFonts w:ascii="Calibri" w:hAnsi="Calibri"/>
            <w:color w:val="2E74B5"/>
            <w:u w:val="single"/>
          </w:rPr>
          <w:t>Open reference</w:t>
        </w:r>
      </w:hyperlink>
    </w:p>
    <w:p>
      <w:pPr>
        <w:spacing w:after="120"/>
        <w:ind w:left="490" w:hanging="490"/>
      </w:pPr>
      <w:r>
        <w:rPr>
          <w:b/>
        </w:rPr>
        <w:t xml:space="preserve">[R13] </w:t>
      </w:r>
      <w:r>
        <w:t xml:space="preserve">Marley, M. S. &amp; Robinson, T. D. (2015). On the cool side: modeling the atmospheres of brown dwarfs and giant planets. ARA&amp;A 53, 279–323. </w:t>
      </w:r>
      <w:hyperlink r:id="rId23">
        <w:r>
          <w:rPr>
            <w:rFonts w:ascii="Calibri" w:hAnsi="Calibri"/>
            <w:color w:val="2E74B5"/>
            <w:u w:val="single"/>
          </w:rPr>
          <w:t>Open reference</w:t>
        </w:r>
      </w:hyperlink>
    </w:p>
    <w:p>
      <w:pPr>
        <w:spacing w:after="120"/>
        <w:ind w:left="490" w:hanging="490"/>
      </w:pPr>
      <w:r>
        <w:rPr>
          <w:b/>
        </w:rPr>
        <w:t xml:space="preserve">[R14] </w:t>
      </w:r>
      <w:r>
        <w:t xml:space="preserve">Gandhi, S. &amp; Madhusudhan, N. (2017). GENESIS: new self-consistent models of exoplanetary spectra. MNRAS 472, 2334–2355. </w:t>
      </w:r>
      <w:hyperlink r:id="rId24">
        <w:r>
          <w:rPr>
            <w:rFonts w:ascii="Calibri" w:hAnsi="Calibri"/>
            <w:color w:val="2E74B5"/>
            <w:u w:val="single"/>
          </w:rPr>
          <w:t>Open reference</w:t>
        </w:r>
      </w:hyperlink>
    </w:p>
    <w:p>
      <w:pPr>
        <w:spacing w:after="120"/>
        <w:ind w:left="490" w:hanging="490"/>
      </w:pPr>
      <w:r>
        <w:rPr>
          <w:b/>
        </w:rPr>
        <w:t xml:space="preserve">[R15] </w:t>
      </w:r>
      <w:r>
        <w:t xml:space="preserve">Joyce, M. &amp; Tayar, J. (2023). A review of the mixing length theory of convection in 1D stellar modeling. Galaxies 11, 75. </w:t>
      </w:r>
      <w:hyperlink r:id="rId25">
        <w:r>
          <w:rPr>
            <w:rFonts w:ascii="Calibri" w:hAnsi="Calibri"/>
            <w:color w:val="2E74B5"/>
            <w:u w:val="single"/>
          </w:rPr>
          <w:t>Open reference</w:t>
        </w:r>
      </w:hyperlink>
    </w:p>
    <w:p>
      <w:pPr>
        <w:spacing w:after="120"/>
        <w:ind w:left="490" w:hanging="490"/>
      </w:pPr>
      <w:r>
        <w:rPr>
          <w:b/>
        </w:rPr>
        <w:t xml:space="preserve">[R16] </w:t>
      </w:r>
      <w:r>
        <w:t xml:space="preserve">ConvectionMLT project repository and current development baseline. </w:t>
      </w:r>
      <w:hyperlink r:id="rId26">
        <w:r>
          <w:rPr>
            <w:rFonts w:ascii="Calibri" w:hAnsi="Calibri"/>
            <w:color w:val="2E74B5"/>
            <w:u w:val="single"/>
          </w:rPr>
          <w:t>Open reference</w:t>
        </w:r>
      </w:hyperlink>
    </w:p>
    <w:p>
      <w:pPr>
        <w:spacing w:after="120"/>
        <w:ind w:left="490" w:hanging="490"/>
      </w:pPr>
      <w:r>
        <w:rPr>
          <w:b/>
        </w:rPr>
        <w:t xml:space="preserve">[R17] </w:t>
      </w:r>
      <w:r>
        <w:t xml:space="preserve">shone open-source repository: JAX-based opacity, chemistry and exoplanet-atmosphere tools. </w:t>
      </w:r>
      <w:hyperlink r:id="rId27">
        <w:r>
          <w:rPr>
            <w:rFonts w:ascii="Calibri" w:hAnsi="Calibri"/>
            <w:color w:val="2E74B5"/>
            <w:u w:val="single"/>
          </w:rPr>
          <w:t>Open reference</w:t>
        </w:r>
      </w:hyperlink>
    </w:p>
    <w:p>
      <w:pPr>
        <w:spacing w:after="120"/>
        <w:ind w:left="490" w:hanging="490"/>
      </w:pPr>
      <w:r>
        <w:rPr>
          <w:b/>
        </w:rPr>
        <w:t xml:space="preserve">[R18] </w:t>
      </w:r>
      <w:r>
        <w:t xml:space="preserve">shone opacity documentation and examples (current documentation accessed 8 August 2026). </w:t>
      </w:r>
      <w:hyperlink r:id="rId28">
        <w:r>
          <w:rPr>
            <w:rFonts w:ascii="Calibri" w:hAnsi="Calibri"/>
            <w:color w:val="2E74B5"/>
            <w:u w:val="single"/>
          </w:rPr>
          <w:t>Open reference</w:t>
        </w:r>
      </w:hyperlink>
    </w:p>
    <w:p>
      <w:pPr>
        <w:spacing w:after="120"/>
        <w:ind w:left="490" w:hanging="490"/>
      </w:pPr>
      <w:r>
        <w:rPr>
          <w:b/>
        </w:rPr>
        <w:t xml:space="preserve">[R19] </w:t>
      </w:r>
      <w:r>
        <w:t xml:space="preserve">JAX documentation: jax.lax.linalg.tridiagonal_solve. </w:t>
      </w:r>
      <w:hyperlink r:id="rId29">
        <w:r>
          <w:rPr>
            <w:rFonts w:ascii="Calibri" w:hAnsi="Calibri"/>
            <w:color w:val="2E74B5"/>
            <w:u w:val="single"/>
          </w:rPr>
          <w:t>Open reference</w:t>
        </w:r>
      </w:hyperlink>
    </w:p>
    <w:p>
      <w:pPr>
        <w:spacing w:after="120"/>
        <w:ind w:left="490" w:hanging="490"/>
      </w:pPr>
      <w:r>
        <w:rPr>
          <w:b/>
        </w:rPr>
        <w:t xml:space="preserve">[R20] </w:t>
      </w:r>
      <w:r>
        <w:t xml:space="preserve">JAX documentation: Just-in-time compilation, batching and execution model. </w:t>
      </w:r>
      <w:hyperlink r:id="rId30">
        <w:r>
          <w:rPr>
            <w:rFonts w:ascii="Calibri" w:hAnsi="Calibri"/>
            <w:color w:val="2E74B5"/>
            <w:u w:val="single"/>
          </w:rPr>
          <w:t>Open reference</w:t>
        </w:r>
      </w:hyperlink>
    </w:p>
    <w:p>
      <w:pPr>
        <w:spacing w:after="120"/>
        <w:ind w:left="490" w:hanging="490"/>
      </w:pPr>
      <w:r>
        <w:rPr>
          <w:b/>
        </w:rPr>
        <w:t xml:space="preserve">[R21] </w:t>
      </w:r>
      <w:r>
        <w:t xml:space="preserve">shone draft emission-spectrum pull request #19; treat as unvalidated until merged and independently tested. </w:t>
      </w:r>
      <w:hyperlink r:id="rId31">
        <w:r>
          <w:rPr>
            <w:rFonts w:ascii="Calibri" w:hAnsi="Calibri"/>
            <w:color w:val="2E74B5"/>
            <w:u w:val="single"/>
          </w:rPr>
          <w:t>Open reference</w:t>
        </w:r>
      </w:hyperlink>
    </w:p>
    <w:p>
      <w:pPr>
        <w:pStyle w:val="Heading1"/>
      </w:pPr>
      <w:r>
        <w:t>Appendix A. Stage 1 run record</w:t>
      </w:r>
    </w:p>
    <w:p>
      <w:r>
        <w:t>Every sweep result should include the following fields so numerical and physical comparisons remain reproducible.</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cantSplit w:val="true"/>
        </w:trPr>
        <w:tc>
          <w:tcPr>
            <w:tcW w:type="dxa" w:w="1800"/>
            <w:shd w:fill="E8EEF5"/>
            <w:vAlign w:val="center"/>
            <w:tcMar>
              <w:top w:w="80" w:type="dxa"/>
              <w:bottom w:w="80" w:type="dxa"/>
              <w:start w:w="120" w:type="dxa"/>
              <w:end w:w="120" w:type="dxa"/>
            </w:tcMar>
          </w:tcPr>
          <w:p>
            <w:pPr>
              <w:spacing w:before="0" w:after="0" w:line="252" w:lineRule="auto"/>
            </w:pPr>
            <w:r>
              <w:rPr>
                <w:rFonts w:ascii="Calibri" w:hAnsi="Calibri"/>
                <w:b/>
                <w:color w:val="0B2545"/>
                <w:sz w:val="17"/>
              </w:rPr>
              <w:t>Category</w:t>
            </w:r>
          </w:p>
        </w:tc>
        <w:tc>
          <w:tcPr>
            <w:tcW w:type="dxa" w:w="7560"/>
            <w:shd w:fill="E8EEF5"/>
            <w:vAlign w:val="center"/>
            <w:tcMar>
              <w:top w:w="80" w:type="dxa"/>
              <w:bottom w:w="80" w:type="dxa"/>
              <w:start w:w="120" w:type="dxa"/>
              <w:end w:w="120" w:type="dxa"/>
            </w:tcMar>
          </w:tcPr>
          <w:p>
            <w:pPr>
              <w:spacing w:before="0" w:after="0" w:line="252" w:lineRule="auto"/>
            </w:pPr>
            <w:r>
              <w:rPr>
                <w:rFonts w:ascii="Calibri" w:hAnsi="Calibri"/>
                <w:b/>
                <w:color w:val="0B2545"/>
                <w:sz w:val="17"/>
              </w:rPr>
              <w:t>Required fields</w:t>
            </w:r>
          </w:p>
        </w:tc>
      </w:tr>
      <w:tr>
        <w:trPr>
          <w:cantSplit w:val="true"/>
        </w:trPr>
        <w:tc>
          <w:tcPr>
            <w:tcW w:type="dxa" w:w="1800"/>
            <w:vAlign w:val="center"/>
            <w:tcMar>
              <w:top w:w="80" w:type="dxa"/>
              <w:bottom w:w="80" w:type="dxa"/>
              <w:start w:w="120" w:type="dxa"/>
              <w:end w:w="120" w:type="dxa"/>
            </w:tcMar>
          </w:tcPr>
          <w:p>
            <w:pPr>
              <w:spacing w:before="0" w:after="0" w:line="259" w:lineRule="auto"/>
            </w:pPr>
            <w:r>
              <w:rPr>
                <w:rFonts w:ascii="Calibri" w:hAnsi="Calibri"/>
                <w:color w:val="000000"/>
                <w:sz w:val="17"/>
              </w:rPr>
              <w:t>Identity</w:t>
            </w:r>
          </w:p>
        </w:tc>
        <w:tc>
          <w:tcPr>
            <w:tcW w:type="dxa" w:w="7560"/>
            <w:vAlign w:val="center"/>
            <w:tcMar>
              <w:top w:w="80" w:type="dxa"/>
              <w:bottom w:w="80" w:type="dxa"/>
              <w:start w:w="120" w:type="dxa"/>
              <w:end w:w="120" w:type="dxa"/>
            </w:tcMar>
          </w:tcPr>
          <w:p>
            <w:pPr>
              <w:spacing w:before="0" w:after="0" w:line="259" w:lineRule="auto"/>
            </w:pPr>
            <w:r>
              <w:rPr>
                <w:rFonts w:ascii="Calibri" w:hAnsi="Calibri"/>
                <w:color w:val="000000"/>
                <w:sz w:val="17"/>
              </w:rPr>
              <w:t>git commit, code version, date, hostname/hardware, precision</w:t>
            </w:r>
          </w:p>
        </w:tc>
      </w:tr>
      <w:tr>
        <w:trPr>
          <w:cantSplit w:val="true"/>
        </w:trPr>
        <w:tc>
          <w:tcPr>
            <w:tcW w:type="dxa" w:w="180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Grid</w:t>
            </w:r>
          </w:p>
        </w:tc>
        <w:tc>
          <w:tcPr>
            <w:tcW w:type="dxa" w:w="756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N, Ptop, Pbottom, interface and centre construction, irregularity seed</w:t>
            </w:r>
          </w:p>
        </w:tc>
      </w:tr>
      <w:tr>
        <w:trPr>
          <w:cantSplit w:val="true"/>
        </w:trPr>
        <w:tc>
          <w:tcPr>
            <w:tcW w:type="dxa" w:w="1800"/>
            <w:vAlign w:val="center"/>
            <w:tcMar>
              <w:top w:w="80" w:type="dxa"/>
              <w:bottom w:w="80" w:type="dxa"/>
              <w:start w:w="120" w:type="dxa"/>
              <w:end w:w="120" w:type="dxa"/>
            </w:tcMar>
          </w:tcPr>
          <w:p>
            <w:pPr>
              <w:spacing w:before="0" w:after="0" w:line="259" w:lineRule="auto"/>
            </w:pPr>
            <w:r>
              <w:rPr>
                <w:rFonts w:ascii="Calibri" w:hAnsi="Calibri"/>
                <w:color w:val="000000"/>
                <w:sz w:val="17"/>
              </w:rPr>
              <w:t>Physics</w:t>
            </w:r>
          </w:p>
        </w:tc>
        <w:tc>
          <w:tcPr>
            <w:tcW w:type="dxa" w:w="7560"/>
            <w:vAlign w:val="center"/>
            <w:tcMar>
              <w:top w:w="80" w:type="dxa"/>
              <w:bottom w:w="80" w:type="dxa"/>
              <w:start w:w="120" w:type="dxa"/>
              <w:end w:w="120" w:type="dxa"/>
            </w:tcMar>
          </w:tcPr>
          <w:p>
            <w:pPr>
              <w:spacing w:before="0" w:after="0" w:line="259" w:lineRule="auto"/>
            </w:pPr>
            <w:r>
              <w:rPr>
                <w:rFonts w:ascii="Calibri" w:hAnsi="Calibri"/>
                <w:color w:val="000000"/>
                <w:sz w:val="17"/>
              </w:rPr>
              <w:t>mu, cp/EOS version, g, alpha, MLT prefactor, mixing-length rule, boundaries</w:t>
            </w:r>
          </w:p>
        </w:tc>
      </w:tr>
      <w:tr>
        <w:trPr>
          <w:cantSplit w:val="true"/>
        </w:trPr>
        <w:tc>
          <w:tcPr>
            <w:tcW w:type="dxa" w:w="180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Integrator</w:t>
            </w:r>
          </w:p>
        </w:tc>
        <w:tc>
          <w:tcPr>
            <w:tcW w:type="dxa" w:w="756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method, dt rule, safety factor, epsilon_T, max steps/time, tolerances</w:t>
            </w:r>
          </w:p>
        </w:tc>
      </w:tr>
      <w:tr>
        <w:trPr>
          <w:cantSplit w:val="true"/>
        </w:trPr>
        <w:tc>
          <w:tcPr>
            <w:tcW w:type="dxa" w:w="1800"/>
            <w:vAlign w:val="center"/>
            <w:tcMar>
              <w:top w:w="80" w:type="dxa"/>
              <w:bottom w:w="80" w:type="dxa"/>
              <w:start w:w="120" w:type="dxa"/>
              <w:end w:w="120" w:type="dxa"/>
            </w:tcMar>
          </w:tcPr>
          <w:p>
            <w:pPr>
              <w:spacing w:before="0" w:after="0" w:line="259" w:lineRule="auto"/>
            </w:pPr>
            <w:r>
              <w:rPr>
                <w:rFonts w:ascii="Calibri" w:hAnsi="Calibri"/>
                <w:color w:val="000000"/>
                <w:sz w:val="17"/>
              </w:rPr>
              <w:t>Initial condition</w:t>
            </w:r>
          </w:p>
        </w:tc>
        <w:tc>
          <w:tcPr>
            <w:tcW w:type="dxa" w:w="7560"/>
            <w:vAlign w:val="center"/>
            <w:tcMar>
              <w:top w:w="80" w:type="dxa"/>
              <w:bottom w:w="80" w:type="dxa"/>
              <w:start w:w="120" w:type="dxa"/>
              <w:end w:w="120" w:type="dxa"/>
            </w:tcMar>
          </w:tcPr>
          <w:p>
            <w:pPr>
              <w:spacing w:before="0" w:after="0" w:line="259" w:lineRule="auto"/>
            </w:pPr>
            <w:r>
              <w:rPr>
                <w:rFonts w:ascii="Calibri" w:hAnsi="Calibri"/>
                <w:color w:val="000000"/>
                <w:sz w:val="17"/>
              </w:rPr>
              <w:t>profile family, parameters, perturbation/mixed-region definition</w:t>
            </w:r>
          </w:p>
        </w:tc>
      </w:tr>
      <w:tr>
        <w:trPr>
          <w:cantSplit w:val="true"/>
        </w:trPr>
        <w:tc>
          <w:tcPr>
            <w:tcW w:type="dxa" w:w="180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Outcome</w:t>
            </w:r>
          </w:p>
        </w:tc>
        <w:tc>
          <w:tcPr>
            <w:tcW w:type="dxa" w:w="756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converged flag/reason, steps, simulated relaxation time, wall time</w:t>
            </w:r>
          </w:p>
        </w:tc>
      </w:tr>
      <w:tr>
        <w:trPr>
          <w:cantSplit w:val="true"/>
        </w:trPr>
        <w:tc>
          <w:tcPr>
            <w:tcW w:type="dxa" w:w="1800"/>
            <w:vAlign w:val="center"/>
            <w:tcMar>
              <w:top w:w="80" w:type="dxa"/>
              <w:bottom w:w="80" w:type="dxa"/>
              <w:start w:w="120" w:type="dxa"/>
              <w:end w:w="120" w:type="dxa"/>
            </w:tcMar>
          </w:tcPr>
          <w:p>
            <w:pPr>
              <w:spacing w:before="0" w:after="0" w:line="259" w:lineRule="auto"/>
            </w:pPr>
            <w:r>
              <w:rPr>
                <w:rFonts w:ascii="Calibri" w:hAnsi="Calibri"/>
                <w:color w:val="000000"/>
                <w:sz w:val="17"/>
              </w:rPr>
              <w:t>Budgets</w:t>
            </w:r>
          </w:p>
        </w:tc>
        <w:tc>
          <w:tcPr>
            <w:tcW w:type="dxa" w:w="7560"/>
            <w:vAlign w:val="center"/>
            <w:tcMar>
              <w:top w:w="80" w:type="dxa"/>
              <w:bottom w:w="80" w:type="dxa"/>
              <w:start w:w="120" w:type="dxa"/>
              <w:end w:w="120" w:type="dxa"/>
            </w:tcMar>
          </w:tcPr>
          <w:p>
            <w:pPr>
              <w:spacing w:before="0" w:after="0" w:line="259" w:lineRule="auto"/>
            </w:pPr>
            <w:r>
              <w:rPr>
                <w:rFonts w:ascii="Calibri" w:hAnsi="Calibri"/>
                <w:color w:val="000000"/>
                <w:sz w:val="17"/>
              </w:rPr>
              <w:t>initial/final enthalpy, drift, boundary flux integral</w:t>
            </w:r>
          </w:p>
        </w:tc>
      </w:tr>
      <w:tr>
        <w:trPr>
          <w:cantSplit w:val="true"/>
        </w:trPr>
        <w:tc>
          <w:tcPr>
            <w:tcW w:type="dxa" w:w="180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Errors</w:t>
            </w:r>
          </w:p>
        </w:tc>
        <w:tc>
          <w:tcPr>
            <w:tcW w:type="dxa" w:w="756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T RMS/max, slope RMS/max, entropy/potential-temperature spread, observed order</w:t>
            </w:r>
          </w:p>
        </w:tc>
      </w:tr>
      <w:tr>
        <w:trPr>
          <w:cantSplit w:val="true"/>
        </w:trPr>
        <w:tc>
          <w:tcPr>
            <w:tcW w:type="dxa" w:w="1800"/>
            <w:vAlign w:val="center"/>
            <w:tcMar>
              <w:top w:w="80" w:type="dxa"/>
              <w:bottom w:w="80" w:type="dxa"/>
              <w:start w:w="120" w:type="dxa"/>
              <w:end w:w="120" w:type="dxa"/>
            </w:tcMar>
          </w:tcPr>
          <w:p>
            <w:pPr>
              <w:spacing w:before="0" w:after="0" w:line="259" w:lineRule="auto"/>
            </w:pPr>
            <w:r>
              <w:rPr>
                <w:rFonts w:ascii="Calibri" w:hAnsi="Calibri"/>
                <w:color w:val="000000"/>
                <w:sz w:val="17"/>
              </w:rPr>
              <w:t>Diagnostics</w:t>
            </w:r>
          </w:p>
        </w:tc>
        <w:tc>
          <w:tcPr>
            <w:tcW w:type="dxa" w:w="7560"/>
            <w:vAlign w:val="center"/>
            <w:tcMar>
              <w:top w:w="80" w:type="dxa"/>
              <w:bottom w:w="80" w:type="dxa"/>
              <w:start w:w="120" w:type="dxa"/>
              <w:end w:w="120" w:type="dxa"/>
            </w:tcMar>
          </w:tcPr>
          <w:p>
            <w:pPr>
              <w:spacing w:before="0" w:after="0" w:line="259" w:lineRule="auto"/>
            </w:pPr>
            <w:r>
              <w:rPr>
                <w:rFonts w:ascii="Calibri" w:hAnsi="Calibri"/>
                <w:color w:val="000000"/>
                <w:sz w:val="17"/>
              </w:rPr>
              <w:t>min/max dt, max w, ell, Fconv, Kzz, overshoot count, stable/unstable interfaces</w:t>
            </w:r>
          </w:p>
        </w:tc>
      </w:tr>
    </w:tbl>
    <w:p>
      <w:pPr>
        <w:spacing w:after="20"/>
      </w:pPr>
    </w:p>
    <w:p>
      <w:pPr>
        <w:pStyle w:val="Heading1"/>
      </w:pPr>
      <w:r>
        <w:t>Appendix B. Decision points before physical expansion</w:t>
      </w:r>
    </w:p>
    <w:tbl>
      <w:tblPr>
        <w:tblStyle w:val="TableGrid"/>
        <w:tblW w:type="dxa" w:w="9360"/>
        <w:jc w:val="left"/>
        <w:tblLayout w:type="fixed"/>
        <w:tblLook w:firstColumn="1" w:firstRow="1" w:lastColumn="0" w:lastRow="0" w:noHBand="0" w:noVBand="1" w:val="04A0"/>
        <w:tblInd w:type="dxa" w:w="120"/>
      </w:tblPr>
      <w:tblGrid>
        <w:gridCol w:w="2600"/>
        <w:gridCol w:w="6760"/>
      </w:tblGrid>
      <w:tr>
        <w:trPr>
          <w:tblHeader w:val="true"/>
          <w:cantSplit w:val="true"/>
        </w:trPr>
        <w:tc>
          <w:tcPr>
            <w:tcW w:type="dxa" w:w="2600"/>
            <w:shd w:fill="E8EEF5"/>
            <w:vAlign w:val="center"/>
            <w:tcMar>
              <w:top w:w="80" w:type="dxa"/>
              <w:bottom w:w="80" w:type="dxa"/>
              <w:start w:w="120" w:type="dxa"/>
              <w:end w:w="120" w:type="dxa"/>
            </w:tcMar>
          </w:tcPr>
          <w:p>
            <w:pPr>
              <w:spacing w:before="0" w:after="0" w:line="252" w:lineRule="auto"/>
            </w:pPr>
            <w:r>
              <w:rPr>
                <w:rFonts w:ascii="Calibri" w:hAnsi="Calibri"/>
                <w:b/>
                <w:color w:val="0B2545"/>
                <w:sz w:val="17"/>
              </w:rPr>
              <w:t>Decision</w:t>
            </w:r>
          </w:p>
        </w:tc>
        <w:tc>
          <w:tcPr>
            <w:tcW w:type="dxa" w:w="6760"/>
            <w:shd w:fill="E8EEF5"/>
            <w:vAlign w:val="center"/>
            <w:tcMar>
              <w:top w:w="80" w:type="dxa"/>
              <w:bottom w:w="80" w:type="dxa"/>
              <w:start w:w="120" w:type="dxa"/>
              <w:end w:w="120" w:type="dxa"/>
            </w:tcMar>
          </w:tcPr>
          <w:p>
            <w:pPr>
              <w:spacing w:before="0" w:after="0" w:line="252" w:lineRule="auto"/>
            </w:pPr>
            <w:r>
              <w:rPr>
                <w:rFonts w:ascii="Calibri" w:hAnsi="Calibri"/>
                <w:b/>
                <w:color w:val="0B2545"/>
                <w:sz w:val="17"/>
              </w:rPr>
              <w:t>Trigger / rule</w:t>
            </w:r>
          </w:p>
        </w:tc>
      </w:tr>
      <w:tr>
        <w:trPr>
          <w:cantSplit w:val="true"/>
        </w:trPr>
        <w:tc>
          <w:tcPr>
            <w:tcW w:type="dxa" w:w="2600"/>
            <w:vAlign w:val="center"/>
            <w:tcMar>
              <w:top w:w="80" w:type="dxa"/>
              <w:bottom w:w="80" w:type="dxa"/>
              <w:start w:w="120" w:type="dxa"/>
              <w:end w:w="120" w:type="dxa"/>
            </w:tcMar>
          </w:tcPr>
          <w:p>
            <w:pPr>
              <w:spacing w:before="0" w:after="0" w:line="259" w:lineRule="auto"/>
            </w:pPr>
            <w:r>
              <w:rPr>
                <w:rFonts w:ascii="Calibri" w:hAnsi="Calibri"/>
                <w:color w:val="000000"/>
                <w:sz w:val="17"/>
              </w:rPr>
              <w:t>Simple versus radiatively leaky MLT</w:t>
            </w:r>
          </w:p>
        </w:tc>
        <w:tc>
          <w:tcPr>
            <w:tcW w:type="dxa" w:w="6760"/>
            <w:vAlign w:val="center"/>
            <w:tcMar>
              <w:top w:w="80" w:type="dxa"/>
              <w:bottom w:w="80" w:type="dxa"/>
              <w:start w:w="120" w:type="dxa"/>
              <w:end w:w="120" w:type="dxa"/>
            </w:tcMar>
          </w:tcPr>
          <w:p>
            <w:pPr>
              <w:spacing w:before="0" w:after="0" w:line="259" w:lineRule="auto"/>
            </w:pPr>
            <w:r>
              <w:rPr>
                <w:rFonts w:ascii="Calibri" w:hAnsi="Calibri"/>
                <w:color w:val="000000"/>
                <w:sz w:val="17"/>
              </w:rPr>
              <w:t>Promote GENESIS/Henyey-like parcel radiative exchange only if matched tests show meaningful differences near optically thin/inefficient convection or the RCB.</w:t>
            </w:r>
          </w:p>
        </w:tc>
      </w:tr>
      <w:tr>
        <w:trPr>
          <w:cantSplit w:val="true"/>
        </w:trPr>
        <w:tc>
          <w:tcPr>
            <w:tcW w:type="dxa" w:w="260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Explicit versus steady solver</w:t>
            </w:r>
          </w:p>
        </w:tc>
        <w:tc>
          <w:tcPr>
            <w:tcW w:type="dxa" w:w="676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Retain explicit reference; use steady residual solve for production RCE after equivalence is demonstrated.</w:t>
            </w:r>
          </w:p>
        </w:tc>
      </w:tr>
      <w:tr>
        <w:trPr>
          <w:cantSplit w:val="true"/>
        </w:trPr>
        <w:tc>
          <w:tcPr>
            <w:tcW w:type="dxa" w:w="2600"/>
            <w:vAlign w:val="center"/>
            <w:tcMar>
              <w:top w:w="80" w:type="dxa"/>
              <w:bottom w:w="80" w:type="dxa"/>
              <w:start w:w="120" w:type="dxa"/>
              <w:end w:w="120" w:type="dxa"/>
            </w:tcMar>
          </w:tcPr>
          <w:p>
            <w:pPr>
              <w:spacing w:before="0" w:after="0" w:line="259" w:lineRule="auto"/>
            </w:pPr>
            <w:r>
              <w:rPr>
                <w:rFonts w:ascii="Calibri" w:hAnsi="Calibri"/>
                <w:color w:val="000000"/>
                <w:sz w:val="17"/>
              </w:rPr>
              <w:t>Radiative linear solver</w:t>
            </w:r>
          </w:p>
        </w:tc>
        <w:tc>
          <w:tcPr>
            <w:tcW w:type="dxa" w:w="6760"/>
            <w:vAlign w:val="center"/>
            <w:tcMar>
              <w:top w:w="80" w:type="dxa"/>
              <w:bottom w:w="80" w:type="dxa"/>
              <w:start w:w="120" w:type="dxa"/>
              <w:end w:w="120" w:type="dxa"/>
            </w:tcMar>
          </w:tcPr>
          <w:p>
            <w:pPr>
              <w:spacing w:before="0" w:after="0" w:line="259" w:lineRule="auto"/>
            </w:pPr>
            <w:r>
              <w:rPr>
                <w:rFonts w:ascii="Calibri" w:hAnsi="Calibri"/>
                <w:color w:val="000000"/>
                <w:sz w:val="17"/>
              </w:rPr>
              <w:t>Keep NumPy Thomas plus dense/sweep references. Use JAX tridiagonal solves for production only after float64 parity and workload-specific speedup are demonstrated.</w:t>
            </w:r>
          </w:p>
        </w:tc>
      </w:tr>
      <w:tr>
        <w:trPr>
          <w:cantSplit w:val="true"/>
        </w:trPr>
        <w:tc>
          <w:tcPr>
            <w:tcW w:type="dxa" w:w="260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Opacity dependency</w:t>
            </w:r>
          </w:p>
        </w:tc>
        <w:tc>
          <w:tcPr>
            <w:tcW w:type="dxa" w:w="676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Use shone-compatible opacity acquisition/interpolation where beneficial, behind a project-owned provider interface. Do not couple correctness to draft emission code.</w:t>
            </w:r>
          </w:p>
        </w:tc>
      </w:tr>
      <w:tr>
        <w:trPr>
          <w:cantSplit w:val="true"/>
        </w:trPr>
        <w:tc>
          <w:tcPr>
            <w:tcW w:type="dxa" w:w="2600"/>
            <w:vAlign w:val="center"/>
            <w:tcMar>
              <w:top w:w="80" w:type="dxa"/>
              <w:bottom w:w="80" w:type="dxa"/>
              <w:start w:w="120" w:type="dxa"/>
              <w:end w:w="120" w:type="dxa"/>
            </w:tcMar>
          </w:tcPr>
          <w:p>
            <w:pPr>
              <w:spacing w:before="0" w:after="0" w:line="259" w:lineRule="auto"/>
            </w:pPr>
            <w:r>
              <w:rPr>
                <w:rFonts w:ascii="Calibri" w:hAnsi="Calibri"/>
                <w:color w:val="000000"/>
                <w:sz w:val="17"/>
              </w:rPr>
              <w:t>Feedback ordering</w:t>
            </w:r>
          </w:p>
        </w:tc>
        <w:tc>
          <w:tcPr>
            <w:tcW w:type="dxa" w:w="6760"/>
            <w:vAlign w:val="center"/>
            <w:tcMar>
              <w:top w:w="80" w:type="dxa"/>
              <w:bottom w:w="80" w:type="dxa"/>
              <w:start w:w="120" w:type="dxa"/>
              <w:end w:w="120" w:type="dxa"/>
            </w:tcMar>
          </w:tcPr>
          <w:p>
            <w:pPr>
              <w:spacing w:before="0" w:after="0" w:line="259" w:lineRule="auto"/>
            </w:pPr>
            <w:r>
              <w:rPr>
                <w:rFonts w:ascii="Calibri" w:hAnsi="Calibri"/>
                <w:color w:val="000000"/>
                <w:sz w:val="17"/>
              </w:rPr>
              <w:t>Validate dry-surface and latent-energy modules with fixed/frozen opacity before two-way VULCAN gas-opacity feedback; complete condensing RCE only after the feedback loop is available.</w:t>
            </w:r>
          </w:p>
        </w:tc>
      </w:tr>
      <w:tr>
        <w:trPr>
          <w:cantSplit w:val="true"/>
        </w:trPr>
        <w:tc>
          <w:tcPr>
            <w:tcW w:type="dxa" w:w="260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Schwarzschild versus Ledoux</w:t>
            </w:r>
          </w:p>
        </w:tc>
        <w:tc>
          <w:tcPr>
            <w:tcW w:type="dxa" w:w="676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Use Schwarzschild for homogeneous dry stages. Add Ledoux when chemistry, condensation, or escape creates persistent mu gradients.</w:t>
            </w:r>
          </w:p>
        </w:tc>
      </w:tr>
      <w:tr>
        <w:trPr>
          <w:cantSplit w:val="true"/>
        </w:trPr>
        <w:tc>
          <w:tcPr>
            <w:tcW w:type="dxa" w:w="2600"/>
            <w:vAlign w:val="center"/>
            <w:tcMar>
              <w:top w:w="80" w:type="dxa"/>
              <w:bottom w:w="80" w:type="dxa"/>
              <w:start w:w="120" w:type="dxa"/>
              <w:end w:w="120" w:type="dxa"/>
            </w:tcMar>
          </w:tcPr>
          <w:p>
            <w:pPr>
              <w:spacing w:before="0" w:after="0" w:line="259" w:lineRule="auto"/>
            </w:pPr>
            <w:r>
              <w:rPr>
                <w:rFonts w:ascii="Calibri" w:hAnsi="Calibri"/>
                <w:color w:val="000000"/>
                <w:sz w:val="17"/>
              </w:rPr>
              <w:t>MLT Kzz outside convection</w:t>
            </w:r>
          </w:p>
        </w:tc>
        <w:tc>
          <w:tcPr>
            <w:tcW w:type="dxa" w:w="6760"/>
            <w:vAlign w:val="center"/>
            <w:tcMar>
              <w:top w:w="80" w:type="dxa"/>
              <w:bottom w:w="80" w:type="dxa"/>
              <w:start w:w="120" w:type="dxa"/>
              <w:end w:w="120" w:type="dxa"/>
            </w:tcMar>
          </w:tcPr>
          <w:p>
            <w:pPr>
              <w:spacing w:before="0" w:after="0" w:line="259" w:lineRule="auto"/>
            </w:pPr>
            <w:r>
              <w:rPr>
                <w:rFonts w:ascii="Calibri" w:hAnsi="Calibri"/>
                <w:color w:val="000000"/>
                <w:sz w:val="17"/>
              </w:rPr>
              <w:t>Do not extrapolate silently. Choose and label overshoot/background prescriptions per science case.</w:t>
            </w:r>
          </w:p>
        </w:tc>
      </w:tr>
      <w:tr>
        <w:trPr>
          <w:cantSplit w:val="true"/>
        </w:trPr>
        <w:tc>
          <w:tcPr>
            <w:tcW w:type="dxa" w:w="260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Moist treatment</w:t>
            </w:r>
          </w:p>
        </w:tc>
        <w:tc>
          <w:tcPr>
            <w:tcW w:type="dxa" w:w="6760"/>
            <w:vAlign w:val="center"/>
            <w:shd w:fill="FAFBFC"/>
            <w:tcMar>
              <w:top w:w="80" w:type="dxa"/>
              <w:bottom w:w="80" w:type="dxa"/>
              <w:start w:w="120" w:type="dxa"/>
              <w:end w:w="120" w:type="dxa"/>
            </w:tcMar>
          </w:tcPr>
          <w:p>
            <w:pPr>
              <w:spacing w:before="0" w:after="0" w:line="259" w:lineRule="auto"/>
            </w:pPr>
            <w:r>
              <w:rPr>
                <w:rFonts w:ascii="Calibri" w:hAnsi="Calibri"/>
                <w:color w:val="000000"/>
                <w:sz w:val="17"/>
              </w:rPr>
              <w:t>Do not substitute nabla_moist into dry MLT as the final scheme without an energy budget. Add condensation, latent transport and reservoirs explicitly.</w:t>
            </w:r>
          </w:p>
        </w:tc>
      </w:tr>
      <w:tr>
        <w:trPr>
          <w:cantSplit w:val="true"/>
        </w:trPr>
        <w:tc>
          <w:tcPr>
            <w:tcW w:type="dxa" w:w="2600"/>
            <w:vAlign w:val="center"/>
            <w:tcMar>
              <w:top w:w="80" w:type="dxa"/>
              <w:bottom w:w="80" w:type="dxa"/>
              <w:start w:w="120" w:type="dxa"/>
              <w:end w:w="120" w:type="dxa"/>
            </w:tcMar>
          </w:tcPr>
          <w:p>
            <w:pPr>
              <w:spacing w:before="0" w:after="0" w:line="259" w:lineRule="auto"/>
            </w:pPr>
            <w:r>
              <w:rPr>
                <w:rFonts w:ascii="Calibri" w:hAnsi="Calibri"/>
                <w:color w:val="000000"/>
                <w:sz w:val="17"/>
              </w:rPr>
              <w:t>Time-dependent coupled physics</w:t>
            </w:r>
          </w:p>
        </w:tc>
        <w:tc>
          <w:tcPr>
            <w:tcW w:type="dxa" w:w="6760"/>
            <w:vAlign w:val="center"/>
            <w:tcMar>
              <w:top w:w="80" w:type="dxa"/>
              <w:bottom w:w="80" w:type="dxa"/>
              <w:start w:w="120" w:type="dxa"/>
              <w:end w:w="120" w:type="dxa"/>
            </w:tcMar>
          </w:tcPr>
          <w:p>
            <w:pPr>
              <w:spacing w:before="0" w:after="0" w:line="259" w:lineRule="auto"/>
            </w:pPr>
            <w:r>
              <w:rPr>
                <w:rFonts w:ascii="Calibri" w:hAnsi="Calibri"/>
                <w:color w:val="000000"/>
                <w:sz w:val="17"/>
              </w:rPr>
              <w:t>Attempt only after steady coupled solutions and separate process-response diagnostics are established.</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D6773"/>
        <w:sz w:val="18"/>
      </w:rPr>
      <w:t xml:space="preserve">Technical roadmap  |  </w:t>
    </w:r>
    <w:r>
      <w:rPr>
        <w:rFonts w:ascii="Calibri" w:hAnsi="Calibri"/>
        <w:color w:val="5D677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3" w:color="D8DEE6"/>
      </w:pBdr>
    </w:pPr>
    <w:r>
      <w:rPr>
        <w:rFonts w:ascii="Calibri" w:hAnsi="Calibri"/>
        <w:b/>
        <w:color w:val="5D6773"/>
        <w:sz w:val="17"/>
      </w:rPr>
      <w:t>HELIOS–VULCAN MLT PROJECT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space"/>
      <w:lvlJc w:val="left"/>
      <w:pPr>
        <w:ind w:left="540" w:hanging="270"/>
        <w:spacing w:after="80" w:line="300" w:lineRule="auto"/>
      </w:pPr>
    </w:lvl>
  </w:abstractNum>
  <w:num w:numId="10">
    <w:abstractNumId w:val="9"/>
  </w:num>
  <w:abstractNum w:abstractNumId="10">
    <w:multiLevelType w:val="singleLevel"/>
    <w:lvl w:ilvl="0">
      <w:start w:val="1"/>
      <w:numFmt w:val="decimal"/>
      <w:lvlText w:val="%1."/>
      <w:suff w:val="space"/>
      <w:lvlJc w:val="left"/>
      <w:pPr>
        <w:ind w:left="540" w:hanging="270"/>
        <w:spacing w:after="80" w:line="300" w:lineRule="auto"/>
      </w:pPr>
    </w:lvl>
  </w:abstractNum>
  <w:num w:numId="11">
    <w:abstractNumId w:val="10"/>
  </w:num>
  <w:abstractNum w:abstractNumId="11">
    <w:multiLevelType w:val="singleLevel"/>
    <w:lvl w:ilvl="0">
      <w:start w:val="1"/>
      <w:numFmt w:val="bullet"/>
      <w:lvlText w:val="•"/>
      <w:suff w:val="space"/>
      <w:lvlJc w:val="left"/>
      <w:pPr>
        <w:ind w:left="540" w:hanging="270"/>
        <w:spacing w:after="80" w:line="300" w:lineRule="auto"/>
      </w:pPr>
    </w:lvl>
  </w:abstractNum>
  <w:num w:numId="12">
    <w:abstractNumId w:val="11"/>
  </w:num>
  <w:abstractNum w:abstractNumId="12">
    <w:multiLevelType w:val="singleLevel"/>
    <w:lvl w:ilvl="0">
      <w:start w:val="1"/>
      <w:numFmt w:val="decimal"/>
      <w:lvlText w:val="%1."/>
      <w:suff w:val="space"/>
      <w:lvlJc w:val="left"/>
      <w:pPr>
        <w:ind w:left="540" w:hanging="270"/>
        <w:spacing w:after="80" w:line="300" w:lineRule="auto"/>
      </w:pPr>
    </w:lvl>
  </w:abstractNum>
  <w:num w:numId="13">
    <w:abstractNumId w:val="12"/>
  </w:num>
  <w:abstractNum w:abstractNumId="13">
    <w:multiLevelType w:val="singleLevel"/>
    <w:lvl w:ilvl="0">
      <w:start w:val="1"/>
      <w:numFmt w:val="bullet"/>
      <w:lvlText w:val="•"/>
      <w:suff w:val="space"/>
      <w:lvlJc w:val="left"/>
      <w:pPr>
        <w:ind w:left="540" w:hanging="270"/>
        <w:spacing w:after="80" w:line="300" w:lineRule="auto"/>
      </w:pPr>
    </w:lvl>
  </w:abstractNum>
  <w:num w:numId="14">
    <w:abstractNumId w:val="13"/>
  </w:num>
  <w:abstractNum w:abstractNumId="14">
    <w:multiLevelType w:val="singleLevel"/>
    <w:lvl w:ilvl="0">
      <w:start w:val="1"/>
      <w:numFmt w:val="decimal"/>
      <w:lvlText w:val="%1."/>
      <w:suff w:val="space"/>
      <w:lvlJc w:val="left"/>
      <w:pPr>
        <w:ind w:left="540" w:hanging="270"/>
        <w:spacing w:after="80" w:line="300" w:lineRule="auto"/>
      </w:pPr>
    </w:lvl>
  </w:abstractNum>
  <w:num w:numId="15">
    <w:abstractNumId w:val="14"/>
  </w:num>
  <w:abstractNum w:abstractNumId="15">
    <w:multiLevelType w:val="singleLevel"/>
    <w:lvl w:ilvl="0">
      <w:start w:val="1"/>
      <w:numFmt w:val="bullet"/>
      <w:lvlText w:val="•"/>
      <w:suff w:val="space"/>
      <w:lvlJc w:val="left"/>
      <w:pPr>
        <w:ind w:left="540" w:hanging="270"/>
        <w:spacing w:after="80" w:line="300" w:lineRule="auto"/>
      </w:pPr>
    </w:lvl>
  </w:abstractNum>
  <w:num w:numId="16">
    <w:abstractNumId w:val="15"/>
  </w:num>
  <w:abstractNum w:abstractNumId="16">
    <w:multiLevelType w:val="singleLevel"/>
    <w:lvl w:ilvl="0">
      <w:start w:val="1"/>
      <w:numFmt w:val="decimal"/>
      <w:lvlText w:val="%1."/>
      <w:suff w:val="space"/>
      <w:lvlJc w:val="left"/>
      <w:pPr>
        <w:ind w:left="540" w:hanging="270"/>
        <w:spacing w:after="80" w:line="300" w:lineRule="auto"/>
      </w:pPr>
    </w:lvl>
  </w:abstract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line="240" w:lineRule="auto"/>
    </w:pPr>
    <w:rPr>
      <w:rFonts w:asciiTheme="majorHAnsi" w:eastAsiaTheme="majorEastAsia" w:hAnsiTheme="majorHAnsi" w:cstheme="majorBidi" w:ascii="Calibri" w:hAnsi="Calibri"/>
      <w:b w:val="0"/>
      <w:i/>
      <w:iCs/>
      <w:color w:val="5D67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140" w:line="276" w:lineRule="auto"/>
      <w:ind w:left="259" w:right="259"/>
    </w:pPr>
    <w:rPr>
      <w:rFonts w:ascii="Cambria Math" w:hAnsi="Cambria Math"/>
      <w:sz w:val="21"/>
    </w:rPr>
  </w:style>
  <w:style w:type="paragraph" w:customStyle="1" w:styleId="SmallNote">
    <w:name w:val="Small Note"/>
    <w:pPr>
      <w:spacing w:before="80" w:after="80" w:line="276" w:lineRule="auto"/>
    </w:pPr>
    <w:rPr>
      <w:rFonts w:ascii="Calibri" w:hAnsi="Calibri"/>
      <w:color w:val="5D67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21105/joss.07726" TargetMode="External"/><Relationship Id="rId12" Type="http://schemas.openxmlformats.org/officeDocument/2006/relationships/hyperlink" Target="https://www.h-nicholls.space/AGNI/dev/explanation/model/" TargetMode="External"/><Relationship Id="rId13" Type="http://schemas.openxmlformats.org/officeDocument/2006/relationships/hyperlink" Target="https://www.h-nicholls.space/AGNI/dev/explanation/model_convection/" TargetMode="External"/><Relationship Id="rId14" Type="http://schemas.openxmlformats.org/officeDocument/2006/relationships/hyperlink" Target="https://doi.org/10.1093/mnras/stae2772" TargetMode="External"/><Relationship Id="rId15" Type="http://schemas.openxmlformats.org/officeDocument/2006/relationships/hyperlink" Target="https://doi.org/10.3847/1538-3881/ab1084" TargetMode="External"/><Relationship Id="rId16" Type="http://schemas.openxmlformats.org/officeDocument/2006/relationships/hyperlink" Target="https://github.com/exoclime/HELIOS" TargetMode="External"/><Relationship Id="rId17" Type="http://schemas.openxmlformats.org/officeDocument/2006/relationships/hyperlink" Target="https://arxiv.org/abs/1607.00409" TargetMode="External"/><Relationship Id="rId18" Type="http://schemas.openxmlformats.org/officeDocument/2006/relationships/hyperlink" Target="https://doi.org/10.3847/1538-4357/ac29bc" TargetMode="External"/><Relationship Id="rId19" Type="http://schemas.openxmlformats.org/officeDocument/2006/relationships/hyperlink" Target="https://github.com/shami-EEG/VULCAN" TargetMode="External"/><Relationship Id="rId20" Type="http://schemas.openxmlformats.org/officeDocument/2006/relationships/hyperlink" Target="https://doi.org/10.1093/mnras/stae537" TargetMode="External"/><Relationship Id="rId21" Type="http://schemas.openxmlformats.org/officeDocument/2006/relationships/hyperlink" Target="https://github.com/ELeeAstro/Exo-FMS_column_ck" TargetMode="External"/><Relationship Id="rId22" Type="http://schemas.openxmlformats.org/officeDocument/2006/relationships/hyperlink" Target="https://doi.org/10.1088/0004-637X/785/2/158" TargetMode="External"/><Relationship Id="rId23" Type="http://schemas.openxmlformats.org/officeDocument/2006/relationships/hyperlink" Target="https://doi.org/10.1146/annurev-astro-082214-122522" TargetMode="External"/><Relationship Id="rId24" Type="http://schemas.openxmlformats.org/officeDocument/2006/relationships/hyperlink" Target="https://doi.org/10.1093/mnras/stx1601" TargetMode="External"/><Relationship Id="rId25" Type="http://schemas.openxmlformats.org/officeDocument/2006/relationships/hyperlink" Target="https://doi.org/10.3390/galaxies11030075" TargetMode="External"/><Relationship Id="rId26" Type="http://schemas.openxmlformats.org/officeDocument/2006/relationships/hyperlink" Target="https://github.com/bethany-burt/ConvectionMLT" TargetMode="External"/><Relationship Id="rId27" Type="http://schemas.openxmlformats.org/officeDocument/2006/relationships/hyperlink" Target="https://github.com/bmorris3/shone" TargetMode="External"/><Relationship Id="rId28" Type="http://schemas.openxmlformats.org/officeDocument/2006/relationships/hyperlink" Target="https://shone.readthedocs.io/en/latest/shone/examples/opacities.html" TargetMode="External"/><Relationship Id="rId29" Type="http://schemas.openxmlformats.org/officeDocument/2006/relationships/hyperlink" Target="https://docs.jax.dev/en/latest/_autosummary/jax.lax.linalg.tridiagonal_solve.html" TargetMode="External"/><Relationship Id="rId30" Type="http://schemas.openxmlformats.org/officeDocument/2006/relationships/hyperlink" Target="https://docs.jax.dev/en/latest/notebooks/thinking_in_jax.html" TargetMode="External"/><Relationship Id="rId31" Type="http://schemas.openxmlformats.org/officeDocument/2006/relationships/hyperlink" Target="https://github.com/bmorris3/shone/pull/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Mixing-Length Convection for HELIOS–VULCAN: Project Plan</dc:title>
  <dc:subject>Staged development and validation plan for 1D exoplanet radiative–convective–photochemical modelling</dc:subject>
  <dc:creator>Cosmic Arch project</dc:creator>
  <cp:keywords>HELIOS, VULCAN, mixing length theory, two-stream radiative transfer, JAX, shone, opacity, exoplanet atmospheres, radiative-convective equilibrium</cp:keywords>
  <dc:description>generated by python-docx</dc:description>
  <cp:lastModifiedBy/>
  <cp:revision>1</cp:revision>
  <dcterms:created xsi:type="dcterms:W3CDTF">2013-12-23T23:15:00Z</dcterms:created>
  <dcterms:modified xsi:type="dcterms:W3CDTF">2013-12-23T23:15:00Z</dcterms:modified>
  <cp:category/>
</cp:coreProperties>
</file>