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A0C" w:rsidRDefault="00F656DE">
      <w:r>
        <w:rPr>
          <w:noProof/>
        </w:rPr>
        <w:pict>
          <v:shapetype id="_x0000_t202" coordsize="21600,21600" o:spt="202" path="m,l,21600r21600,l21600,xe">
            <v:stroke joinstyle="miter"/>
            <v:path gradientshapeok="t" o:connecttype="rect"/>
          </v:shapetype>
          <v:shape id="_x0000_s1026" type="#_x0000_t202" style="position:absolute;margin-left:217.95pt;margin-top:132.35pt;width:360.75pt;height:612.95pt;z-index:251658240;mso-position-horizontal-relative:text;mso-position-vertical-relative:text" filled="f" stroked="f" strokeweight="0">
            <v:textbox style="mso-next-textbox:#_x0000_s1026" inset="0,0,0,0">
              <w:txbxContent>
                <w:p w:rsidR="00922607" w:rsidRDefault="00922607" w:rsidP="00D30C2A">
                  <w:pPr>
                    <w:spacing w:after="0" w:line="240" w:lineRule="auto"/>
                    <w:rPr>
                      <w:b/>
                    </w:rPr>
                  </w:pPr>
                  <w:r>
                    <w:rPr>
                      <w:b/>
                    </w:rPr>
                    <w:t>Strategic Solutions</w:t>
                  </w:r>
                </w:p>
                <w:p w:rsidR="00922607" w:rsidRPr="0073080B" w:rsidRDefault="00922607" w:rsidP="00922607">
                  <w:pPr>
                    <w:pStyle w:val="NormalWeb"/>
                    <w:spacing w:beforeAutospacing="0" w:afterAutospacing="0"/>
                    <w:rPr>
                      <w:rFonts w:ascii="Calibri" w:hAnsi="Calibri"/>
                      <w:sz w:val="16"/>
                      <w:szCs w:val="16"/>
                    </w:rPr>
                  </w:pPr>
                  <w:r w:rsidRPr="0073080B">
                    <w:rPr>
                      <w:rFonts w:ascii="Calibri" w:hAnsi="Calibri"/>
                      <w:sz w:val="16"/>
                      <w:szCs w:val="16"/>
                    </w:rPr>
                    <w:t xml:space="preserve">IDCS realizes every next-generation network </w:t>
                  </w:r>
                  <w:r>
                    <w:rPr>
                      <w:rFonts w:ascii="Calibri" w:hAnsi="Calibri"/>
                      <w:sz w:val="16"/>
                      <w:szCs w:val="16"/>
                    </w:rPr>
                    <w:t>poses</w:t>
                  </w:r>
                  <w:r w:rsidRPr="0073080B">
                    <w:rPr>
                      <w:rFonts w:ascii="Calibri" w:hAnsi="Calibri"/>
                      <w:sz w:val="16"/>
                      <w:szCs w:val="16"/>
                    </w:rPr>
                    <w:t xml:space="preserve"> unique and individual characteristics.  </w:t>
                  </w:r>
                  <w:r>
                    <w:rPr>
                      <w:rFonts w:ascii="Calibri" w:hAnsi="Calibri"/>
                      <w:sz w:val="16"/>
                      <w:szCs w:val="16"/>
                    </w:rPr>
                    <w:t>Thus, IDCS d</w:t>
                  </w:r>
                  <w:r w:rsidRPr="0073080B">
                    <w:rPr>
                      <w:rFonts w:ascii="Calibri" w:hAnsi="Calibri"/>
                      <w:sz w:val="16"/>
                      <w:szCs w:val="16"/>
                    </w:rPr>
                    <w:t>evelop</w:t>
                  </w:r>
                  <w:r>
                    <w:rPr>
                      <w:rFonts w:ascii="Calibri" w:hAnsi="Calibri"/>
                      <w:sz w:val="16"/>
                      <w:szCs w:val="16"/>
                    </w:rPr>
                    <w:t>s</w:t>
                  </w:r>
                  <w:r w:rsidRPr="0073080B">
                    <w:rPr>
                      <w:rFonts w:ascii="Calibri" w:hAnsi="Calibri"/>
                      <w:sz w:val="16"/>
                      <w:szCs w:val="16"/>
                    </w:rPr>
                    <w:t xml:space="preserve"> clear and specific initiative</w:t>
                  </w:r>
                  <w:r>
                    <w:rPr>
                      <w:rFonts w:ascii="Calibri" w:hAnsi="Calibri"/>
                      <w:sz w:val="16"/>
                      <w:szCs w:val="16"/>
                    </w:rPr>
                    <w:t>s</w:t>
                  </w:r>
                  <w:r w:rsidRPr="0073080B">
                    <w:rPr>
                      <w:rFonts w:ascii="Calibri" w:hAnsi="Calibri"/>
                      <w:sz w:val="16"/>
                      <w:szCs w:val="16"/>
                    </w:rPr>
                    <w:t xml:space="preserve">, </w:t>
                  </w:r>
                  <w:r>
                    <w:rPr>
                      <w:rFonts w:ascii="Calibri" w:hAnsi="Calibri"/>
                      <w:sz w:val="16"/>
                      <w:szCs w:val="16"/>
                    </w:rPr>
                    <w:t xml:space="preserve">evaluates </w:t>
                  </w:r>
                  <w:r w:rsidRPr="0073080B">
                    <w:rPr>
                      <w:rFonts w:ascii="Calibri" w:hAnsi="Calibri"/>
                      <w:sz w:val="16"/>
                      <w:szCs w:val="16"/>
                    </w:rPr>
                    <w:t>the market</w:t>
                  </w:r>
                  <w:r>
                    <w:rPr>
                      <w:rFonts w:ascii="Calibri" w:hAnsi="Calibri"/>
                      <w:sz w:val="16"/>
                      <w:szCs w:val="16"/>
                    </w:rPr>
                    <w:t>’s business potential for offering advanced broadband</w:t>
                  </w:r>
                  <w:r w:rsidRPr="0073080B">
                    <w:rPr>
                      <w:rFonts w:ascii="Calibri" w:hAnsi="Calibri"/>
                      <w:sz w:val="16"/>
                      <w:szCs w:val="16"/>
                    </w:rPr>
                    <w:t xml:space="preserve"> services</w:t>
                  </w:r>
                  <w:r>
                    <w:rPr>
                      <w:rFonts w:ascii="Calibri" w:hAnsi="Calibri"/>
                      <w:sz w:val="16"/>
                      <w:szCs w:val="16"/>
                    </w:rPr>
                    <w:t xml:space="preserve"> on a sustainable basis</w:t>
                  </w:r>
                  <w:r w:rsidRPr="0073080B">
                    <w:rPr>
                      <w:rFonts w:ascii="Calibri" w:hAnsi="Calibri"/>
                      <w:sz w:val="16"/>
                      <w:szCs w:val="16"/>
                    </w:rPr>
                    <w:t>, and understand</w:t>
                  </w:r>
                  <w:r>
                    <w:rPr>
                      <w:rFonts w:ascii="Calibri" w:hAnsi="Calibri"/>
                      <w:sz w:val="16"/>
                      <w:szCs w:val="16"/>
                    </w:rPr>
                    <w:t>s</w:t>
                  </w:r>
                  <w:r w:rsidRPr="0073080B">
                    <w:rPr>
                      <w:rFonts w:ascii="Calibri" w:hAnsi="Calibri"/>
                      <w:sz w:val="16"/>
                      <w:szCs w:val="16"/>
                    </w:rPr>
                    <w:t xml:space="preserve"> what asset resource</w:t>
                  </w:r>
                  <w:r>
                    <w:rPr>
                      <w:rFonts w:ascii="Calibri" w:hAnsi="Calibri"/>
                      <w:sz w:val="16"/>
                      <w:szCs w:val="16"/>
                    </w:rPr>
                    <w:t>s will be critical to</w:t>
                  </w:r>
                  <w:r w:rsidRPr="0073080B">
                    <w:rPr>
                      <w:rFonts w:ascii="Calibri" w:hAnsi="Calibri"/>
                      <w:sz w:val="16"/>
                      <w:szCs w:val="16"/>
                    </w:rPr>
                    <w:t xml:space="preserve"> a successful deployment.  IDCS provides the experience and resources for a turn-key deployment that includes:</w:t>
                  </w:r>
                </w:p>
                <w:p w:rsidR="00922607" w:rsidRPr="0073080B" w:rsidRDefault="00922607" w:rsidP="00A31B04">
                  <w:pPr>
                    <w:pStyle w:val="NormalWeb"/>
                    <w:numPr>
                      <w:ilvl w:val="0"/>
                      <w:numId w:val="5"/>
                    </w:numPr>
                    <w:spacing w:beforeAutospacing="0"/>
                    <w:rPr>
                      <w:rFonts w:ascii="Calibri" w:hAnsi="Calibri"/>
                      <w:sz w:val="16"/>
                      <w:szCs w:val="16"/>
                    </w:rPr>
                  </w:pPr>
                  <w:r w:rsidRPr="0073080B">
                    <w:rPr>
                      <w:rFonts w:ascii="Calibri" w:hAnsi="Calibri"/>
                      <w:sz w:val="16"/>
                      <w:szCs w:val="16"/>
                    </w:rPr>
                    <w:t>Initiative Planning</w:t>
                  </w:r>
                  <w:r w:rsidR="00A31B04">
                    <w:rPr>
                      <w:rFonts w:ascii="Calibri" w:hAnsi="Calibri"/>
                      <w:sz w:val="16"/>
                      <w:szCs w:val="16"/>
                    </w:rPr>
                    <w:tab/>
                  </w:r>
                  <w:r w:rsidR="00A31B04">
                    <w:rPr>
                      <w:rFonts w:ascii="Calibri" w:hAnsi="Calibri"/>
                      <w:sz w:val="16"/>
                      <w:szCs w:val="16"/>
                    </w:rPr>
                    <w:tab/>
                  </w:r>
                  <w:r w:rsidR="00A31B04">
                    <w:rPr>
                      <w:rFonts w:ascii="Calibri" w:hAnsi="Calibri"/>
                      <w:sz w:val="16"/>
                      <w:szCs w:val="16"/>
                    </w:rPr>
                    <w:tab/>
                  </w:r>
                  <w:r w:rsidR="00A31B04">
                    <w:rPr>
                      <w:rFonts w:ascii="Calibri" w:hAnsi="Calibri"/>
                      <w:sz w:val="16"/>
                      <w:szCs w:val="16"/>
                    </w:rPr>
                    <w:tab/>
                  </w:r>
                </w:p>
                <w:p w:rsidR="00922607" w:rsidRPr="0073080B" w:rsidRDefault="00922607" w:rsidP="00D30C2A">
                  <w:pPr>
                    <w:pStyle w:val="NormalWeb"/>
                    <w:numPr>
                      <w:ilvl w:val="0"/>
                      <w:numId w:val="5"/>
                    </w:numPr>
                    <w:rPr>
                      <w:rFonts w:ascii="Calibri" w:hAnsi="Calibri"/>
                      <w:sz w:val="16"/>
                      <w:szCs w:val="16"/>
                    </w:rPr>
                  </w:pPr>
                  <w:r w:rsidRPr="0073080B">
                    <w:rPr>
                      <w:rFonts w:ascii="Calibri" w:hAnsi="Calibri"/>
                      <w:sz w:val="16"/>
                      <w:szCs w:val="16"/>
                    </w:rPr>
                    <w:t>Business Structure &amp; Governance</w:t>
                  </w:r>
                </w:p>
                <w:p w:rsidR="00922607" w:rsidRPr="0073080B" w:rsidRDefault="00922607" w:rsidP="00D30C2A">
                  <w:pPr>
                    <w:pStyle w:val="NormalWeb"/>
                    <w:numPr>
                      <w:ilvl w:val="0"/>
                      <w:numId w:val="5"/>
                    </w:numPr>
                    <w:rPr>
                      <w:rFonts w:ascii="Calibri" w:hAnsi="Calibri"/>
                      <w:sz w:val="16"/>
                      <w:szCs w:val="16"/>
                    </w:rPr>
                  </w:pPr>
                  <w:r w:rsidRPr="0073080B">
                    <w:rPr>
                      <w:rFonts w:ascii="Calibri" w:hAnsi="Calibri"/>
                      <w:sz w:val="16"/>
                      <w:szCs w:val="16"/>
                    </w:rPr>
                    <w:t>Network Design &amp; Engineering</w:t>
                  </w:r>
                </w:p>
                <w:p w:rsidR="00922607" w:rsidRPr="0073080B" w:rsidRDefault="00922607" w:rsidP="00D30C2A">
                  <w:pPr>
                    <w:pStyle w:val="NormalWeb"/>
                    <w:numPr>
                      <w:ilvl w:val="0"/>
                      <w:numId w:val="5"/>
                    </w:numPr>
                    <w:rPr>
                      <w:rFonts w:ascii="Calibri" w:hAnsi="Calibri"/>
                      <w:sz w:val="16"/>
                      <w:szCs w:val="16"/>
                    </w:rPr>
                  </w:pPr>
                  <w:r w:rsidRPr="0073080B">
                    <w:rPr>
                      <w:rFonts w:ascii="Calibri" w:hAnsi="Calibri"/>
                      <w:sz w:val="16"/>
                      <w:szCs w:val="16"/>
                    </w:rPr>
                    <w:t>Facility Design &amp; Engineering</w:t>
                  </w:r>
                </w:p>
                <w:p w:rsidR="00922607" w:rsidRPr="0073080B" w:rsidRDefault="00922607" w:rsidP="00D30C2A">
                  <w:pPr>
                    <w:pStyle w:val="NormalWeb"/>
                    <w:numPr>
                      <w:ilvl w:val="0"/>
                      <w:numId w:val="5"/>
                    </w:numPr>
                    <w:rPr>
                      <w:rFonts w:ascii="Calibri" w:hAnsi="Calibri"/>
                      <w:sz w:val="16"/>
                      <w:szCs w:val="16"/>
                    </w:rPr>
                  </w:pPr>
                  <w:r w:rsidRPr="0073080B">
                    <w:rPr>
                      <w:rFonts w:ascii="Calibri" w:hAnsi="Calibri"/>
                      <w:sz w:val="16"/>
                      <w:szCs w:val="16"/>
                    </w:rPr>
                    <w:t>Technology Design &amp; Engineering</w:t>
                  </w:r>
                </w:p>
                <w:p w:rsidR="00922607" w:rsidRPr="0073080B" w:rsidRDefault="00922607" w:rsidP="00D30C2A">
                  <w:pPr>
                    <w:pStyle w:val="NormalWeb"/>
                    <w:numPr>
                      <w:ilvl w:val="0"/>
                      <w:numId w:val="5"/>
                    </w:numPr>
                    <w:rPr>
                      <w:rFonts w:ascii="Calibri" w:hAnsi="Calibri"/>
                      <w:sz w:val="16"/>
                      <w:szCs w:val="16"/>
                    </w:rPr>
                  </w:pPr>
                  <w:r w:rsidRPr="0073080B">
                    <w:rPr>
                      <w:rFonts w:ascii="Calibri" w:hAnsi="Calibri"/>
                      <w:sz w:val="16"/>
                      <w:szCs w:val="16"/>
                    </w:rPr>
                    <w:t>Financing Facilitation</w:t>
                  </w:r>
                </w:p>
                <w:p w:rsidR="00922607" w:rsidRPr="0073080B" w:rsidRDefault="00922607" w:rsidP="00D30C2A">
                  <w:pPr>
                    <w:pStyle w:val="NormalWeb"/>
                    <w:numPr>
                      <w:ilvl w:val="0"/>
                      <w:numId w:val="5"/>
                    </w:numPr>
                    <w:rPr>
                      <w:rFonts w:ascii="Calibri" w:hAnsi="Calibri"/>
                      <w:sz w:val="16"/>
                      <w:szCs w:val="16"/>
                    </w:rPr>
                  </w:pPr>
                  <w:r w:rsidRPr="0073080B">
                    <w:rPr>
                      <w:rFonts w:ascii="Calibri" w:hAnsi="Calibri"/>
                      <w:sz w:val="16"/>
                      <w:szCs w:val="16"/>
                    </w:rPr>
                    <w:t>Construction &amp; Project Management</w:t>
                  </w:r>
                </w:p>
                <w:p w:rsidR="00922607" w:rsidRDefault="00922607" w:rsidP="00A52CEF">
                  <w:pPr>
                    <w:pStyle w:val="NormalWeb"/>
                    <w:numPr>
                      <w:ilvl w:val="0"/>
                      <w:numId w:val="5"/>
                    </w:numPr>
                    <w:spacing w:before="0" w:beforeAutospacing="0" w:after="0" w:afterAutospacing="0"/>
                    <w:rPr>
                      <w:rFonts w:ascii="Calibri" w:hAnsi="Calibri"/>
                      <w:sz w:val="16"/>
                      <w:szCs w:val="16"/>
                    </w:rPr>
                  </w:pPr>
                  <w:r w:rsidRPr="0073080B">
                    <w:rPr>
                      <w:rFonts w:ascii="Calibri" w:hAnsi="Calibri"/>
                      <w:sz w:val="16"/>
                      <w:szCs w:val="16"/>
                    </w:rPr>
                    <w:t>Network &amp; Marketing Training</w:t>
                  </w:r>
                </w:p>
                <w:p w:rsidR="00A52CEF" w:rsidRPr="0073080B" w:rsidRDefault="00A52CEF" w:rsidP="00A52CEF">
                  <w:pPr>
                    <w:pStyle w:val="NormalWeb"/>
                    <w:numPr>
                      <w:ilvl w:val="0"/>
                      <w:numId w:val="5"/>
                    </w:numPr>
                    <w:spacing w:before="0" w:beforeAutospacing="0" w:after="0" w:afterAutospacing="0"/>
                    <w:rPr>
                      <w:rFonts w:ascii="Calibri" w:hAnsi="Calibri"/>
                      <w:sz w:val="16"/>
                      <w:szCs w:val="16"/>
                    </w:rPr>
                  </w:pPr>
                  <w:r>
                    <w:rPr>
                      <w:rFonts w:ascii="Calibri" w:hAnsi="Calibri"/>
                      <w:sz w:val="16"/>
                      <w:szCs w:val="16"/>
                    </w:rPr>
                    <w:t>Storage Area Networks (Off-site or On-site)</w:t>
                  </w:r>
                </w:p>
                <w:p w:rsidR="00922607" w:rsidRDefault="00922607" w:rsidP="00C843A2">
                  <w:pPr>
                    <w:spacing w:before="80" w:after="100" w:line="240" w:lineRule="auto"/>
                    <w:rPr>
                      <w:b/>
                    </w:rPr>
                  </w:pPr>
                  <w:r>
                    <w:rPr>
                      <w:b/>
                    </w:rPr>
                    <w:t>Technical Solutions</w:t>
                  </w:r>
                </w:p>
                <w:p w:rsidR="00922607" w:rsidRPr="0073080B" w:rsidRDefault="00922607" w:rsidP="00D946E3">
                  <w:pPr>
                    <w:pStyle w:val="NormalWeb"/>
                    <w:spacing w:beforeAutospacing="0" w:afterAutospacing="0"/>
                    <w:rPr>
                      <w:rFonts w:ascii="Calibri" w:hAnsi="Calibri"/>
                      <w:sz w:val="16"/>
                      <w:szCs w:val="16"/>
                    </w:rPr>
                  </w:pPr>
                  <w:r>
                    <w:rPr>
                      <w:rFonts w:ascii="Calibri" w:hAnsi="Calibri"/>
                      <w:sz w:val="16"/>
                      <w:szCs w:val="16"/>
                    </w:rPr>
                    <w:t>T</w:t>
                  </w:r>
                  <w:r w:rsidRPr="0073080B">
                    <w:rPr>
                      <w:rFonts w:ascii="Calibri" w:hAnsi="Calibri"/>
                      <w:sz w:val="16"/>
                      <w:szCs w:val="16"/>
                    </w:rPr>
                    <w:t>echnology agnostic</w:t>
                  </w:r>
                  <w:r>
                    <w:rPr>
                      <w:rFonts w:ascii="Calibri" w:hAnsi="Calibri"/>
                      <w:sz w:val="16"/>
                      <w:szCs w:val="16"/>
                    </w:rPr>
                    <w:t>, IDCS</w:t>
                  </w:r>
                  <w:r w:rsidRPr="0073080B">
                    <w:rPr>
                      <w:rFonts w:ascii="Calibri" w:hAnsi="Calibri"/>
                      <w:sz w:val="16"/>
                      <w:szCs w:val="16"/>
                    </w:rPr>
                    <w:t xml:space="preserve"> design</w:t>
                  </w:r>
                  <w:r>
                    <w:rPr>
                      <w:rFonts w:ascii="Calibri" w:hAnsi="Calibri"/>
                      <w:sz w:val="16"/>
                      <w:szCs w:val="16"/>
                    </w:rPr>
                    <w:t>s</w:t>
                  </w:r>
                  <w:r w:rsidRPr="0073080B">
                    <w:rPr>
                      <w:rFonts w:ascii="Calibri" w:hAnsi="Calibri"/>
                      <w:sz w:val="16"/>
                      <w:szCs w:val="16"/>
                    </w:rPr>
                    <w:t xml:space="preserve"> both active Ethernet and GPON next-generation networks.  These </w:t>
                  </w:r>
                  <w:r>
                    <w:rPr>
                      <w:rFonts w:ascii="Calibri" w:hAnsi="Calibri"/>
                      <w:sz w:val="16"/>
                      <w:szCs w:val="16"/>
                    </w:rPr>
                    <w:t>advanced</w:t>
                  </w:r>
                  <w:r w:rsidRPr="0073080B">
                    <w:rPr>
                      <w:rFonts w:ascii="Calibri" w:hAnsi="Calibri"/>
                      <w:sz w:val="16"/>
                      <w:szCs w:val="16"/>
                    </w:rPr>
                    <w:t xml:space="preserve"> networks provide the platform for existing applications</w:t>
                  </w:r>
                  <w:r>
                    <w:rPr>
                      <w:rFonts w:ascii="Calibri" w:hAnsi="Calibri"/>
                      <w:sz w:val="16"/>
                      <w:szCs w:val="16"/>
                    </w:rPr>
                    <w:t>,</w:t>
                  </w:r>
                  <w:r w:rsidRPr="0073080B">
                    <w:rPr>
                      <w:rFonts w:ascii="Calibri" w:hAnsi="Calibri"/>
                      <w:sz w:val="16"/>
                      <w:szCs w:val="16"/>
                    </w:rPr>
                    <w:t xml:space="preserve"> such as High-Definition videoconferencing, distance learning applications, Tele-medicine, and Virtual Private Networks.</w:t>
                  </w:r>
                </w:p>
                <w:p w:rsidR="00922607" w:rsidRPr="0073080B" w:rsidRDefault="00922607" w:rsidP="00A52CEF">
                  <w:pPr>
                    <w:pStyle w:val="NormalWeb"/>
                    <w:spacing w:beforeLines="100" w:beforeAutospacing="0" w:afterLines="100" w:afterAutospacing="0"/>
                    <w:rPr>
                      <w:rFonts w:ascii="Calibri" w:hAnsi="Calibri"/>
                      <w:sz w:val="16"/>
                      <w:szCs w:val="16"/>
                    </w:rPr>
                  </w:pPr>
                  <w:r w:rsidRPr="0073080B">
                    <w:rPr>
                      <w:rFonts w:ascii="Calibri" w:hAnsi="Calibri"/>
                      <w:sz w:val="16"/>
                      <w:szCs w:val="16"/>
                    </w:rPr>
                    <w:t>IDCS also has extensive experience designing</w:t>
                  </w:r>
                  <w:r>
                    <w:rPr>
                      <w:rFonts w:ascii="Calibri" w:hAnsi="Calibri"/>
                      <w:sz w:val="16"/>
                      <w:szCs w:val="16"/>
                    </w:rPr>
                    <w:t>,</w:t>
                  </w:r>
                  <w:r w:rsidRPr="0073080B">
                    <w:rPr>
                      <w:rFonts w:ascii="Calibri" w:hAnsi="Calibri"/>
                      <w:sz w:val="16"/>
                      <w:szCs w:val="16"/>
                    </w:rPr>
                    <w:t xml:space="preserve"> deploying </w:t>
                  </w:r>
                  <w:r>
                    <w:rPr>
                      <w:rFonts w:ascii="Calibri" w:hAnsi="Calibri"/>
                      <w:sz w:val="16"/>
                      <w:szCs w:val="16"/>
                    </w:rPr>
                    <w:t xml:space="preserve">and integrating </w:t>
                  </w:r>
                  <w:r w:rsidRPr="0073080B">
                    <w:rPr>
                      <w:rFonts w:ascii="Calibri" w:hAnsi="Calibri"/>
                      <w:sz w:val="16"/>
                      <w:szCs w:val="16"/>
                    </w:rPr>
                    <w:t xml:space="preserve">other technology </w:t>
                  </w:r>
                  <w:r>
                    <w:rPr>
                      <w:rFonts w:ascii="Calibri" w:hAnsi="Calibri"/>
                      <w:sz w:val="16"/>
                      <w:szCs w:val="16"/>
                    </w:rPr>
                    <w:t xml:space="preserve">solutions and systems into </w:t>
                  </w:r>
                  <w:r w:rsidRPr="0073080B">
                    <w:rPr>
                      <w:rFonts w:ascii="Calibri" w:hAnsi="Calibri"/>
                      <w:sz w:val="16"/>
                      <w:szCs w:val="16"/>
                    </w:rPr>
                    <w:t xml:space="preserve">the broadband infrastructure, </w:t>
                  </w:r>
                  <w:r>
                    <w:rPr>
                      <w:rFonts w:ascii="Calibri" w:hAnsi="Calibri"/>
                      <w:sz w:val="16"/>
                      <w:szCs w:val="16"/>
                    </w:rPr>
                    <w:t>resulting in a cohesive platform for new, existing, and developing applications</w:t>
                  </w:r>
                  <w:r w:rsidRPr="0073080B">
                    <w:rPr>
                      <w:rFonts w:ascii="Calibri" w:hAnsi="Calibri"/>
                      <w:sz w:val="16"/>
                      <w:szCs w:val="16"/>
                    </w:rPr>
                    <w:t xml:space="preserve">. </w:t>
                  </w:r>
                  <w:r>
                    <w:rPr>
                      <w:rFonts w:ascii="Calibri" w:hAnsi="Calibri"/>
                      <w:sz w:val="16"/>
                      <w:szCs w:val="16"/>
                    </w:rPr>
                    <w:t xml:space="preserve"> As an example,</w:t>
                  </w:r>
                  <w:r w:rsidRPr="0073080B">
                    <w:rPr>
                      <w:rFonts w:ascii="Calibri" w:hAnsi="Calibri"/>
                      <w:sz w:val="16"/>
                      <w:szCs w:val="16"/>
                    </w:rPr>
                    <w:t xml:space="preserve"> the Next-Generation Network could serve as the </w:t>
                  </w:r>
                  <w:r>
                    <w:rPr>
                      <w:rFonts w:ascii="Calibri" w:hAnsi="Calibri"/>
                      <w:sz w:val="16"/>
                      <w:szCs w:val="16"/>
                    </w:rPr>
                    <w:t>single transport foundation</w:t>
                  </w:r>
                  <w:r w:rsidRPr="0073080B">
                    <w:rPr>
                      <w:rFonts w:ascii="Calibri" w:hAnsi="Calibri"/>
                      <w:sz w:val="16"/>
                      <w:szCs w:val="16"/>
                    </w:rPr>
                    <w:t xml:space="preserve"> for delivering a wireless overlay network, to offer mobility, public safety, traffic control and first responder applications. Utility organizations can also </w:t>
                  </w:r>
                  <w:r>
                    <w:rPr>
                      <w:rFonts w:ascii="Calibri" w:hAnsi="Calibri"/>
                      <w:sz w:val="16"/>
                      <w:szCs w:val="16"/>
                    </w:rPr>
                    <w:t>layer</w:t>
                  </w:r>
                  <w:r w:rsidRPr="0073080B">
                    <w:rPr>
                      <w:rFonts w:ascii="Calibri" w:hAnsi="Calibri"/>
                      <w:sz w:val="16"/>
                      <w:szCs w:val="16"/>
                    </w:rPr>
                    <w:t xml:space="preserve"> AMR/AMI technologies (electric, gas and water) over the Next-Generation network for “smart-grid” and “green energy” uses.</w:t>
                  </w:r>
                </w:p>
                <w:p w:rsidR="00922607" w:rsidRPr="0073080B" w:rsidRDefault="00922607" w:rsidP="00A52CEF">
                  <w:pPr>
                    <w:pStyle w:val="NormalWeb"/>
                    <w:spacing w:beforeLines="100" w:beforeAutospacing="0" w:afterLines="100" w:afterAutospacing="0"/>
                    <w:rPr>
                      <w:rFonts w:ascii="Calibri" w:hAnsi="Calibri"/>
                      <w:sz w:val="16"/>
                      <w:szCs w:val="16"/>
                    </w:rPr>
                  </w:pPr>
                  <w:r w:rsidRPr="0073080B">
                    <w:rPr>
                      <w:rFonts w:ascii="Calibri" w:hAnsi="Calibri"/>
                      <w:sz w:val="16"/>
                      <w:szCs w:val="16"/>
                    </w:rPr>
                    <w:t xml:space="preserve">Our Technology Strategy </w:t>
                  </w:r>
                  <w:r>
                    <w:rPr>
                      <w:rFonts w:ascii="Calibri" w:hAnsi="Calibri"/>
                      <w:sz w:val="16"/>
                      <w:szCs w:val="16"/>
                    </w:rPr>
                    <w:t xml:space="preserve">considers the core applications, available resources, new </w:t>
                  </w:r>
                  <w:r w:rsidRPr="0073080B">
                    <w:rPr>
                      <w:rFonts w:ascii="Calibri" w:hAnsi="Calibri"/>
                      <w:sz w:val="16"/>
                      <w:szCs w:val="16"/>
                    </w:rPr>
                    <w:t>equipment specifications</w:t>
                  </w:r>
                  <w:r>
                    <w:rPr>
                      <w:rFonts w:ascii="Calibri" w:hAnsi="Calibri"/>
                      <w:sz w:val="16"/>
                      <w:szCs w:val="16"/>
                    </w:rPr>
                    <w:t>,</w:t>
                  </w:r>
                  <w:r w:rsidRPr="0073080B">
                    <w:rPr>
                      <w:rFonts w:ascii="Calibri" w:hAnsi="Calibri"/>
                      <w:sz w:val="16"/>
                      <w:szCs w:val="16"/>
                    </w:rPr>
                    <w:t xml:space="preserve"> installation requirements, migration schedule and service offering schedule</w:t>
                  </w:r>
                  <w:r>
                    <w:rPr>
                      <w:rFonts w:ascii="Calibri" w:hAnsi="Calibri"/>
                      <w:sz w:val="16"/>
                      <w:szCs w:val="16"/>
                    </w:rPr>
                    <w:t>, resulting in a comprehensive, scalable solution</w:t>
                  </w:r>
                  <w:r w:rsidRPr="0073080B">
                    <w:rPr>
                      <w:rFonts w:ascii="Calibri" w:hAnsi="Calibri"/>
                      <w:sz w:val="16"/>
                      <w:szCs w:val="16"/>
                    </w:rPr>
                    <w:t xml:space="preserve">.   </w:t>
                  </w:r>
                </w:p>
                <w:p w:rsidR="00922607" w:rsidRDefault="00922607" w:rsidP="00922607">
                  <w:pPr>
                    <w:spacing w:after="0" w:line="240" w:lineRule="auto"/>
                    <w:rPr>
                      <w:b/>
                    </w:rPr>
                  </w:pPr>
                  <w:r>
                    <w:rPr>
                      <w:b/>
                    </w:rPr>
                    <w:t>Funding Solutions</w:t>
                  </w:r>
                </w:p>
                <w:p w:rsidR="00922607" w:rsidRDefault="00922607" w:rsidP="00922607">
                  <w:pPr>
                    <w:spacing w:before="120" w:after="120" w:line="240" w:lineRule="auto"/>
                    <w:rPr>
                      <w:b/>
                      <w:sz w:val="18"/>
                      <w:szCs w:val="18"/>
                    </w:rPr>
                  </w:pPr>
                  <w:r>
                    <w:rPr>
                      <w:sz w:val="18"/>
                      <w:szCs w:val="18"/>
                    </w:rPr>
                    <w:t>To position your project with the greatest appeal to the current capital markets, ID Consulting Solutions (IDCS) offers industry-tested expertise for upgrading your Company’s business structure and corporate governance model.  Our expertise has been especially helpful to clients seeking to qualify for the following financing mechanisms:</w:t>
                  </w:r>
                </w:p>
                <w:p w:rsidR="00922607" w:rsidRDefault="00922607" w:rsidP="00922607">
                  <w:pPr>
                    <w:pStyle w:val="ListParagraph"/>
                    <w:numPr>
                      <w:ilvl w:val="0"/>
                      <w:numId w:val="4"/>
                    </w:numPr>
                    <w:spacing w:before="120" w:after="120" w:line="240" w:lineRule="auto"/>
                    <w:rPr>
                      <w:sz w:val="16"/>
                      <w:szCs w:val="16"/>
                    </w:rPr>
                  </w:pPr>
                  <w:r>
                    <w:rPr>
                      <w:sz w:val="16"/>
                      <w:szCs w:val="16"/>
                    </w:rPr>
                    <w:t>Federal and State Grant and Loan Programs (including ARRA Funding)</w:t>
                  </w:r>
                </w:p>
                <w:p w:rsidR="00922607" w:rsidRDefault="00922607" w:rsidP="00922607">
                  <w:pPr>
                    <w:pStyle w:val="ListParagraph"/>
                    <w:numPr>
                      <w:ilvl w:val="0"/>
                      <w:numId w:val="4"/>
                    </w:numPr>
                    <w:spacing w:before="120" w:after="120" w:line="240" w:lineRule="auto"/>
                    <w:rPr>
                      <w:sz w:val="16"/>
                      <w:szCs w:val="16"/>
                    </w:rPr>
                  </w:pPr>
                  <w:r>
                    <w:rPr>
                      <w:sz w:val="16"/>
                      <w:szCs w:val="16"/>
                    </w:rPr>
                    <w:t>Municipal Bond Financing</w:t>
                  </w:r>
                </w:p>
                <w:p w:rsidR="00922607" w:rsidRDefault="00922607" w:rsidP="00922607">
                  <w:pPr>
                    <w:pStyle w:val="ListParagraph"/>
                    <w:numPr>
                      <w:ilvl w:val="0"/>
                      <w:numId w:val="4"/>
                    </w:numPr>
                    <w:spacing w:before="120" w:after="120" w:line="240" w:lineRule="auto"/>
                    <w:rPr>
                      <w:sz w:val="16"/>
                      <w:szCs w:val="16"/>
                    </w:rPr>
                  </w:pPr>
                  <w:r>
                    <w:rPr>
                      <w:sz w:val="16"/>
                      <w:szCs w:val="16"/>
                    </w:rPr>
                    <w:t>Municipal and Corporate Leasing Programs</w:t>
                  </w:r>
                </w:p>
                <w:p w:rsidR="00922607" w:rsidRDefault="00922607" w:rsidP="00922607">
                  <w:pPr>
                    <w:pStyle w:val="ListParagraph"/>
                    <w:spacing w:before="120" w:after="120" w:line="240" w:lineRule="auto"/>
                    <w:ind w:left="0"/>
                    <w:rPr>
                      <w:sz w:val="16"/>
                      <w:szCs w:val="16"/>
                    </w:rPr>
                  </w:pPr>
                </w:p>
                <w:p w:rsidR="00922607" w:rsidRDefault="00922607" w:rsidP="00922607">
                  <w:pPr>
                    <w:pStyle w:val="ListParagraph"/>
                    <w:spacing w:before="120" w:after="120" w:line="240" w:lineRule="auto"/>
                    <w:ind w:left="0"/>
                    <w:contextualSpacing w:val="0"/>
                    <w:rPr>
                      <w:sz w:val="16"/>
                      <w:szCs w:val="16"/>
                    </w:rPr>
                  </w:pPr>
                  <w:r>
                    <w:rPr>
                      <w:sz w:val="16"/>
                      <w:szCs w:val="16"/>
                    </w:rPr>
                    <w:t>Additional Financial Assistance Services include:</w:t>
                  </w:r>
                </w:p>
                <w:p w:rsidR="00922607" w:rsidRDefault="00922607" w:rsidP="00922607">
                  <w:pPr>
                    <w:pStyle w:val="ListParagraph"/>
                    <w:numPr>
                      <w:ilvl w:val="0"/>
                      <w:numId w:val="4"/>
                    </w:numPr>
                    <w:spacing w:before="120" w:after="120" w:line="240" w:lineRule="auto"/>
                    <w:rPr>
                      <w:sz w:val="16"/>
                      <w:szCs w:val="16"/>
                    </w:rPr>
                  </w:pPr>
                  <w:r>
                    <w:rPr>
                      <w:sz w:val="16"/>
                      <w:szCs w:val="16"/>
                    </w:rPr>
                    <w:t>Taxable Corporate Bond Financing</w:t>
                  </w:r>
                </w:p>
                <w:p w:rsidR="00922607" w:rsidRDefault="00922607" w:rsidP="00922607">
                  <w:pPr>
                    <w:pStyle w:val="ListParagraph"/>
                    <w:numPr>
                      <w:ilvl w:val="0"/>
                      <w:numId w:val="4"/>
                    </w:numPr>
                    <w:spacing w:before="120" w:after="120" w:line="240" w:lineRule="auto"/>
                    <w:rPr>
                      <w:sz w:val="16"/>
                      <w:szCs w:val="16"/>
                    </w:rPr>
                  </w:pPr>
                  <w:r>
                    <w:rPr>
                      <w:sz w:val="16"/>
                      <w:szCs w:val="16"/>
                    </w:rPr>
                    <w:t>Anchor Tenants</w:t>
                  </w:r>
                </w:p>
                <w:p w:rsidR="00922607" w:rsidRDefault="00922607" w:rsidP="00922607">
                  <w:pPr>
                    <w:pStyle w:val="ListParagraph"/>
                    <w:numPr>
                      <w:ilvl w:val="0"/>
                      <w:numId w:val="4"/>
                    </w:numPr>
                    <w:spacing w:before="120" w:after="120" w:line="240" w:lineRule="auto"/>
                    <w:rPr>
                      <w:sz w:val="16"/>
                      <w:szCs w:val="16"/>
                    </w:rPr>
                  </w:pPr>
                  <w:r>
                    <w:rPr>
                      <w:sz w:val="16"/>
                      <w:szCs w:val="16"/>
                    </w:rPr>
                    <w:t>Strategic Partners</w:t>
                  </w:r>
                </w:p>
                <w:p w:rsidR="00922607" w:rsidRDefault="00922607" w:rsidP="00922607">
                  <w:pPr>
                    <w:pStyle w:val="ListParagraph"/>
                    <w:numPr>
                      <w:ilvl w:val="0"/>
                      <w:numId w:val="4"/>
                    </w:numPr>
                    <w:spacing w:before="120" w:after="120" w:line="240" w:lineRule="auto"/>
                    <w:rPr>
                      <w:sz w:val="16"/>
                      <w:szCs w:val="16"/>
                    </w:rPr>
                  </w:pPr>
                  <w:r>
                    <w:rPr>
                      <w:sz w:val="16"/>
                      <w:szCs w:val="16"/>
                    </w:rPr>
                    <w:t>Private Security Markets</w:t>
                  </w:r>
                </w:p>
                <w:p w:rsidR="00922607" w:rsidRDefault="00922607" w:rsidP="00922607">
                  <w:pPr>
                    <w:pStyle w:val="ListParagraph"/>
                    <w:numPr>
                      <w:ilvl w:val="0"/>
                      <w:numId w:val="4"/>
                    </w:numPr>
                    <w:spacing w:before="120" w:after="120" w:line="240" w:lineRule="auto"/>
                    <w:rPr>
                      <w:sz w:val="16"/>
                      <w:szCs w:val="16"/>
                    </w:rPr>
                  </w:pPr>
                  <w:r>
                    <w:rPr>
                      <w:sz w:val="16"/>
                      <w:szCs w:val="16"/>
                    </w:rPr>
                    <w:t>Bank and Non-Bank Lending Methods</w:t>
                  </w:r>
                </w:p>
                <w:p w:rsidR="00922607" w:rsidRDefault="00922607" w:rsidP="00A52CEF">
                  <w:pPr>
                    <w:spacing w:afterLines="50" w:line="240" w:lineRule="auto"/>
                    <w:rPr>
                      <w:b/>
                    </w:rPr>
                  </w:pPr>
                  <w:r>
                    <w:rPr>
                      <w:b/>
                    </w:rPr>
                    <w:t>Leasing</w:t>
                  </w:r>
                  <w:r w:rsidRPr="00922607">
                    <w:rPr>
                      <w:b/>
                    </w:rPr>
                    <w:t xml:space="preserve"> Solutions</w:t>
                  </w:r>
                </w:p>
                <w:p w:rsidR="00922607" w:rsidRDefault="00922607" w:rsidP="00922607">
                  <w:pPr>
                    <w:spacing w:before="120" w:after="120" w:line="240" w:lineRule="auto"/>
                    <w:rPr>
                      <w:b/>
                      <w:sz w:val="18"/>
                      <w:szCs w:val="18"/>
                    </w:rPr>
                  </w:pPr>
                  <w:r>
                    <w:rPr>
                      <w:sz w:val="18"/>
                      <w:szCs w:val="18"/>
                    </w:rPr>
                    <w:t xml:space="preserve">With limited capital funds; due to economic relief to the market, specific projects continue to be critical where creative leasing maybe the choice for the next phase of deployment, help lower immediate asset expenditures with lower </w:t>
                  </w:r>
                  <w:r w:rsidR="00814603">
                    <w:rPr>
                      <w:sz w:val="18"/>
                      <w:szCs w:val="18"/>
                    </w:rPr>
                    <w:t xml:space="preserve">exposure and tax benefits. </w:t>
                  </w:r>
                  <w:r>
                    <w:rPr>
                      <w:sz w:val="18"/>
                      <w:szCs w:val="18"/>
                    </w:rPr>
                    <w:t xml:space="preserve"> :</w:t>
                  </w:r>
                </w:p>
                <w:p w:rsidR="00922607" w:rsidRDefault="00922607" w:rsidP="00922607">
                  <w:pPr>
                    <w:pStyle w:val="ListParagraph"/>
                    <w:numPr>
                      <w:ilvl w:val="0"/>
                      <w:numId w:val="4"/>
                    </w:numPr>
                    <w:spacing w:before="120" w:after="120" w:line="240" w:lineRule="auto"/>
                    <w:rPr>
                      <w:sz w:val="16"/>
                      <w:szCs w:val="16"/>
                    </w:rPr>
                  </w:pPr>
                  <w:r>
                    <w:rPr>
                      <w:sz w:val="16"/>
                      <w:szCs w:val="16"/>
                    </w:rPr>
                    <w:t>Competitive Terms</w:t>
                  </w:r>
                </w:p>
                <w:p w:rsidR="00922607" w:rsidRDefault="00BB0817" w:rsidP="00922607">
                  <w:pPr>
                    <w:pStyle w:val="ListParagraph"/>
                    <w:numPr>
                      <w:ilvl w:val="0"/>
                      <w:numId w:val="4"/>
                    </w:numPr>
                    <w:spacing w:before="120" w:after="120" w:line="240" w:lineRule="auto"/>
                    <w:rPr>
                      <w:sz w:val="16"/>
                      <w:szCs w:val="16"/>
                    </w:rPr>
                  </w:pPr>
                  <w:r>
                    <w:rPr>
                      <w:sz w:val="16"/>
                      <w:szCs w:val="16"/>
                    </w:rPr>
                    <w:t>Flexible</w:t>
                  </w:r>
                  <w:r w:rsidR="00922607">
                    <w:rPr>
                      <w:sz w:val="16"/>
                      <w:szCs w:val="16"/>
                    </w:rPr>
                    <w:t xml:space="preserve"> Funding</w:t>
                  </w:r>
                  <w:r>
                    <w:rPr>
                      <w:sz w:val="16"/>
                      <w:szCs w:val="16"/>
                    </w:rPr>
                    <w:t xml:space="preserve"> Approaches</w:t>
                  </w:r>
                </w:p>
                <w:p w:rsidR="00BB0817" w:rsidRDefault="00BB0817" w:rsidP="00922607">
                  <w:pPr>
                    <w:pStyle w:val="ListParagraph"/>
                    <w:numPr>
                      <w:ilvl w:val="0"/>
                      <w:numId w:val="4"/>
                    </w:numPr>
                    <w:spacing w:before="120" w:after="120" w:line="240" w:lineRule="auto"/>
                    <w:rPr>
                      <w:sz w:val="16"/>
                      <w:szCs w:val="16"/>
                    </w:rPr>
                  </w:pPr>
                  <w:r>
                    <w:rPr>
                      <w:sz w:val="16"/>
                      <w:szCs w:val="16"/>
                    </w:rPr>
                    <w:t>Short Term Capital Options</w:t>
                  </w:r>
                </w:p>
                <w:p w:rsidR="00BB0817" w:rsidRDefault="00BB0817" w:rsidP="00922607">
                  <w:pPr>
                    <w:pStyle w:val="ListParagraph"/>
                    <w:numPr>
                      <w:ilvl w:val="0"/>
                      <w:numId w:val="4"/>
                    </w:numPr>
                    <w:spacing w:before="120" w:after="120" w:line="240" w:lineRule="auto"/>
                    <w:rPr>
                      <w:sz w:val="16"/>
                      <w:szCs w:val="16"/>
                    </w:rPr>
                  </w:pPr>
                  <w:r>
                    <w:rPr>
                      <w:sz w:val="16"/>
                      <w:szCs w:val="16"/>
                    </w:rPr>
                    <w:t xml:space="preserve">Emergency Solutions with Limited </w:t>
                  </w:r>
                  <w:r w:rsidR="00A52CEF">
                    <w:rPr>
                      <w:sz w:val="16"/>
                      <w:szCs w:val="16"/>
                    </w:rPr>
                    <w:t>Capital</w:t>
                  </w:r>
                </w:p>
                <w:p w:rsidR="00922607" w:rsidRPr="00922607" w:rsidRDefault="00922607" w:rsidP="00A52CEF">
                  <w:pPr>
                    <w:spacing w:beforeLines="100" w:afterLines="100" w:line="240" w:lineRule="auto"/>
                    <w:rPr>
                      <w:b/>
                    </w:rPr>
                  </w:pPr>
                </w:p>
                <w:p w:rsidR="00922607" w:rsidRPr="00922607" w:rsidRDefault="00922607" w:rsidP="00A52CEF">
                  <w:pPr>
                    <w:spacing w:beforeLines="100" w:afterLines="100" w:line="240" w:lineRule="auto"/>
                    <w:rPr>
                      <w:sz w:val="16"/>
                      <w:szCs w:val="16"/>
                    </w:rPr>
                  </w:pPr>
                </w:p>
              </w:txbxContent>
            </v:textbox>
          </v:shape>
        </w:pict>
      </w:r>
      <w:r w:rsidR="008B6086">
        <w:rPr>
          <w:noProof/>
        </w:rPr>
        <w:drawing>
          <wp:anchor distT="0" distB="0" distL="114300" distR="114300" simplePos="0" relativeHeight="251659264" behindDoc="1" locked="0" layoutInCell="1" allowOverlap="1">
            <wp:simplePos x="0" y="0"/>
            <wp:positionH relativeFrom="column">
              <wp:posOffset>1798</wp:posOffset>
            </wp:positionH>
            <wp:positionV relativeFrom="paragraph">
              <wp:posOffset>0</wp:posOffset>
            </wp:positionV>
            <wp:extent cx="7769333" cy="10058400"/>
            <wp:effectExtent l="19050" t="0" r="3067" b="0"/>
            <wp:wrapNone/>
            <wp:docPr id="2" name="Picture 1" descr="Fund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dingServices.png"/>
                    <pic:cNvPicPr/>
                  </pic:nvPicPr>
                  <pic:blipFill>
                    <a:blip r:embed="rId5"/>
                    <a:stretch>
                      <a:fillRect/>
                    </a:stretch>
                  </pic:blipFill>
                  <pic:spPr>
                    <a:xfrm>
                      <a:off x="0" y="0"/>
                      <a:ext cx="7769333" cy="10058400"/>
                    </a:xfrm>
                    <a:prstGeom prst="rect">
                      <a:avLst/>
                    </a:prstGeom>
                  </pic:spPr>
                </pic:pic>
              </a:graphicData>
            </a:graphic>
          </wp:anchor>
        </w:drawing>
      </w:r>
    </w:p>
    <w:sectPr w:rsidR="004A0A0C" w:rsidSect="00303CEC">
      <w:pgSz w:w="12240" w:h="15840"/>
      <w:pgMar w:top="0" w:right="0" w:bottom="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14CF"/>
    <w:multiLevelType w:val="hybridMultilevel"/>
    <w:tmpl w:val="3A28685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27D3799D"/>
    <w:multiLevelType w:val="hybridMultilevel"/>
    <w:tmpl w:val="88B6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44113"/>
    <w:multiLevelType w:val="hybridMultilevel"/>
    <w:tmpl w:val="6CD8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A139A"/>
    <w:multiLevelType w:val="hybridMultilevel"/>
    <w:tmpl w:val="5D80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03CEC"/>
    <w:rsid w:val="0003078D"/>
    <w:rsid w:val="0003489D"/>
    <w:rsid w:val="000362C6"/>
    <w:rsid w:val="000467B6"/>
    <w:rsid w:val="000817E1"/>
    <w:rsid w:val="00082665"/>
    <w:rsid w:val="000C0E08"/>
    <w:rsid w:val="0017275C"/>
    <w:rsid w:val="001819BB"/>
    <w:rsid w:val="00303CEC"/>
    <w:rsid w:val="003069A0"/>
    <w:rsid w:val="003116F0"/>
    <w:rsid w:val="00364ACC"/>
    <w:rsid w:val="003668F3"/>
    <w:rsid w:val="003B5AAF"/>
    <w:rsid w:val="003D71A9"/>
    <w:rsid w:val="003E4C34"/>
    <w:rsid w:val="004454E2"/>
    <w:rsid w:val="004A0A0C"/>
    <w:rsid w:val="004D4AB8"/>
    <w:rsid w:val="004E69CC"/>
    <w:rsid w:val="004F454C"/>
    <w:rsid w:val="00510047"/>
    <w:rsid w:val="00522953"/>
    <w:rsid w:val="00545AFB"/>
    <w:rsid w:val="00564182"/>
    <w:rsid w:val="005E621B"/>
    <w:rsid w:val="00643FEA"/>
    <w:rsid w:val="00676703"/>
    <w:rsid w:val="006F4BC0"/>
    <w:rsid w:val="0073080B"/>
    <w:rsid w:val="00737971"/>
    <w:rsid w:val="0075466E"/>
    <w:rsid w:val="00806077"/>
    <w:rsid w:val="00814603"/>
    <w:rsid w:val="00895FDA"/>
    <w:rsid w:val="008A4DE5"/>
    <w:rsid w:val="008A5EED"/>
    <w:rsid w:val="008B04EA"/>
    <w:rsid w:val="008B6086"/>
    <w:rsid w:val="009214F3"/>
    <w:rsid w:val="00922607"/>
    <w:rsid w:val="009372D0"/>
    <w:rsid w:val="009425A1"/>
    <w:rsid w:val="00950981"/>
    <w:rsid w:val="00987874"/>
    <w:rsid w:val="009B771B"/>
    <w:rsid w:val="009E0014"/>
    <w:rsid w:val="009F10AE"/>
    <w:rsid w:val="00A25469"/>
    <w:rsid w:val="00A31B04"/>
    <w:rsid w:val="00A40054"/>
    <w:rsid w:val="00A52CEF"/>
    <w:rsid w:val="00A67D3F"/>
    <w:rsid w:val="00A714DF"/>
    <w:rsid w:val="00AC1340"/>
    <w:rsid w:val="00B10DD5"/>
    <w:rsid w:val="00B232E1"/>
    <w:rsid w:val="00B5313A"/>
    <w:rsid w:val="00B634FA"/>
    <w:rsid w:val="00BB0817"/>
    <w:rsid w:val="00BF4153"/>
    <w:rsid w:val="00C31E22"/>
    <w:rsid w:val="00C843A2"/>
    <w:rsid w:val="00D30C2A"/>
    <w:rsid w:val="00D53CC1"/>
    <w:rsid w:val="00D57B19"/>
    <w:rsid w:val="00D65F8C"/>
    <w:rsid w:val="00D74AB3"/>
    <w:rsid w:val="00D930E6"/>
    <w:rsid w:val="00D946E3"/>
    <w:rsid w:val="00D968F8"/>
    <w:rsid w:val="00E711C9"/>
    <w:rsid w:val="00E775C6"/>
    <w:rsid w:val="00EC2492"/>
    <w:rsid w:val="00EF5DF1"/>
    <w:rsid w:val="00F11C90"/>
    <w:rsid w:val="00F26037"/>
    <w:rsid w:val="00F52F0A"/>
    <w:rsid w:val="00F52F67"/>
    <w:rsid w:val="00F656DE"/>
    <w:rsid w:val="00FA6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A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0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03CEC"/>
    <w:rPr>
      <w:rFonts w:ascii="Tahoma" w:hAnsi="Tahoma" w:cs="Tahoma"/>
      <w:sz w:val="16"/>
      <w:szCs w:val="16"/>
    </w:rPr>
  </w:style>
  <w:style w:type="paragraph" w:styleId="ListParagraph">
    <w:name w:val="List Paragraph"/>
    <w:basedOn w:val="Normal"/>
    <w:uiPriority w:val="99"/>
    <w:qFormat/>
    <w:rsid w:val="000467B6"/>
    <w:pPr>
      <w:ind w:left="720"/>
      <w:contextualSpacing/>
    </w:pPr>
  </w:style>
  <w:style w:type="paragraph" w:styleId="NormalWeb">
    <w:name w:val="Normal (Web)"/>
    <w:basedOn w:val="Normal"/>
    <w:uiPriority w:val="99"/>
    <w:semiHidden/>
    <w:rsid w:val="00D946E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052660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Micron Technology, Inc.</Company>
  <LinksUpToDate>false</LinksUpToDate>
  <CharactersWithSpaces>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rparton</dc:creator>
  <cp:lastModifiedBy>Ron Ivie</cp:lastModifiedBy>
  <cp:revision>11</cp:revision>
  <cp:lastPrinted>2010-07-06T17:56:00Z</cp:lastPrinted>
  <dcterms:created xsi:type="dcterms:W3CDTF">2009-10-28T00:33:00Z</dcterms:created>
  <dcterms:modified xsi:type="dcterms:W3CDTF">2010-07-06T18:01:00Z</dcterms:modified>
</cp:coreProperties>
</file>