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Database ER Diagram &amp; Data Dictionary</w:t>
      </w:r>
    </w:p>
    <w:p>
      <w:pPr>
        <w:spacing w:after="100"/>
        <w:jc w:val="center"/>
      </w:pPr>
      <w:r>
        <w:rPr>
          <w:b/>
          <w:bCs/>
          <w:color w:val="2E74B5"/>
          <w:sz w:val="32"/>
          <w:szCs w:val="32"/>
        </w:rPr>
        <w:t xml:space="preserve">Inventory Audit Management System (IAMS)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Entity Relationships, Field-Level Schema, and Data Governance Notes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 ID: IAMS-DD-1.0    |    Version: 1.0    |    Status: Draft for Review    |    Date: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(Right-click and select “Update Field” in Word to populate this table after opening the document.)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Document Control</w:t>
      </w:r>
    </w:p>
    <w:p>
      <w:pPr>
        <w:pStyle w:val="Heading2"/>
        <w:spacing w:after="120" w:before="260"/>
      </w:pPr>
      <w:r>
        <w:t xml:space="preserve">Purpose</w:t>
      </w:r>
    </w:p>
    <w:p>
      <w:pPr>
        <w:spacing w:after="140"/>
      </w:pPr>
      <w:r>
        <w:t xml:space="preserve">This document defines the database schema for IAMS: entity-relationship diagrams grouped by functional cluster, and a field-level data dictionary for every entity. It is the schema-design gate flagged as a development blocker in prior review — backend persistence-layer code should not be written before this document is reviewed, since it fixes decisions (custom-field storage, immutability strategy, PII tagging) that are expensive to reverse once tables exist.</w:t>
      </w:r>
    </w:p>
    <w:p>
      <w:pPr>
        <w:spacing w:after="140"/>
      </w:pPr>
      <w:r>
        <w:t xml:space="preserve">This document assumes the single-tenant-per-instance model confirmed in BRD Section 5.1: no tenant_id column is used anywhere in this schema. Multi-site scoping within one organization is handled entirely through org_node_id references into the recursive ORG_NODE hierarchy.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300"/>
        <w:gridCol w:w="40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2026-07-06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 &amp; Engineering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Initial ER diagrams (5 clusters) and full data dictionary covering all 16 FRS modules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Schema-Wide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primary keys are UUIDs, not auto-incrementing integers, to avoid leaking record counts and to simplify future multi-instance data merges (e.g., district-level roll-ups) without key collisions.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entity has created_at; entities modifiable after creation also have updated_at, created_by, and updated_by (SRS Section 4.1).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Fields tagged “append_only” belong to entities that are never updated or deleted in place — corrections are new rows referencing the original (FR-AUD-18, FR-CMP-06 legal hold).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Fields tagged “PII” are flagged at the schema level so the anonymization engine (FR-CMP-02) and retention policy engine (FR-CMP-01) can operate generically without per-table hardcoded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and Audit records use an integer version column for optimistic locking (NFR-CONC-01), incremented on every update; a write with a stale version is rejected rather than silently overwriting a concurrent edit.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attachments (asset photos, audit evidence) store only an object-store key (MinIO reference); binary content never lives in PostgreSQL (SRS Section 4.2).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fields (FR-AST-06) use a JSONB column validated against a per-category JSON Schema stored in asset_category.custom_field_schema, avoiding a migration per organization's field configuration.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Organization, Users &amp; Roles</w:t>
      </w:r>
    </w:p>
    <w:p>
      <w:pPr>
        <w:spacing w:after="140"/>
      </w:pPr>
      <w:r>
        <w:t xml:space="preserve">The root dependency cluster: every other entity ultimately scopes to a node in this hierarchy or a user in this table.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843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org_node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Recursive tree; supports Campus/Building/Floor/Room or Ministry/Department labeling via label_override (FR-ORG-02).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node_id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 node identifier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parent_node_id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org_node.node_id, 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 for the root (e.g., top-level Campus)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node_type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Campus / Building / Floor / Room / Laboratory / Classroom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label_override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Organization-specific term for node_type, e.g. “Parish”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department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Cost-center entity, independent of physical location (FR-ORG-03).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cost_center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head_user_id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user_account.user_id, 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Department Head persona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org_node_id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org_node.node_id, 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Optional physical-site scoping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role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Default roles per FR-USR-01; custom roles supported per FR-USR-02.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role_id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permission_set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JSONB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Structured permission grants, evaluated with org-scope (FR-USR-04)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is_custom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user_account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name and email are PII — subject to the anonymization workflow (FR-CMP-02) on offboarding.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— PII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UNIQUE — PII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 when auth_source is ldap/sso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role_id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role.role_id, 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department.department_id, 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Active / Offboarding / Anonymized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auth_source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/ ldap / sso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pending_asset_review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 true on deactivation attempt while assets remain assigned (FR-USR-05)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notification_pref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Per-user, per-event-type channel preference (FR-NTF-05).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pref_id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channel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email / in_app / both / none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locked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for Administrator-mandated notifications (e.g., security alerts)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security_activity_log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Append-only; never updated or deleted (FR-SEC-04, NFR-OBS-03 correlation).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user_account.user_id, 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 for failed logins with unrecognized username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login_success / login_failed / permission_change / export / ...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detail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occurred_at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t xml:space="preserve">3. Asset Management &amp; Lifecycle</w:t>
      </w:r>
    </w:p>
    <w:p>
      <w:pPr>
        <w:spacing w:after="140"/>
      </w:pPr>
      <w:r>
        <w:t xml:space="preserve">The largest cluster by entity count, covering registration (FR-AST), procurement and lifecycle transitions (FR-LIF).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772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asset_category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custom_field_schema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JSONB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JSON Schema validating asset.custom_fields for this category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asset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The central entity. version supports optimistic locking (NFR-CONC-01); custom_fields covers category-specific attributes including Vehicle VIN/mileage (FR-AST-14).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asset_number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Human-facing ID, e.g. AST-00482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asset_category.category_id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manufacturer_id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manufacturer.manufacturer_id, 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vendor_id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vendor.vendor_id, 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location_node_id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org_node.node_id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department.department_id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assigned_to_user_id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user_account.user_id, 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 Use / In Storage / Under Repair / Missing / Retired / Disposed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purchase_cost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currency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CHAR(3)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'USD'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FR-INV-06 multi-currency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purchase_date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warranty_expiry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amc_expiry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qr_code_value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FR-SCN-07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custom_fields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JSONB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Validated against asset_category.custom_field_schema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Optimistic locking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created_at / created_by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 / 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asset_attachment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attachment_id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asset.asset_id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object_store_key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MinIO reference (SRS Section 4.2)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content_type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size_bytes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asset_history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Append-only (FR-AST-10).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history_id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asset.asset_id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field_changed / old_value / new_value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changed_by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changed_at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insurance_policy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FR-AST-13.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policy_id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asset.asset_id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insurer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policy_number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coverage_amount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expiry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manufacturer / vendor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Simple reference tables.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manufacturer_id / vendor_id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contact_email (vendor only)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category (vendor only)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purchase_request / purchase_order / purchase_order_line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FR-LIF-01, 02, 03.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pr_id / po_id / line_id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department_id (PR)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department.department_id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vendor_id (PO)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vendor.vendor_id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purchase_request_id (PO)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purchase_request.pr_id, 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po_id (line)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purchase_order.po_id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received_as_asset_id (line)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asset.asset_id, 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 once received (FR-LIF-03)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lifecycle_event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Append-only (FR-LIF-10). Covers assign/transfer/repair/maintenance/retire/dispose/donate.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asset.asset_id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 / transfer / repair / maintenance / retire / dispose / donate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from_location_id / to_location_id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org_node.node_id, 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from_user_id / to_user_id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user_account.user_id, 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approved_by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user_account.user_id, 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Required for transfer/disposal per separation of duties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disposal_method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e.g., e-waste compliant (FR-LIF-09)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event_date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t xml:space="preserve">4. Inventory Management</w:t>
      </w:r>
    </w:p>
    <w:p>
      <w:pPr>
        <w:spacing w:after="140"/>
      </w:pPr>
      <w:r>
        <w:t xml:space="preserve">Quantity-based consumables and spare parts, distinct from individually tracked assets (FR-INV).</w:t>
      </w:r>
    </w:p>
    <w:p>
      <w:pPr>
        <w:spacing w:after="240" w:before="120"/>
        <w:jc w:val="center"/>
      </w:pPr>
      <w:r>
        <w:drawing>
          <wp:inline distT="0" distB="0" distL="0" distR="0">
            <wp:extent cx="33909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warehouse / bin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warehouse_id / bin_id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warehouse_id (bin)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warehouse.warehouse_id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 / code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inventory_item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expiry_date supports FR-INV-09 (lab chemicals, perishables).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item_id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warehouse_id / bin_id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FK, NOT NULL / 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vendor_id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vendor.vendor_id, 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quantity_on_hand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reorder_level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unit_cost / currency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DECIMAL / CHAR(3)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FR-INV-06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inventory_transaction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Append-only. transfer_type distinguishes a linked transfer pair from independent in/out (FR-INV-08).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transaction_id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item_id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inventory_item.item_id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transaction_type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 / out / transfer / adjustment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quantity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from_warehouse_id / to_warehouse_id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FK, 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 set for transfer type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reason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Required for adjustment type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performed_by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performed_at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t xml:space="preserve">5. Audit Management — Core Differentiator</w:t>
      </w:r>
    </w:p>
    <w:p>
      <w:pPr>
        <w:spacing w:after="140"/>
      </w:pPr>
      <w:r>
        <w:t xml:space="preserve">The schema for the module the BRD names as the primary differentiator; immutability and reconciliation are enforced structurally, not just procedurally.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719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audit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sampling_method null means 100% verification; non-null means statistical sampling at scale (FR-AUD-20).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audit_id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audit_code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e.g. AUD-2026-Q3-014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audit_type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Quarterly/Annual/Department/Room/Building/Campus/Surprise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scope_node_id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org_node.node_id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Scheduled / In Progress / Completed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sampling_method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FR-AUD-20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auditor_user_id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expected_count / verified_count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 / NOT NULL DEFAULT 0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digital_signature_ref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FR-AUD-12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legal_hold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FR-CMP-06; blocks retention-policy purge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audit_finding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Append-only (FR-AUD-18). reconciled_by_finding_id links a later reconciliation (FR-AUD-21) back to the original Missing finding without editing it.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finding_id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audit_id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audit.audit_id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asset.asset_id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finding_type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Verified / Missing / Damaged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condition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Good/Fair/Minor Damage/Major Damage/Unusable (FR-AUD-09)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remark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verified_by / verified_at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/ TIMESTAMP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reconciled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reconciled_by_finding_id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audit_finding.finding_id, 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finding_evidence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FR-AUD-10.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finding_id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audit_finding.finding_id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object_store_key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content_type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audit_approval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FR-AUD-13.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approval_id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audit_id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audit.audit_id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approver_user_id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decision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Approved / Rejected / Clarification Requested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comment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decided_at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t xml:space="preserve">6. Compliance, Security &amp; Integrations</w:t>
      </w:r>
    </w:p>
    <w:p>
      <w:pPr>
        <w:spacing w:after="140"/>
      </w:pPr>
      <w:r>
        <w:t xml:space="preserve">Supports the CMP, SEC, INT, MIG, and ANL modules — the cluster added specifically to close the compliance and integration-security gaps from the adversarial review.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retention_policy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FR-CMP-01.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policy_id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e.g. security_activity_log, user_account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retention_period_days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action_at_expiry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delete / anonymize / legal_hold_eligible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anonymization_queue_item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FR-CMP-02.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queue_item_id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eligible_at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Flagged / Approved / Completed / Blocked_LegalHold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approved_by / approved_at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/ TIMESTAMP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Officer approval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legal_hold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FR-CMP-06. entity_id is polymorphic (references asset.asset_id or audit.audit_id depending on entity_type).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hold_id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 / Audit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entity_id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Polymorphic reference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reason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applied_by / applied_at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/ TIMESTAMP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lifted_at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integration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FR-INT-05: disabled by default. config_encrypted_ref never stores plaintext credentials (FR-SEC-11).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integration_id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integration_type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ldap / sso / accounting / webhook / sms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config_encrypted_ref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Secrets-manager reference, not plaintext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enabled_by / enabled_at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/ TIMESTAMP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bulk_import_job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FR-MIG-01–04.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job_id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dry_run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total_rows / success_rows / error_rows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error_report_key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Object-store reference to per-row error report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committed_by / committed_at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 / TIMESTAMP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nullable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usage_analytics_event / feedback_submission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FR-ANL-01–04. Local only — never transmitted outside the deployment (FR-ANL-02).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event_id / feedback_id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PK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FK → user_account.user_id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feature_key (event)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category / message (feedback)</w:t>
            </w:r>
          </w:p>
        </w:tc>
        <w:tc>
          <w:tcPr>
            <w:tcW w:type="dxa" w:w="1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VARCHAR / TEXT</w:t>
            </w:r>
          </w:p>
        </w:tc>
        <w:tc>
          <w:tcPr>
            <w:tcW w:type="dxa" w:w="16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shd w:fill="F2F6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occurred_at / submitted_at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t xml:space="preserve">7. Open Design Decisions for Engineering Review</w:t>
      </w:r>
    </w:p>
    <w:p>
      <w:pPr>
        <w:spacing w:after="140"/>
      </w:pPr>
      <w:r>
        <w:t xml:space="preserve">These are the specific decisions this schema makes that engineering should confirm before writing migrations, since they are the ones most expensive to reverse: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JSONB for custom_fields and permission_set assumes PostgreSQL; if a different database were ever substituted (SRS Section 8 fixes PostgreSQL, so this should not occur, but is noted for completeness), this would need redesign.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Polymorphic entity_id on legal_hold (no formal foreign key constraint) trades referential-integrity enforcement for avoiding a hold table per entity type; engineering should confirm this tradeoff or add application-level integrity checks.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Optimistic locking (version column) is specified only on asset and, implicitly, should extend to audit and audit_finding given their concurrent-edit risk during live audits — confirm during migration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Full-text/global search (FR-SRC-01) is not modeled as a separate entity here; it is expected to be implemented via PostgreSQL full-text search or a search index over existing tables, not a new persisted entity.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1b6d60fb08290f40dde6214b3429ed50393d9b.undefined"/><Relationship Id="rId8" Type="http://schemas.openxmlformats.org/officeDocument/2006/relationships/image" Target="media/5684e64d8b131225d150daceb44cfe9f55989d33.undefined"/><Relationship Id="rId9" Type="http://schemas.openxmlformats.org/officeDocument/2006/relationships/image" Target="media/abfbec88d5fa783c2b367da5f5cf65f43d36f00c.undefined"/><Relationship Id="rId10" Type="http://schemas.openxmlformats.org/officeDocument/2006/relationships/image" Target="media/0e1379f934b2f2e5190bc52d33945a482e07b7ea.undefined"/><Relationship Id="rId11" Type="http://schemas.openxmlformats.org/officeDocument/2006/relationships/image" Target="media/c4eec8927cf12bdd2c88ca8d32199a838fea066f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2026-07-06T12:53:17.724Z</dcterms:created>
  <dcterms:modified xsi:type="dcterms:W3CDTF">2026-07-06T12:53:17.734Z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