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71E" w:rsidRPr="00D25B6A" w:rsidRDefault="00A3221E" w:rsidP="007D271E">
      <w:pPr>
        <w:autoSpaceDE w:val="0"/>
        <w:autoSpaceDN w:val="0"/>
        <w:adjustRightInd w:val="0"/>
        <w:rPr>
          <w:rFonts w:ascii="Eurostile" w:hAnsi="Eurostile"/>
          <w:b/>
          <w:sz w:val="52"/>
          <w:szCs w:val="52"/>
          <w:lang w:val="es-ES_tradnl"/>
        </w:rPr>
      </w:pPr>
      <w:r w:rsidRPr="00A3221E">
        <w:rPr>
          <w:rFonts w:ascii="Eurostile" w:hAnsi="Eurostile"/>
          <w:b/>
          <w:noProof/>
          <w:sz w:val="48"/>
          <w:szCs w:val="48"/>
          <w:lang w:eastAsia="en-US"/>
        </w:rPr>
        <w:pict>
          <v:line id="Line 15" o:spid="_x0000_s1029" style="position:absolute;z-index:251659264;visibility:visible" from="-40.2pt,78.5pt" to="471.3pt,78.5pt" strokeweight="3pt"/>
        </w:pict>
      </w:r>
      <w:r w:rsidR="00EE486F">
        <w:rPr>
          <w:rFonts w:ascii="Eurostile" w:eastAsia="Eurostile" w:hAnsi="Eurostile" w:cs="Eurostile"/>
          <w:b/>
          <w:bCs/>
          <w:noProof/>
          <w:sz w:val="52"/>
          <w:szCs w:val="52"/>
          <w:bdr w:val="nil"/>
          <w:lang w:val="es-ES" w:eastAsia="en-US"/>
        </w:rPr>
        <w:t>MINIAGITADOR SELECT BIOPRODUCTS</w:t>
      </w:r>
    </w:p>
    <w:p w:rsidR="007D271E" w:rsidRPr="00D25B6A" w:rsidRDefault="00A3221E" w:rsidP="007D271E">
      <w:pPr>
        <w:autoSpaceDE w:val="0"/>
        <w:autoSpaceDN w:val="0"/>
        <w:adjustRightInd w:val="0"/>
        <w:rPr>
          <w:rFonts w:ascii="Arial" w:hAnsi="Arial" w:cs="Arial"/>
          <w:b/>
          <w:bCs/>
          <w:sz w:val="32"/>
          <w:szCs w:val="32"/>
          <w:lang w:val="es-ES_tradnl"/>
        </w:rPr>
      </w:pPr>
      <w:r w:rsidRPr="00A3221E">
        <w:rPr>
          <w:rFonts w:ascii="Eurostile" w:hAnsi="Eurostile"/>
          <w:b/>
          <w:noProof/>
          <w:sz w:val="48"/>
          <w:szCs w:val="48"/>
          <w:lang w:eastAsia="en-US"/>
        </w:rPr>
        <w:pict>
          <v:line id="Line 16" o:spid="_x0000_s1026" style="position:absolute;z-index:251660288;visibility:visible" from="-40.95pt,4.3pt" to="470.55pt,4.3pt" strokecolor="#005a7c" strokeweight="3pt"/>
        </w:pict>
      </w:r>
      <w:r w:rsidR="00EE486F">
        <w:rPr>
          <w:rFonts w:ascii="Eurostile" w:eastAsia="Eurostile" w:hAnsi="Eurostile" w:cs="Eurostile"/>
          <w:b/>
          <w:bCs/>
          <w:noProof/>
          <w:sz w:val="48"/>
          <w:szCs w:val="48"/>
          <w:bdr w:val="nil"/>
          <w:lang w:val="es-ES" w:eastAsia="en-US"/>
        </w:rPr>
        <w:t>Manual del usuario</w:t>
      </w:r>
    </w:p>
    <w:p w:rsidR="00972649" w:rsidRPr="00D25B6A" w:rsidRDefault="00426CD5" w:rsidP="00972649">
      <w:pPr>
        <w:autoSpaceDE w:val="0"/>
        <w:autoSpaceDN w:val="0"/>
        <w:adjustRightInd w:val="0"/>
        <w:jc w:val="center"/>
        <w:rPr>
          <w:rFonts w:ascii="Times-Bold" w:hAnsi="Times-Bold" w:cs="Times-Bold"/>
          <w:b/>
          <w:bCs/>
          <w:sz w:val="36"/>
          <w:szCs w:val="36"/>
          <w:lang w:val="es-ES_tradnl"/>
        </w:rPr>
      </w:pPr>
    </w:p>
    <w:p w:rsidR="007D271E" w:rsidRPr="00D25B6A" w:rsidRDefault="00426CD5" w:rsidP="00972649">
      <w:pPr>
        <w:autoSpaceDE w:val="0"/>
        <w:autoSpaceDN w:val="0"/>
        <w:adjustRightInd w:val="0"/>
        <w:jc w:val="center"/>
        <w:rPr>
          <w:rFonts w:ascii="Times-Bold" w:hAnsi="Times-Bold" w:cs="Times-Bold"/>
          <w:b/>
          <w:bCs/>
          <w:sz w:val="36"/>
          <w:szCs w:val="36"/>
          <w:lang w:val="es-ES_tradnl"/>
        </w:rPr>
      </w:pPr>
    </w:p>
    <w:p w:rsidR="007D271E" w:rsidRPr="00D25B6A" w:rsidRDefault="00426CD5" w:rsidP="00972649">
      <w:pPr>
        <w:autoSpaceDE w:val="0"/>
        <w:autoSpaceDN w:val="0"/>
        <w:adjustRightInd w:val="0"/>
        <w:jc w:val="center"/>
        <w:rPr>
          <w:rFonts w:ascii="Times-Bold" w:hAnsi="Times-Bold" w:cs="Times-Bold"/>
          <w:b/>
          <w:bCs/>
          <w:sz w:val="36"/>
          <w:szCs w:val="36"/>
          <w:lang w:val="es-ES_tradnl"/>
        </w:rPr>
      </w:pPr>
    </w:p>
    <w:p w:rsidR="007D271E" w:rsidRPr="00D25B6A" w:rsidRDefault="00426CD5" w:rsidP="00972649">
      <w:pPr>
        <w:autoSpaceDE w:val="0"/>
        <w:autoSpaceDN w:val="0"/>
        <w:adjustRightInd w:val="0"/>
        <w:jc w:val="center"/>
        <w:rPr>
          <w:rFonts w:ascii="Times-Bold" w:hAnsi="Times-Bold" w:cs="Times-Bold"/>
          <w:b/>
          <w:bCs/>
          <w:sz w:val="36"/>
          <w:szCs w:val="36"/>
          <w:lang w:val="es-ES_tradnl"/>
        </w:rPr>
      </w:pPr>
    </w:p>
    <w:p w:rsidR="007D271E" w:rsidRPr="00D25B6A" w:rsidRDefault="00EE486F" w:rsidP="00972649">
      <w:pPr>
        <w:autoSpaceDE w:val="0"/>
        <w:autoSpaceDN w:val="0"/>
        <w:adjustRightInd w:val="0"/>
        <w:jc w:val="center"/>
        <w:rPr>
          <w:rFonts w:ascii="Times-Bold" w:hAnsi="Times-Bold" w:cs="Times-Bold"/>
          <w:b/>
          <w:bCs/>
          <w:sz w:val="36"/>
          <w:szCs w:val="36"/>
          <w:lang w:val="es-ES_tradnl"/>
        </w:rPr>
      </w:pPr>
      <w:r>
        <w:rPr>
          <w:noProof/>
          <w:lang w:eastAsia="zh-TW"/>
        </w:rPr>
        <w:drawing>
          <wp:anchor distT="0" distB="0" distL="114300" distR="114300" simplePos="0" relativeHeight="251658240" behindDoc="0" locked="0" layoutInCell="1" allowOverlap="1">
            <wp:simplePos x="0" y="0"/>
            <wp:positionH relativeFrom="column">
              <wp:posOffset>1266825</wp:posOffset>
            </wp:positionH>
            <wp:positionV relativeFrom="paragraph">
              <wp:posOffset>26670</wp:posOffset>
            </wp:positionV>
            <wp:extent cx="3448050" cy="3046095"/>
            <wp:effectExtent l="0" t="0" r="0" b="1905"/>
            <wp:wrapSquare wrapText="bothSides"/>
            <wp:docPr id="15" name="Picture 5" descr="SBP Mini Mi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BP Mini Mixer"/>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448050" cy="3046095"/>
                    </a:xfrm>
                    <a:prstGeom prst="rect">
                      <a:avLst/>
                    </a:prstGeom>
                    <a:noFill/>
                    <a:ln>
                      <a:noFill/>
                    </a:ln>
                  </pic:spPr>
                </pic:pic>
              </a:graphicData>
            </a:graphic>
          </wp:anchor>
        </w:drawing>
      </w:r>
    </w:p>
    <w:p w:rsidR="007D271E" w:rsidRPr="00D25B6A" w:rsidRDefault="00426CD5" w:rsidP="00972649">
      <w:pPr>
        <w:autoSpaceDE w:val="0"/>
        <w:autoSpaceDN w:val="0"/>
        <w:adjustRightInd w:val="0"/>
        <w:jc w:val="center"/>
        <w:rPr>
          <w:rFonts w:ascii="Times-Bold" w:hAnsi="Times-Bold" w:cs="Times-Bold"/>
          <w:b/>
          <w:bCs/>
          <w:sz w:val="36"/>
          <w:szCs w:val="36"/>
          <w:lang w:val="es-ES_tradnl"/>
        </w:rPr>
      </w:pPr>
    </w:p>
    <w:p w:rsidR="007D271E" w:rsidRPr="00D25B6A" w:rsidRDefault="00426CD5" w:rsidP="00972649">
      <w:pPr>
        <w:autoSpaceDE w:val="0"/>
        <w:autoSpaceDN w:val="0"/>
        <w:adjustRightInd w:val="0"/>
        <w:jc w:val="center"/>
        <w:rPr>
          <w:rFonts w:ascii="Times-Bold" w:hAnsi="Times-Bold" w:cs="Times-Bold"/>
          <w:b/>
          <w:bCs/>
          <w:sz w:val="36"/>
          <w:szCs w:val="36"/>
          <w:lang w:val="es-ES_tradnl"/>
        </w:rPr>
      </w:pPr>
    </w:p>
    <w:p w:rsidR="007D271E" w:rsidRPr="00D25B6A" w:rsidRDefault="00426CD5" w:rsidP="00972649">
      <w:pPr>
        <w:autoSpaceDE w:val="0"/>
        <w:autoSpaceDN w:val="0"/>
        <w:adjustRightInd w:val="0"/>
        <w:jc w:val="center"/>
        <w:rPr>
          <w:rFonts w:ascii="Times-Bold" w:hAnsi="Times-Bold" w:cs="Times-Bold"/>
          <w:b/>
          <w:bCs/>
          <w:sz w:val="36"/>
          <w:szCs w:val="36"/>
          <w:lang w:val="es-ES_tradnl"/>
        </w:rPr>
      </w:pPr>
    </w:p>
    <w:p w:rsidR="007D271E" w:rsidRPr="00D25B6A" w:rsidRDefault="00426CD5" w:rsidP="00972649">
      <w:pPr>
        <w:autoSpaceDE w:val="0"/>
        <w:autoSpaceDN w:val="0"/>
        <w:adjustRightInd w:val="0"/>
        <w:jc w:val="center"/>
        <w:rPr>
          <w:rFonts w:ascii="Times-Bold" w:hAnsi="Times-Bold" w:cs="Times-Bold"/>
          <w:b/>
          <w:bCs/>
          <w:sz w:val="36"/>
          <w:szCs w:val="36"/>
          <w:lang w:val="es-ES_tradnl"/>
        </w:rPr>
      </w:pPr>
    </w:p>
    <w:p w:rsidR="007D271E" w:rsidRPr="00D25B6A" w:rsidRDefault="00426CD5" w:rsidP="00972649">
      <w:pPr>
        <w:autoSpaceDE w:val="0"/>
        <w:autoSpaceDN w:val="0"/>
        <w:adjustRightInd w:val="0"/>
        <w:jc w:val="center"/>
        <w:rPr>
          <w:rFonts w:ascii="Times-Bold" w:hAnsi="Times-Bold" w:cs="Times-Bold"/>
          <w:b/>
          <w:bCs/>
          <w:sz w:val="36"/>
          <w:szCs w:val="36"/>
          <w:lang w:val="es-ES_tradnl"/>
        </w:rPr>
      </w:pPr>
    </w:p>
    <w:p w:rsidR="007D271E" w:rsidRPr="00D25B6A" w:rsidRDefault="00426CD5" w:rsidP="00972649">
      <w:pPr>
        <w:autoSpaceDE w:val="0"/>
        <w:autoSpaceDN w:val="0"/>
        <w:adjustRightInd w:val="0"/>
        <w:jc w:val="center"/>
        <w:rPr>
          <w:rFonts w:ascii="Times-Bold" w:hAnsi="Times-Bold" w:cs="Times-Bold"/>
          <w:b/>
          <w:bCs/>
          <w:sz w:val="36"/>
          <w:szCs w:val="36"/>
          <w:lang w:val="es-ES_tradnl"/>
        </w:rPr>
      </w:pPr>
    </w:p>
    <w:p w:rsidR="007D271E" w:rsidRPr="00D25B6A" w:rsidRDefault="00426CD5" w:rsidP="00972649">
      <w:pPr>
        <w:autoSpaceDE w:val="0"/>
        <w:autoSpaceDN w:val="0"/>
        <w:adjustRightInd w:val="0"/>
        <w:jc w:val="center"/>
        <w:rPr>
          <w:rFonts w:ascii="Times-Bold" w:hAnsi="Times-Bold" w:cs="Times-Bold"/>
          <w:b/>
          <w:bCs/>
          <w:sz w:val="36"/>
          <w:szCs w:val="36"/>
          <w:lang w:val="es-ES_tradnl"/>
        </w:rPr>
      </w:pPr>
    </w:p>
    <w:p w:rsidR="007D271E" w:rsidRPr="00D25B6A" w:rsidRDefault="00426CD5" w:rsidP="00972649">
      <w:pPr>
        <w:autoSpaceDE w:val="0"/>
        <w:autoSpaceDN w:val="0"/>
        <w:adjustRightInd w:val="0"/>
        <w:jc w:val="center"/>
        <w:rPr>
          <w:rFonts w:ascii="Times-Bold" w:hAnsi="Times-Bold" w:cs="Times-Bold"/>
          <w:b/>
          <w:bCs/>
          <w:sz w:val="36"/>
          <w:szCs w:val="36"/>
          <w:lang w:val="es-ES_tradnl"/>
        </w:rPr>
      </w:pPr>
    </w:p>
    <w:p w:rsidR="007D271E" w:rsidRPr="00D25B6A" w:rsidRDefault="00426CD5" w:rsidP="00972649">
      <w:pPr>
        <w:autoSpaceDE w:val="0"/>
        <w:autoSpaceDN w:val="0"/>
        <w:adjustRightInd w:val="0"/>
        <w:jc w:val="center"/>
        <w:rPr>
          <w:rFonts w:ascii="Times-Bold" w:hAnsi="Times-Bold" w:cs="Times-Bold"/>
          <w:b/>
          <w:bCs/>
          <w:sz w:val="36"/>
          <w:szCs w:val="36"/>
          <w:lang w:val="es-ES_tradnl"/>
        </w:rPr>
      </w:pPr>
    </w:p>
    <w:p w:rsidR="007D271E" w:rsidRPr="00D25B6A" w:rsidRDefault="00426CD5" w:rsidP="00972649">
      <w:pPr>
        <w:autoSpaceDE w:val="0"/>
        <w:autoSpaceDN w:val="0"/>
        <w:adjustRightInd w:val="0"/>
        <w:jc w:val="center"/>
        <w:rPr>
          <w:rFonts w:ascii="Times-Bold" w:hAnsi="Times-Bold" w:cs="Times-Bold"/>
          <w:b/>
          <w:bCs/>
          <w:sz w:val="36"/>
          <w:szCs w:val="36"/>
          <w:lang w:val="es-ES_tradnl"/>
        </w:rPr>
      </w:pPr>
    </w:p>
    <w:p w:rsidR="007D271E" w:rsidRPr="00D25B6A" w:rsidRDefault="00426CD5" w:rsidP="00972649">
      <w:pPr>
        <w:autoSpaceDE w:val="0"/>
        <w:autoSpaceDN w:val="0"/>
        <w:adjustRightInd w:val="0"/>
        <w:jc w:val="center"/>
        <w:rPr>
          <w:rFonts w:ascii="Times-Bold" w:hAnsi="Times-Bold" w:cs="Times-Bold"/>
          <w:b/>
          <w:bCs/>
          <w:sz w:val="36"/>
          <w:szCs w:val="36"/>
          <w:lang w:val="es-ES_tradnl"/>
        </w:rPr>
      </w:pPr>
    </w:p>
    <w:p w:rsidR="007D271E" w:rsidRPr="00D25B6A" w:rsidRDefault="00A3221E" w:rsidP="00972649">
      <w:pPr>
        <w:autoSpaceDE w:val="0"/>
        <w:autoSpaceDN w:val="0"/>
        <w:adjustRightInd w:val="0"/>
        <w:jc w:val="center"/>
        <w:rPr>
          <w:rFonts w:ascii="Times-Bold" w:hAnsi="Times-Bold" w:cs="Times-Bold"/>
          <w:b/>
          <w:bCs/>
          <w:sz w:val="36"/>
          <w:szCs w:val="36"/>
          <w:lang w:val="es-ES_tradnl"/>
        </w:rPr>
      </w:pPr>
      <w:r w:rsidRPr="00A3221E">
        <w:rPr>
          <w:rFonts w:ascii="Arial" w:hAnsi="Arial" w:cs="Arial"/>
          <w:b/>
          <w:bCs/>
          <w:noProof/>
          <w:sz w:val="22"/>
          <w:szCs w:val="22"/>
          <w:lang w:eastAsia="en-US"/>
        </w:rPr>
        <w:pict>
          <v:shapetype id="_x0000_t202" coordsize="21600,21600" o:spt="202" path="m,l,21600r21600,l21600,xe">
            <v:stroke joinstyle="miter"/>
            <v:path gradientshapeok="t" o:connecttype="rect"/>
          </v:shapetype>
          <v:shape id="Text Box 17" o:spid="_x0000_s1027" type="#_x0000_t202" style="position:absolute;left:0;text-align:left;margin-left:101.95pt;margin-top:13.75pt;width:270.75pt;height:91.25pt;z-index:251661312;visibility:visible" stroked="f">
            <v:textbox>
              <w:txbxContent>
                <w:p w:rsidR="007D271E" w:rsidRDefault="00EE486F" w:rsidP="00F21CC4">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es-ES"/>
                    </w:rPr>
                    <w:t>SBS600</w:t>
                  </w:r>
                </w:p>
                <w:p w:rsidR="007D271E" w:rsidRDefault="00EE486F" w:rsidP="00F21CC4">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es-ES"/>
                    </w:rPr>
                    <w:t>SBS600-2</w:t>
                  </w:r>
                </w:p>
                <w:p w:rsidR="007D271E" w:rsidRPr="00CC1FE0" w:rsidRDefault="00EE486F" w:rsidP="00F21CC4">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es-ES"/>
                    </w:rPr>
                    <w:t>SBS600-3</w:t>
                  </w:r>
                </w:p>
                <w:p w:rsidR="007D271E" w:rsidRDefault="00426CD5" w:rsidP="00F21CC4"/>
              </w:txbxContent>
            </v:textbox>
          </v:shape>
        </w:pict>
      </w:r>
    </w:p>
    <w:p w:rsidR="007D271E" w:rsidRPr="00D25B6A" w:rsidRDefault="00426CD5" w:rsidP="00972649">
      <w:pPr>
        <w:autoSpaceDE w:val="0"/>
        <w:autoSpaceDN w:val="0"/>
        <w:adjustRightInd w:val="0"/>
        <w:jc w:val="center"/>
        <w:rPr>
          <w:rFonts w:ascii="Times-Bold" w:hAnsi="Times-Bold" w:cs="Times-Bold"/>
          <w:b/>
          <w:bCs/>
          <w:sz w:val="36"/>
          <w:szCs w:val="36"/>
          <w:lang w:val="es-ES_tradnl"/>
        </w:rPr>
      </w:pPr>
    </w:p>
    <w:p w:rsidR="007D271E" w:rsidRPr="00D25B6A" w:rsidRDefault="00426CD5" w:rsidP="00972649">
      <w:pPr>
        <w:autoSpaceDE w:val="0"/>
        <w:autoSpaceDN w:val="0"/>
        <w:adjustRightInd w:val="0"/>
        <w:jc w:val="center"/>
        <w:rPr>
          <w:rFonts w:ascii="Times-Bold" w:hAnsi="Times-Bold" w:cs="Times-Bold"/>
          <w:b/>
          <w:bCs/>
          <w:sz w:val="36"/>
          <w:szCs w:val="36"/>
          <w:lang w:val="es-ES_tradnl"/>
        </w:rPr>
      </w:pPr>
    </w:p>
    <w:p w:rsidR="007D271E" w:rsidRPr="00D25B6A" w:rsidRDefault="00426CD5" w:rsidP="00972649">
      <w:pPr>
        <w:autoSpaceDE w:val="0"/>
        <w:autoSpaceDN w:val="0"/>
        <w:adjustRightInd w:val="0"/>
        <w:jc w:val="center"/>
        <w:rPr>
          <w:rFonts w:ascii="Times-Bold" w:hAnsi="Times-Bold" w:cs="Times-Bold"/>
          <w:b/>
          <w:bCs/>
          <w:sz w:val="36"/>
          <w:szCs w:val="36"/>
          <w:lang w:val="es-ES_tradnl"/>
        </w:rPr>
      </w:pPr>
    </w:p>
    <w:p w:rsidR="007D271E" w:rsidRPr="00D25B6A" w:rsidRDefault="00426CD5" w:rsidP="00972649">
      <w:pPr>
        <w:autoSpaceDE w:val="0"/>
        <w:autoSpaceDN w:val="0"/>
        <w:adjustRightInd w:val="0"/>
        <w:jc w:val="center"/>
        <w:rPr>
          <w:rFonts w:ascii="Times-Bold" w:hAnsi="Times-Bold" w:cs="Times-Bold"/>
          <w:b/>
          <w:bCs/>
          <w:sz w:val="36"/>
          <w:szCs w:val="36"/>
          <w:lang w:val="es-ES_tradnl"/>
        </w:rPr>
      </w:pPr>
    </w:p>
    <w:p w:rsidR="007D271E" w:rsidRPr="00D25B6A" w:rsidRDefault="00426CD5" w:rsidP="00972649">
      <w:pPr>
        <w:autoSpaceDE w:val="0"/>
        <w:autoSpaceDN w:val="0"/>
        <w:adjustRightInd w:val="0"/>
        <w:jc w:val="center"/>
        <w:rPr>
          <w:rFonts w:ascii="Times-Bold" w:hAnsi="Times-Bold" w:cs="Times-Bold"/>
          <w:b/>
          <w:bCs/>
          <w:sz w:val="36"/>
          <w:szCs w:val="36"/>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16"/>
        <w:gridCol w:w="4716"/>
      </w:tblGrid>
      <w:tr w:rsidR="00C746A3" w:rsidTr="00DF6AD7">
        <w:tc>
          <w:tcPr>
            <w:tcW w:w="4716" w:type="dxa"/>
          </w:tcPr>
          <w:p w:rsidR="00DF6AD7" w:rsidRDefault="00EE486F" w:rsidP="00DF6AD7">
            <w:pPr>
              <w:autoSpaceDE w:val="0"/>
              <w:autoSpaceDN w:val="0"/>
              <w:adjustRightInd w:val="0"/>
              <w:rPr>
                <w:rFonts w:ascii="Times-Bold" w:hAnsi="Times-Bold" w:cs="Times-Bold"/>
                <w:b/>
                <w:bCs/>
                <w:sz w:val="36"/>
                <w:szCs w:val="36"/>
              </w:rPr>
            </w:pPr>
            <w:r>
              <w:rPr>
                <w:rFonts w:ascii="Times-Bold" w:hAnsi="Times-Bold" w:cs="Times-Bold"/>
                <w:b/>
                <w:bCs/>
                <w:noProof/>
                <w:sz w:val="36"/>
                <w:szCs w:val="36"/>
                <w:lang w:eastAsia="zh-TW"/>
              </w:rPr>
              <w:drawing>
                <wp:inline distT="0" distB="0" distL="0" distR="0">
                  <wp:extent cx="357505" cy="252730"/>
                  <wp:effectExtent l="19050" t="0" r="4445" b="0"/>
                  <wp:docPr id="21" name="Picture 35" desc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E"/>
                          <pic:cNvPicPr>
                            <a:picLocks noChangeAspect="1" noChangeArrowheads="1"/>
                          </pic:cNvPicPr>
                        </pic:nvPicPr>
                        <pic:blipFill>
                          <a:blip r:embed="rId7" cstate="print"/>
                          <a:stretch>
                            <a:fillRect/>
                          </a:stretch>
                        </pic:blipFill>
                        <pic:spPr bwMode="auto">
                          <a:xfrm>
                            <a:off x="0" y="0"/>
                            <a:ext cx="357505" cy="252730"/>
                          </a:xfrm>
                          <a:prstGeom prst="rect">
                            <a:avLst/>
                          </a:prstGeom>
                          <a:noFill/>
                        </pic:spPr>
                      </pic:pic>
                    </a:graphicData>
                  </a:graphic>
                </wp:inline>
              </w:drawing>
            </w:r>
            <w:r>
              <w:rPr>
                <w:rFonts w:ascii="Times-Bold" w:hAnsi="Times-Bold" w:cs="Times-Bold"/>
                <w:b/>
                <w:bCs/>
                <w:noProof/>
                <w:sz w:val="36"/>
                <w:szCs w:val="36"/>
                <w:lang w:eastAsia="zh-TW"/>
              </w:rPr>
              <w:drawing>
                <wp:inline distT="0" distB="0" distL="0" distR="0">
                  <wp:extent cx="261620" cy="245745"/>
                  <wp:effectExtent l="19050" t="0" r="5080" b="0"/>
                  <wp:docPr id="20" name="Picture 36" descr="RoHS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oHS100"/>
                          <pic:cNvPicPr>
                            <a:picLocks noChangeAspect="1" noChangeArrowheads="1"/>
                          </pic:cNvPicPr>
                        </pic:nvPicPr>
                        <pic:blipFill>
                          <a:blip r:embed="rId8" cstate="print"/>
                          <a:stretch>
                            <a:fillRect/>
                          </a:stretch>
                        </pic:blipFill>
                        <pic:spPr bwMode="auto">
                          <a:xfrm>
                            <a:off x="0" y="0"/>
                            <a:ext cx="261620" cy="245745"/>
                          </a:xfrm>
                          <a:prstGeom prst="rect">
                            <a:avLst/>
                          </a:prstGeom>
                          <a:noFill/>
                        </pic:spPr>
                      </pic:pic>
                    </a:graphicData>
                  </a:graphic>
                </wp:inline>
              </w:drawing>
            </w:r>
            <w:r>
              <w:rPr>
                <w:rFonts w:ascii="Times-Bold" w:hAnsi="Times-Bold" w:cs="Times-Bold"/>
                <w:b/>
                <w:bCs/>
                <w:noProof/>
                <w:sz w:val="36"/>
                <w:szCs w:val="36"/>
                <w:lang w:eastAsia="zh-TW"/>
              </w:rPr>
              <w:drawing>
                <wp:inline distT="0" distB="0" distL="0" distR="0">
                  <wp:extent cx="403225" cy="403225"/>
                  <wp:effectExtent l="19050" t="0" r="0" b="0"/>
                  <wp:docPr id="19" name="Picture 39" descr="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CC"/>
                          <pic:cNvPicPr>
                            <a:picLocks noChangeAspect="1" noChangeArrowheads="1"/>
                          </pic:cNvPicPr>
                        </pic:nvPicPr>
                        <pic:blipFill>
                          <a:blip r:embed="rId9" cstate="print"/>
                          <a:stretch>
                            <a:fillRect/>
                          </a:stretch>
                        </pic:blipFill>
                        <pic:spPr bwMode="auto">
                          <a:xfrm>
                            <a:off x="0" y="0"/>
                            <a:ext cx="403225" cy="403225"/>
                          </a:xfrm>
                          <a:prstGeom prst="rect">
                            <a:avLst/>
                          </a:prstGeom>
                          <a:noFill/>
                        </pic:spPr>
                      </pic:pic>
                    </a:graphicData>
                  </a:graphic>
                </wp:inline>
              </w:drawing>
            </w:r>
            <w:r>
              <w:rPr>
                <w:rFonts w:ascii="Times-Bold" w:hAnsi="Times-Bold" w:cs="Times-Bold"/>
                <w:b/>
                <w:bCs/>
                <w:noProof/>
                <w:sz w:val="36"/>
                <w:szCs w:val="36"/>
                <w:lang w:eastAsia="zh-TW"/>
              </w:rPr>
              <w:drawing>
                <wp:inline distT="0" distB="0" distL="0" distR="0">
                  <wp:extent cx="500380" cy="500380"/>
                  <wp:effectExtent l="19050" t="0" r="0" b="0"/>
                  <wp:docPr id="18" name="Picture 38" descr="ETL 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TL EU"/>
                          <pic:cNvPicPr>
                            <a:picLocks noChangeAspect="1" noChangeArrowheads="1"/>
                          </pic:cNvPicPr>
                        </pic:nvPicPr>
                        <pic:blipFill>
                          <a:blip r:embed="rId10" cstate="print"/>
                          <a:stretch>
                            <a:fillRect/>
                          </a:stretch>
                        </pic:blipFill>
                        <pic:spPr bwMode="auto">
                          <a:xfrm>
                            <a:off x="0" y="0"/>
                            <a:ext cx="500380" cy="500380"/>
                          </a:xfrm>
                          <a:prstGeom prst="rect">
                            <a:avLst/>
                          </a:prstGeom>
                          <a:noFill/>
                        </pic:spPr>
                      </pic:pic>
                    </a:graphicData>
                  </a:graphic>
                </wp:inline>
              </w:drawing>
            </w:r>
            <w:r>
              <w:rPr>
                <w:rFonts w:ascii="Times-Bold" w:hAnsi="Times-Bold" w:cs="Times-Bold"/>
                <w:b/>
                <w:bCs/>
                <w:noProof/>
                <w:sz w:val="36"/>
                <w:szCs w:val="36"/>
                <w:lang w:eastAsia="zh-TW"/>
              </w:rPr>
              <w:drawing>
                <wp:inline distT="0" distB="0" distL="0" distR="0">
                  <wp:extent cx="414655" cy="320675"/>
                  <wp:effectExtent l="19050" t="0" r="4445" b="0"/>
                  <wp:docPr id="17" name="Picture 37" descr="E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TL"/>
                          <pic:cNvPicPr>
                            <a:picLocks noChangeAspect="1" noChangeArrowheads="1"/>
                          </pic:cNvPicPr>
                        </pic:nvPicPr>
                        <pic:blipFill>
                          <a:blip r:embed="rId11" cstate="print"/>
                          <a:stretch>
                            <a:fillRect/>
                          </a:stretch>
                        </pic:blipFill>
                        <pic:spPr bwMode="auto">
                          <a:xfrm>
                            <a:off x="0" y="0"/>
                            <a:ext cx="414655" cy="320675"/>
                          </a:xfrm>
                          <a:prstGeom prst="rect">
                            <a:avLst/>
                          </a:prstGeom>
                          <a:noFill/>
                        </pic:spPr>
                      </pic:pic>
                    </a:graphicData>
                  </a:graphic>
                </wp:inline>
              </w:drawing>
            </w:r>
          </w:p>
        </w:tc>
        <w:tc>
          <w:tcPr>
            <w:tcW w:w="4716" w:type="dxa"/>
          </w:tcPr>
          <w:p w:rsidR="00DF6AD7" w:rsidRDefault="00EE486F" w:rsidP="00DF6AD7">
            <w:pPr>
              <w:autoSpaceDE w:val="0"/>
              <w:autoSpaceDN w:val="0"/>
              <w:adjustRightInd w:val="0"/>
              <w:jc w:val="right"/>
              <w:rPr>
                <w:rFonts w:ascii="Times-Bold" w:hAnsi="Times-Bold" w:cs="Times-Bold"/>
                <w:b/>
                <w:bCs/>
                <w:sz w:val="36"/>
                <w:szCs w:val="36"/>
              </w:rPr>
            </w:pPr>
            <w:r w:rsidRPr="00DF6AD7">
              <w:rPr>
                <w:rFonts w:ascii="Times-Bold" w:hAnsi="Times-Bold" w:cs="Times-Bold"/>
                <w:b/>
                <w:bCs/>
                <w:noProof/>
                <w:sz w:val="36"/>
                <w:szCs w:val="36"/>
                <w:lang w:eastAsia="zh-TW"/>
              </w:rPr>
              <w:drawing>
                <wp:inline distT="0" distB="0" distL="0" distR="0">
                  <wp:extent cx="1701800" cy="685800"/>
                  <wp:effectExtent l="19050" t="0" r="0" b="0"/>
                  <wp:docPr id="4" name="Picture 23"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lectBio Logo copy"/>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701800" cy="685800"/>
                          </a:xfrm>
                          <a:prstGeom prst="rect">
                            <a:avLst/>
                          </a:prstGeom>
                          <a:noFill/>
                          <a:ln>
                            <a:noFill/>
                          </a:ln>
                        </pic:spPr>
                      </pic:pic>
                    </a:graphicData>
                  </a:graphic>
                </wp:inline>
              </w:drawing>
            </w:r>
          </w:p>
        </w:tc>
      </w:tr>
    </w:tbl>
    <w:p w:rsidR="00DF6AD7" w:rsidRDefault="00426CD5" w:rsidP="00972649">
      <w:pPr>
        <w:autoSpaceDE w:val="0"/>
        <w:autoSpaceDN w:val="0"/>
        <w:adjustRightInd w:val="0"/>
        <w:jc w:val="center"/>
        <w:rPr>
          <w:rFonts w:ascii="Times-Bold" w:hAnsi="Times-Bold" w:cs="Times-Bold"/>
          <w:b/>
          <w:bCs/>
          <w:sz w:val="36"/>
          <w:szCs w:val="36"/>
        </w:rPr>
      </w:pPr>
    </w:p>
    <w:p w:rsidR="00DF6AD7" w:rsidRDefault="00EE486F">
      <w:pPr>
        <w:rPr>
          <w:rFonts w:ascii="Times-Bold" w:hAnsi="Times-Bold" w:cs="Times-Bold"/>
          <w:b/>
          <w:bCs/>
          <w:sz w:val="36"/>
          <w:szCs w:val="36"/>
        </w:rPr>
      </w:pPr>
      <w:r>
        <w:rPr>
          <w:rFonts w:ascii="Times-Bold" w:hAnsi="Times-Bold" w:cs="Times-Bold"/>
          <w:b/>
          <w:bCs/>
          <w:sz w:val="36"/>
          <w:szCs w:val="36"/>
        </w:rPr>
        <w:br w:type="page"/>
      </w:r>
    </w:p>
    <w:tbl>
      <w:tblPr>
        <w:tblStyle w:val="TableGrid"/>
        <w:tblW w:w="0" w:type="auto"/>
        <w:tblLook w:val="04A0"/>
      </w:tblPr>
      <w:tblGrid>
        <w:gridCol w:w="9432"/>
      </w:tblGrid>
      <w:tr w:rsidR="00C746A3" w:rsidRPr="00426CD5" w:rsidTr="00DF6AD7">
        <w:tc>
          <w:tcPr>
            <w:tcW w:w="9432" w:type="dxa"/>
          </w:tcPr>
          <w:p w:rsidR="00DF6AD7" w:rsidRPr="00D25B6A" w:rsidRDefault="00EE486F" w:rsidP="00426CD5">
            <w:pPr>
              <w:pStyle w:val="AboutAHead"/>
              <w:spacing w:before="0" w:after="40"/>
              <w:rPr>
                <w:rFonts w:ascii="Arial" w:hAnsi="Arial" w:cs="Arial"/>
                <w:lang w:val="es-ES_tradnl"/>
              </w:rPr>
            </w:pPr>
            <w:r>
              <w:rPr>
                <w:rFonts w:ascii="Arial" w:eastAsia="Arial" w:hAnsi="Arial" w:cs="Arial"/>
                <w:sz w:val="24"/>
                <w:szCs w:val="24"/>
                <w:bdr w:val="nil"/>
                <w:lang w:val="es-ES"/>
              </w:rPr>
              <w:lastRenderedPageBreak/>
              <w:t>Acerca de este manual</w:t>
            </w:r>
          </w:p>
          <w:p w:rsidR="00DF6AD7" w:rsidRPr="00D25B6A" w:rsidRDefault="00EE486F" w:rsidP="00426CD5">
            <w:pPr>
              <w:pStyle w:val="Aboutbody"/>
              <w:spacing w:after="0"/>
              <w:rPr>
                <w:rFonts w:ascii="Arial" w:hAnsi="Arial" w:cs="Arial"/>
                <w:sz w:val="22"/>
                <w:lang w:val="es-ES_tradnl"/>
              </w:rPr>
            </w:pPr>
            <w:r>
              <w:rPr>
                <w:rFonts w:ascii="Arial" w:eastAsia="Arial" w:hAnsi="Arial" w:cs="Arial"/>
                <w:sz w:val="22"/>
                <w:szCs w:val="22"/>
                <w:bdr w:val="nil"/>
                <w:lang w:val="es-ES"/>
              </w:rPr>
              <w:t xml:space="preserve">Este manual ha sido elaborado para ayudarle a hacer un óptimo uso de su Miniagitador Select BioProducts.  El manual está disponible en inglés, francés, alemán, italiano, portugués y español en nuestro sitio web: </w:t>
            </w:r>
            <w:r>
              <w:rPr>
                <w:rFonts w:ascii="Arial" w:eastAsia="Arial" w:hAnsi="Arial" w:cs="Arial"/>
                <w:b/>
                <w:bCs/>
                <w:sz w:val="22"/>
                <w:szCs w:val="22"/>
                <w:bdr w:val="nil"/>
                <w:lang w:val="es-ES"/>
              </w:rPr>
              <w:t>www.selectbioproducts.com</w:t>
            </w:r>
          </w:p>
        </w:tc>
      </w:tr>
    </w:tbl>
    <w:p w:rsidR="00147FDF" w:rsidRPr="00426CD5" w:rsidRDefault="00426CD5" w:rsidP="00C5421E">
      <w:pPr>
        <w:autoSpaceDE w:val="0"/>
        <w:autoSpaceDN w:val="0"/>
        <w:adjustRightInd w:val="0"/>
        <w:rPr>
          <w:rFonts w:ascii="Arial" w:hAnsi="Arial" w:cs="Arial"/>
          <w:b/>
          <w:bCs/>
          <w:sz w:val="6"/>
          <w:szCs w:val="6"/>
          <w:lang w:val="es-ES_tradnl"/>
        </w:rPr>
      </w:pPr>
    </w:p>
    <w:p w:rsidR="00C5421E" w:rsidRPr="00D25B6A" w:rsidRDefault="00EE486F" w:rsidP="00C5421E">
      <w:pPr>
        <w:autoSpaceDE w:val="0"/>
        <w:autoSpaceDN w:val="0"/>
        <w:adjustRightInd w:val="0"/>
        <w:rPr>
          <w:rFonts w:ascii="Arial" w:hAnsi="Arial" w:cs="Arial"/>
          <w:b/>
          <w:bCs/>
          <w:sz w:val="22"/>
          <w:szCs w:val="22"/>
          <w:lang w:val="es-ES_tradnl"/>
        </w:rPr>
      </w:pPr>
      <w:r>
        <w:rPr>
          <w:rFonts w:ascii="Arial" w:eastAsia="Arial" w:hAnsi="Arial" w:cs="Arial"/>
          <w:b/>
          <w:bCs/>
          <w:sz w:val="22"/>
          <w:szCs w:val="22"/>
          <w:bdr w:val="nil"/>
          <w:lang w:val="es-ES"/>
        </w:rPr>
        <w:t>DESCRIPCIÓN GENERAL</w:t>
      </w:r>
    </w:p>
    <w:p w:rsidR="006F1E3C" w:rsidRPr="00426CD5" w:rsidRDefault="00426CD5" w:rsidP="00C5421E">
      <w:pPr>
        <w:autoSpaceDE w:val="0"/>
        <w:autoSpaceDN w:val="0"/>
        <w:adjustRightInd w:val="0"/>
        <w:rPr>
          <w:rFonts w:ascii="Arial" w:hAnsi="Arial" w:cs="Arial"/>
          <w:b/>
          <w:bCs/>
          <w:sz w:val="2"/>
          <w:szCs w:val="2"/>
          <w:lang w:val="es-ES_tradnl"/>
        </w:rPr>
      </w:pPr>
    </w:p>
    <w:p w:rsidR="00C5421E" w:rsidRPr="00D25B6A" w:rsidRDefault="00EE486F" w:rsidP="00C5421E">
      <w:pPr>
        <w:autoSpaceDE w:val="0"/>
        <w:autoSpaceDN w:val="0"/>
        <w:adjustRightInd w:val="0"/>
        <w:rPr>
          <w:rFonts w:ascii="Arial" w:hAnsi="Arial" w:cs="Arial"/>
          <w:sz w:val="20"/>
          <w:szCs w:val="20"/>
          <w:lang w:val="es-ES_tradnl"/>
        </w:rPr>
      </w:pPr>
      <w:r>
        <w:rPr>
          <w:rFonts w:ascii="Arial" w:eastAsia="Arial" w:hAnsi="Arial" w:cs="Arial"/>
          <w:sz w:val="20"/>
          <w:szCs w:val="20"/>
          <w:bdr w:val="nil"/>
          <w:lang w:val="es-ES"/>
        </w:rPr>
        <w:t xml:space="preserve">El </w:t>
      </w:r>
      <w:r>
        <w:rPr>
          <w:rFonts w:ascii="Arial" w:eastAsia="Arial" w:hAnsi="Arial" w:cs="Arial"/>
          <w:b/>
          <w:bCs/>
          <w:sz w:val="20"/>
          <w:szCs w:val="20"/>
          <w:bdr w:val="nil"/>
          <w:lang w:val="es-ES"/>
        </w:rPr>
        <w:t>Miniagitador Select BioProducts</w:t>
      </w:r>
      <w:r>
        <w:rPr>
          <w:rFonts w:ascii="Arial" w:eastAsia="Arial" w:hAnsi="Arial" w:cs="Arial"/>
          <w:sz w:val="20"/>
          <w:szCs w:val="20"/>
          <w:bdr w:val="nil"/>
          <w:lang w:val="es-ES"/>
        </w:rPr>
        <w:t xml:space="preserve"> es un agitador tridimensional que habitualmente se utiliza para mantener la suspensión uniforme de líquidos sobre membranas de transferencia con un volumen mínimo. El </w:t>
      </w:r>
      <w:r>
        <w:rPr>
          <w:rFonts w:ascii="Arial" w:eastAsia="Arial" w:hAnsi="Arial" w:cs="Arial"/>
          <w:b/>
          <w:bCs/>
          <w:sz w:val="20"/>
          <w:szCs w:val="20"/>
          <w:bdr w:val="nil"/>
          <w:lang w:val="es-ES"/>
        </w:rPr>
        <w:t>Miniagitador</w:t>
      </w:r>
      <w:r>
        <w:rPr>
          <w:rFonts w:ascii="Arial" w:eastAsia="Arial" w:hAnsi="Arial" w:cs="Arial"/>
          <w:sz w:val="20"/>
          <w:szCs w:val="20"/>
          <w:bdr w:val="nil"/>
          <w:lang w:val="es-ES"/>
        </w:rPr>
        <w:t xml:space="preserve"> también es ideal para procesar inmunoblots y para el tintado y decoloración de geles PAGE.</w:t>
      </w:r>
    </w:p>
    <w:p w:rsidR="00C5421E" w:rsidRPr="00D25B6A" w:rsidRDefault="00EE486F" w:rsidP="00C5421E">
      <w:pPr>
        <w:autoSpaceDE w:val="0"/>
        <w:autoSpaceDN w:val="0"/>
        <w:adjustRightInd w:val="0"/>
        <w:rPr>
          <w:rFonts w:ascii="Arial" w:hAnsi="Arial" w:cs="Arial"/>
          <w:sz w:val="20"/>
          <w:szCs w:val="20"/>
          <w:lang w:val="es-ES_tradnl"/>
        </w:rPr>
      </w:pPr>
      <w:r>
        <w:rPr>
          <w:rFonts w:ascii="Arial" w:eastAsia="Arial" w:hAnsi="Arial" w:cs="Arial"/>
          <w:sz w:val="20"/>
          <w:szCs w:val="20"/>
          <w:bdr w:val="nil"/>
          <w:lang w:val="es-ES"/>
        </w:rPr>
        <w:t xml:space="preserve">El </w:t>
      </w:r>
      <w:r>
        <w:rPr>
          <w:rFonts w:ascii="Arial" w:eastAsia="Arial" w:hAnsi="Arial" w:cs="Arial"/>
          <w:b/>
          <w:bCs/>
          <w:sz w:val="20"/>
          <w:szCs w:val="20"/>
          <w:bdr w:val="nil"/>
          <w:lang w:val="es-ES"/>
        </w:rPr>
        <w:t>Miniagitador</w:t>
      </w:r>
      <w:r>
        <w:rPr>
          <w:rFonts w:ascii="Arial" w:eastAsia="Arial" w:hAnsi="Arial" w:cs="Arial"/>
          <w:sz w:val="20"/>
          <w:szCs w:val="20"/>
          <w:bdr w:val="nil"/>
          <w:lang w:val="es-ES"/>
        </w:rPr>
        <w:t xml:space="preserve"> logra su mezcla tridimensional combinando el movimiento giratorio de un agitador orbital con el movimiento de balanceo de un balancín de plataforma.</w:t>
      </w:r>
    </w:p>
    <w:p w:rsidR="00C5421E" w:rsidRPr="00D25B6A" w:rsidRDefault="00EE486F" w:rsidP="00C5421E">
      <w:pPr>
        <w:autoSpaceDE w:val="0"/>
        <w:autoSpaceDN w:val="0"/>
        <w:adjustRightInd w:val="0"/>
        <w:rPr>
          <w:rFonts w:ascii="Arial" w:hAnsi="Arial" w:cs="Arial"/>
          <w:sz w:val="20"/>
          <w:szCs w:val="20"/>
          <w:lang w:val="es-ES_tradnl"/>
        </w:rPr>
      </w:pPr>
      <w:r>
        <w:rPr>
          <w:rFonts w:ascii="Arial" w:eastAsia="Arial" w:hAnsi="Arial" w:cs="Arial"/>
          <w:sz w:val="20"/>
          <w:szCs w:val="20"/>
          <w:bdr w:val="nil"/>
          <w:lang w:val="es-ES"/>
        </w:rPr>
        <w:t xml:space="preserve">El moderno estilo de la carcasa del </w:t>
      </w:r>
      <w:r>
        <w:rPr>
          <w:rFonts w:ascii="Arial" w:eastAsia="Arial" w:hAnsi="Arial" w:cs="Arial"/>
          <w:b/>
          <w:bCs/>
          <w:sz w:val="20"/>
          <w:szCs w:val="20"/>
          <w:bdr w:val="nil"/>
          <w:lang w:val="es-ES"/>
        </w:rPr>
        <w:t>Miniagitador</w:t>
      </w:r>
      <w:r>
        <w:rPr>
          <w:rFonts w:ascii="Arial" w:eastAsia="Arial" w:hAnsi="Arial" w:cs="Arial"/>
          <w:sz w:val="20"/>
          <w:szCs w:val="20"/>
          <w:bdr w:val="nil"/>
          <w:lang w:val="es-ES"/>
        </w:rPr>
        <w:t xml:space="preserve"> se consigue utilizando plástico FR-ABS de moldeo por inyección. La pequeña plataforma está elaborada en aluminio con revestimiento y encima una alfombrilla de plástico TPE.</w:t>
      </w:r>
    </w:p>
    <w:p w:rsidR="00972649" w:rsidRPr="00426CD5" w:rsidRDefault="00426CD5" w:rsidP="00C5421E">
      <w:pPr>
        <w:autoSpaceDE w:val="0"/>
        <w:autoSpaceDN w:val="0"/>
        <w:adjustRightInd w:val="0"/>
        <w:rPr>
          <w:rFonts w:ascii="Arial" w:hAnsi="Arial" w:cs="Arial"/>
          <w:b/>
          <w:bCs/>
          <w:sz w:val="2"/>
          <w:szCs w:val="2"/>
          <w:lang w:val="es-ES_tradnl"/>
        </w:rPr>
      </w:pPr>
    </w:p>
    <w:p w:rsidR="00C5421E" w:rsidRPr="00D25B6A" w:rsidRDefault="00EE486F" w:rsidP="00C5421E">
      <w:pPr>
        <w:autoSpaceDE w:val="0"/>
        <w:autoSpaceDN w:val="0"/>
        <w:adjustRightInd w:val="0"/>
        <w:rPr>
          <w:rFonts w:ascii="Arial" w:hAnsi="Arial" w:cs="Arial"/>
          <w:b/>
          <w:bCs/>
          <w:sz w:val="22"/>
          <w:szCs w:val="22"/>
          <w:lang w:val="es-ES_tradnl"/>
        </w:rPr>
      </w:pPr>
      <w:r>
        <w:rPr>
          <w:rFonts w:ascii="Arial" w:eastAsia="Arial" w:hAnsi="Arial" w:cs="Arial"/>
          <w:b/>
          <w:bCs/>
          <w:sz w:val="22"/>
          <w:szCs w:val="22"/>
          <w:bdr w:val="nil"/>
          <w:lang w:val="es-ES"/>
        </w:rPr>
        <w:t>INSTALACIÓN</w:t>
      </w:r>
    </w:p>
    <w:p w:rsidR="006F1E3C" w:rsidRPr="00426CD5" w:rsidRDefault="00426CD5" w:rsidP="00C5421E">
      <w:pPr>
        <w:autoSpaceDE w:val="0"/>
        <w:autoSpaceDN w:val="0"/>
        <w:adjustRightInd w:val="0"/>
        <w:rPr>
          <w:rFonts w:ascii="Arial" w:hAnsi="Arial" w:cs="Arial"/>
          <w:b/>
          <w:bCs/>
          <w:sz w:val="2"/>
          <w:szCs w:val="2"/>
          <w:lang w:val="es-ES_tradnl"/>
        </w:rPr>
      </w:pPr>
    </w:p>
    <w:p w:rsidR="00C5421E" w:rsidRPr="00D25B6A" w:rsidRDefault="00EE486F" w:rsidP="00C5421E">
      <w:pPr>
        <w:autoSpaceDE w:val="0"/>
        <w:autoSpaceDN w:val="0"/>
        <w:adjustRightInd w:val="0"/>
        <w:rPr>
          <w:rFonts w:ascii="Arial" w:hAnsi="Arial" w:cs="Arial"/>
          <w:sz w:val="20"/>
          <w:szCs w:val="20"/>
          <w:lang w:val="es-ES_tradnl"/>
        </w:rPr>
      </w:pPr>
      <w:r>
        <w:rPr>
          <w:rFonts w:ascii="Arial" w:eastAsia="Arial" w:hAnsi="Arial" w:cs="Arial"/>
          <w:sz w:val="20"/>
          <w:szCs w:val="20"/>
          <w:bdr w:val="nil"/>
          <w:lang w:val="es-ES"/>
        </w:rPr>
        <w:t xml:space="preserve">El </w:t>
      </w:r>
      <w:r>
        <w:rPr>
          <w:rFonts w:ascii="Arial" w:eastAsia="Arial" w:hAnsi="Arial" w:cs="Arial"/>
          <w:b/>
          <w:bCs/>
          <w:sz w:val="20"/>
          <w:szCs w:val="20"/>
          <w:bdr w:val="nil"/>
          <w:lang w:val="es-ES"/>
        </w:rPr>
        <w:t>Miniagitador</w:t>
      </w:r>
      <w:r>
        <w:rPr>
          <w:rFonts w:ascii="Arial" w:eastAsia="Arial" w:hAnsi="Arial" w:cs="Arial"/>
          <w:sz w:val="20"/>
          <w:szCs w:val="20"/>
          <w:bdr w:val="nil"/>
          <w:lang w:val="es-ES"/>
        </w:rPr>
        <w:t xml:space="preserve"> se puede utilizar en un banco, en una cámara fría o una incubadora hasta 40 ºC. Coloque la unidad sobre una superficie plana y estable y asegúrese de dejar suficiente espacio alrededor de la unidad para permitir que tanto la plataforma como la carga se muevan con libertad. Se recomienda un espacio libre mínimo de 10 cm a todos los lados del agitador.</w:t>
      </w:r>
    </w:p>
    <w:p w:rsidR="00C5421E" w:rsidRPr="00D25B6A" w:rsidRDefault="00EE486F" w:rsidP="00C5421E">
      <w:pPr>
        <w:autoSpaceDE w:val="0"/>
        <w:autoSpaceDN w:val="0"/>
        <w:adjustRightInd w:val="0"/>
        <w:rPr>
          <w:rFonts w:ascii="Arial" w:hAnsi="Arial" w:cs="Arial"/>
          <w:sz w:val="20"/>
          <w:szCs w:val="20"/>
          <w:lang w:val="es-ES_tradnl"/>
        </w:rPr>
      </w:pPr>
      <w:r>
        <w:rPr>
          <w:rFonts w:ascii="Arial" w:eastAsia="Arial" w:hAnsi="Arial" w:cs="Arial"/>
          <w:sz w:val="20"/>
          <w:szCs w:val="20"/>
          <w:bdr w:val="nil"/>
          <w:lang w:val="es-ES"/>
        </w:rPr>
        <w:t>Conecte la unidad en un enchufe de la tensión correcta y con toma de tierra de acuerdo con lo que se muestra en la etiqueta de datos de la unidad.</w:t>
      </w:r>
    </w:p>
    <w:p w:rsidR="00972649" w:rsidRPr="00426CD5" w:rsidRDefault="00426CD5" w:rsidP="00C5421E">
      <w:pPr>
        <w:autoSpaceDE w:val="0"/>
        <w:autoSpaceDN w:val="0"/>
        <w:adjustRightInd w:val="0"/>
        <w:rPr>
          <w:rFonts w:ascii="Arial" w:hAnsi="Arial" w:cs="Arial"/>
          <w:b/>
          <w:bCs/>
          <w:sz w:val="4"/>
          <w:szCs w:val="4"/>
          <w:lang w:val="es-ES_tradnl"/>
        </w:rPr>
      </w:pPr>
    </w:p>
    <w:p w:rsidR="00C5421E" w:rsidRPr="00D25B6A" w:rsidRDefault="00EE486F" w:rsidP="00C5421E">
      <w:pPr>
        <w:autoSpaceDE w:val="0"/>
        <w:autoSpaceDN w:val="0"/>
        <w:adjustRightInd w:val="0"/>
        <w:rPr>
          <w:rFonts w:ascii="Arial" w:hAnsi="Arial" w:cs="Arial"/>
          <w:b/>
          <w:bCs/>
          <w:sz w:val="22"/>
          <w:szCs w:val="22"/>
          <w:lang w:val="es-ES_tradnl"/>
        </w:rPr>
      </w:pPr>
      <w:r>
        <w:rPr>
          <w:rFonts w:ascii="Arial" w:eastAsia="Arial" w:hAnsi="Arial" w:cs="Arial"/>
          <w:b/>
          <w:bCs/>
          <w:sz w:val="22"/>
          <w:szCs w:val="22"/>
          <w:bdr w:val="nil"/>
          <w:lang w:val="es-ES"/>
        </w:rPr>
        <w:t>FUNCIONAMIENTO</w:t>
      </w:r>
    </w:p>
    <w:p w:rsidR="006F1E3C" w:rsidRPr="00426CD5" w:rsidRDefault="00426CD5" w:rsidP="00C5421E">
      <w:pPr>
        <w:autoSpaceDE w:val="0"/>
        <w:autoSpaceDN w:val="0"/>
        <w:adjustRightInd w:val="0"/>
        <w:rPr>
          <w:rFonts w:ascii="Arial" w:hAnsi="Arial" w:cs="Arial"/>
          <w:b/>
          <w:bCs/>
          <w:sz w:val="2"/>
          <w:szCs w:val="2"/>
          <w:lang w:val="es-ES_tradnl"/>
        </w:rPr>
      </w:pPr>
    </w:p>
    <w:p w:rsidR="00C5421E" w:rsidRPr="00D25B6A" w:rsidRDefault="00EE486F" w:rsidP="00C5421E">
      <w:pPr>
        <w:autoSpaceDE w:val="0"/>
        <w:autoSpaceDN w:val="0"/>
        <w:adjustRightInd w:val="0"/>
        <w:rPr>
          <w:rFonts w:ascii="Arial" w:hAnsi="Arial" w:cs="Arial"/>
          <w:sz w:val="20"/>
          <w:szCs w:val="20"/>
          <w:lang w:val="es-ES_tradnl"/>
        </w:rPr>
      </w:pPr>
      <w:r>
        <w:rPr>
          <w:rFonts w:ascii="Arial" w:eastAsia="Arial" w:hAnsi="Arial" w:cs="Arial"/>
          <w:sz w:val="20"/>
          <w:szCs w:val="20"/>
          <w:bdr w:val="nil"/>
          <w:lang w:val="es-ES"/>
        </w:rPr>
        <w:t>El patrón liso de la alfombrilla está configurado para que se puedan colocar de forma segura de 4 a 8 cajas de transferencia de 10 cm (Bio-Rad, NuSep) o de 2 a 10 cajas de transferencia de 10 cm (Lonza, Invitrogen) sobre la esterilla y sin fijación adicional. Si se van a apilar cajas de transferencia, tendrán que asegurarse con gomas elásticas. En las esquinas de los bordes de la plataforma se proporcionan orificios con este fin.</w:t>
      </w:r>
    </w:p>
    <w:p w:rsidR="00C5421E" w:rsidRPr="00D25B6A" w:rsidRDefault="00EE486F" w:rsidP="00C5421E">
      <w:pPr>
        <w:autoSpaceDE w:val="0"/>
        <w:autoSpaceDN w:val="0"/>
        <w:adjustRightInd w:val="0"/>
        <w:rPr>
          <w:rFonts w:ascii="Arial" w:hAnsi="Arial" w:cs="Arial"/>
          <w:sz w:val="20"/>
          <w:szCs w:val="20"/>
          <w:lang w:val="es-ES_tradnl"/>
        </w:rPr>
      </w:pPr>
      <w:r>
        <w:rPr>
          <w:rFonts w:ascii="Arial" w:eastAsia="Arial" w:hAnsi="Arial" w:cs="Arial"/>
          <w:sz w:val="20"/>
          <w:szCs w:val="20"/>
          <w:bdr w:val="nil"/>
          <w:lang w:val="es-ES"/>
        </w:rPr>
        <w:t>Cargue siempre la plataforma de una forma equilibrada y uniforme.</w:t>
      </w:r>
    </w:p>
    <w:p w:rsidR="00C5421E" w:rsidRPr="00D25B6A" w:rsidRDefault="00EE486F" w:rsidP="00C5421E">
      <w:pPr>
        <w:autoSpaceDE w:val="0"/>
        <w:autoSpaceDN w:val="0"/>
        <w:adjustRightInd w:val="0"/>
        <w:rPr>
          <w:rFonts w:ascii="Arial" w:hAnsi="Arial" w:cs="Arial"/>
          <w:sz w:val="20"/>
          <w:szCs w:val="20"/>
          <w:lang w:val="es-ES_tradnl"/>
        </w:rPr>
      </w:pPr>
      <w:r>
        <w:rPr>
          <w:rFonts w:ascii="Arial" w:eastAsia="Arial" w:hAnsi="Arial" w:cs="Arial"/>
          <w:sz w:val="20"/>
          <w:szCs w:val="20"/>
          <w:bdr w:val="nil"/>
          <w:lang w:val="es-ES"/>
        </w:rPr>
        <w:t>Utilice el interruptor On/Off para encender la unidad. La dirección de rotación en la que empieza la unidad es aleatoria y no afecta a la agitación. Si se desea, se puede invertir la dirección de rotación sosteniendo la base de la unidad y tocando muy brevemente una esquina de la plataforma giratoria situada en la parte inferior. Esta técnica también puede utilizarse para seleccionar la dirección de rotación.</w:t>
      </w:r>
    </w:p>
    <w:p w:rsidR="00972649" w:rsidRPr="00426CD5" w:rsidRDefault="00426CD5" w:rsidP="00C5421E">
      <w:pPr>
        <w:autoSpaceDE w:val="0"/>
        <w:autoSpaceDN w:val="0"/>
        <w:adjustRightInd w:val="0"/>
        <w:rPr>
          <w:rFonts w:ascii="Arial" w:hAnsi="Arial" w:cs="Arial"/>
          <w:b/>
          <w:bCs/>
          <w:sz w:val="2"/>
          <w:szCs w:val="2"/>
          <w:lang w:val="es-ES_tradnl"/>
        </w:rPr>
      </w:pPr>
    </w:p>
    <w:p w:rsidR="00C5421E" w:rsidRPr="00D25B6A" w:rsidRDefault="00EE486F" w:rsidP="00C5421E">
      <w:pPr>
        <w:autoSpaceDE w:val="0"/>
        <w:autoSpaceDN w:val="0"/>
        <w:adjustRightInd w:val="0"/>
        <w:rPr>
          <w:rFonts w:ascii="Arial" w:hAnsi="Arial" w:cs="Arial"/>
          <w:b/>
          <w:bCs/>
          <w:sz w:val="22"/>
          <w:szCs w:val="22"/>
          <w:lang w:val="es-ES_tradnl"/>
        </w:rPr>
      </w:pPr>
      <w:r>
        <w:rPr>
          <w:rFonts w:ascii="Arial" w:eastAsia="Arial" w:hAnsi="Arial" w:cs="Arial"/>
          <w:b/>
          <w:bCs/>
          <w:sz w:val="22"/>
          <w:szCs w:val="22"/>
          <w:bdr w:val="nil"/>
          <w:lang w:val="es-ES"/>
        </w:rPr>
        <w:t>MANTENIMIENTO</w:t>
      </w:r>
    </w:p>
    <w:p w:rsidR="00C5421E" w:rsidRPr="00D25B6A" w:rsidRDefault="00EE486F" w:rsidP="00C5421E">
      <w:pPr>
        <w:autoSpaceDE w:val="0"/>
        <w:autoSpaceDN w:val="0"/>
        <w:adjustRightInd w:val="0"/>
        <w:rPr>
          <w:rFonts w:ascii="Arial" w:hAnsi="Arial" w:cs="Arial"/>
          <w:sz w:val="20"/>
          <w:szCs w:val="20"/>
          <w:lang w:val="es-ES_tradnl"/>
        </w:rPr>
      </w:pPr>
      <w:r>
        <w:rPr>
          <w:rFonts w:ascii="Arial" w:eastAsia="Arial" w:hAnsi="Arial" w:cs="Arial"/>
          <w:sz w:val="20"/>
          <w:szCs w:val="20"/>
          <w:bdr w:val="nil"/>
          <w:lang w:val="es-ES"/>
        </w:rPr>
        <w:t>Desconecte siempre el cable de la fuente de alimentación antes de realizar la revisión o el mantenimiento.</w:t>
      </w:r>
    </w:p>
    <w:p w:rsidR="00C5421E" w:rsidRPr="00D25B6A" w:rsidRDefault="00EE486F" w:rsidP="00C5421E">
      <w:pPr>
        <w:autoSpaceDE w:val="0"/>
        <w:autoSpaceDN w:val="0"/>
        <w:adjustRightInd w:val="0"/>
        <w:rPr>
          <w:rFonts w:ascii="Arial" w:hAnsi="Arial" w:cs="Arial"/>
          <w:sz w:val="20"/>
          <w:szCs w:val="20"/>
          <w:lang w:val="es-ES_tradnl"/>
        </w:rPr>
      </w:pPr>
      <w:r>
        <w:rPr>
          <w:rFonts w:ascii="Arial" w:eastAsia="Arial" w:hAnsi="Arial" w:cs="Arial"/>
          <w:sz w:val="20"/>
          <w:szCs w:val="20"/>
          <w:bdr w:val="nil"/>
          <w:lang w:val="es-ES"/>
        </w:rPr>
        <w:t xml:space="preserve">El </w:t>
      </w:r>
      <w:r>
        <w:rPr>
          <w:rFonts w:ascii="Arial" w:eastAsia="Arial" w:hAnsi="Arial" w:cs="Arial"/>
          <w:b/>
          <w:bCs/>
          <w:sz w:val="20"/>
          <w:szCs w:val="20"/>
          <w:bdr w:val="nil"/>
          <w:lang w:val="es-ES"/>
        </w:rPr>
        <w:t>Miniagitador</w:t>
      </w:r>
      <w:r>
        <w:rPr>
          <w:rFonts w:ascii="Arial" w:eastAsia="Arial" w:hAnsi="Arial" w:cs="Arial"/>
          <w:sz w:val="20"/>
          <w:szCs w:val="20"/>
          <w:bdr w:val="nil"/>
          <w:lang w:val="es-ES"/>
        </w:rPr>
        <w:t xml:space="preserve"> no necesita mantenimiento a excepción de una limpieza ocasional con un paño húmedo y un detergente suave. La alfombrilla de goma puede lavarse con agua y jabón. </w:t>
      </w:r>
      <w:r>
        <w:rPr>
          <w:rFonts w:ascii="Arial" w:eastAsia="Arial" w:hAnsi="Arial" w:cs="Arial"/>
          <w:b/>
          <w:bCs/>
          <w:sz w:val="20"/>
          <w:szCs w:val="20"/>
          <w:bdr w:val="nil"/>
          <w:lang w:val="es-ES"/>
        </w:rPr>
        <w:t>No sumerja la unidad en agua ni</w:t>
      </w:r>
      <w:r>
        <w:rPr>
          <w:rFonts w:ascii="Arial" w:eastAsia="Arial" w:hAnsi="Arial" w:cs="Arial"/>
          <w:sz w:val="20"/>
          <w:szCs w:val="20"/>
          <w:bdr w:val="nil"/>
          <w:lang w:val="es-ES"/>
        </w:rPr>
        <w:t xml:space="preserve"> </w:t>
      </w:r>
      <w:r>
        <w:rPr>
          <w:rFonts w:ascii="Arial" w:eastAsia="Arial" w:hAnsi="Arial" w:cs="Arial"/>
          <w:b/>
          <w:bCs/>
          <w:sz w:val="20"/>
          <w:szCs w:val="20"/>
          <w:bdr w:val="nil"/>
          <w:lang w:val="es-ES"/>
        </w:rPr>
        <w:t xml:space="preserve">derrame líquidos sobre la unidad. </w:t>
      </w:r>
      <w:r>
        <w:rPr>
          <w:rFonts w:ascii="Arial" w:eastAsia="Arial" w:hAnsi="Arial" w:cs="Arial"/>
          <w:sz w:val="20"/>
          <w:szCs w:val="20"/>
          <w:bdr w:val="nil"/>
          <w:lang w:val="es-ES"/>
        </w:rPr>
        <w:t>Asegúrese de que la unidad está seca antes de volver a conectarla con la alimentación eléctrica.</w:t>
      </w:r>
    </w:p>
    <w:p w:rsidR="00972649" w:rsidRPr="00426CD5" w:rsidRDefault="00426CD5" w:rsidP="00C5421E">
      <w:pPr>
        <w:autoSpaceDE w:val="0"/>
        <w:autoSpaceDN w:val="0"/>
        <w:adjustRightInd w:val="0"/>
        <w:rPr>
          <w:rFonts w:ascii="Arial" w:hAnsi="Arial" w:cs="Arial"/>
          <w:b/>
          <w:bCs/>
          <w:sz w:val="2"/>
          <w:szCs w:val="2"/>
          <w:lang w:val="es-ES_tradnl"/>
        </w:rPr>
      </w:pPr>
    </w:p>
    <w:p w:rsidR="00C5421E" w:rsidRPr="00D25B6A" w:rsidRDefault="00EE486F" w:rsidP="00C5421E">
      <w:pPr>
        <w:autoSpaceDE w:val="0"/>
        <w:autoSpaceDN w:val="0"/>
        <w:adjustRightInd w:val="0"/>
        <w:rPr>
          <w:rFonts w:ascii="Arial" w:hAnsi="Arial" w:cs="Arial"/>
          <w:b/>
          <w:bCs/>
          <w:sz w:val="22"/>
          <w:szCs w:val="22"/>
          <w:lang w:val="es-ES_tradnl"/>
        </w:rPr>
      </w:pPr>
      <w:r>
        <w:rPr>
          <w:rFonts w:ascii="Arial" w:eastAsia="Arial" w:hAnsi="Arial" w:cs="Arial"/>
          <w:b/>
          <w:bCs/>
          <w:sz w:val="22"/>
          <w:szCs w:val="22"/>
          <w:bdr w:val="nil"/>
          <w:lang w:val="es-ES"/>
        </w:rPr>
        <w:t>REVISIÓN Y REPARACIÓN</w:t>
      </w:r>
    </w:p>
    <w:p w:rsidR="006F1E3C" w:rsidRPr="00426CD5" w:rsidRDefault="00426CD5" w:rsidP="00C5421E">
      <w:pPr>
        <w:autoSpaceDE w:val="0"/>
        <w:autoSpaceDN w:val="0"/>
        <w:adjustRightInd w:val="0"/>
        <w:rPr>
          <w:rFonts w:ascii="Arial" w:hAnsi="Arial" w:cs="Arial"/>
          <w:b/>
          <w:bCs/>
          <w:sz w:val="2"/>
          <w:szCs w:val="2"/>
          <w:lang w:val="es-ES_tradnl"/>
        </w:rPr>
      </w:pPr>
    </w:p>
    <w:p w:rsidR="00C5421E" w:rsidRPr="00D25B6A" w:rsidRDefault="00EE486F" w:rsidP="00C5421E">
      <w:pPr>
        <w:autoSpaceDE w:val="0"/>
        <w:autoSpaceDN w:val="0"/>
        <w:adjustRightInd w:val="0"/>
        <w:rPr>
          <w:rFonts w:ascii="Arial" w:hAnsi="Arial" w:cs="Arial"/>
          <w:sz w:val="20"/>
          <w:szCs w:val="20"/>
          <w:lang w:val="es-ES_tradnl"/>
        </w:rPr>
      </w:pPr>
      <w:r>
        <w:rPr>
          <w:rFonts w:ascii="Arial" w:eastAsia="Arial" w:hAnsi="Arial" w:cs="Arial"/>
          <w:sz w:val="20"/>
          <w:szCs w:val="20"/>
          <w:bdr w:val="nil"/>
          <w:lang w:val="es-ES"/>
        </w:rPr>
        <w:t xml:space="preserve">El </w:t>
      </w:r>
      <w:r>
        <w:rPr>
          <w:rFonts w:ascii="Arial" w:eastAsia="Arial" w:hAnsi="Arial" w:cs="Arial"/>
          <w:b/>
          <w:bCs/>
          <w:sz w:val="20"/>
          <w:szCs w:val="20"/>
          <w:bdr w:val="nil"/>
          <w:lang w:val="es-ES"/>
        </w:rPr>
        <w:t>Miniagitador</w:t>
      </w:r>
      <w:r>
        <w:rPr>
          <w:rFonts w:ascii="Arial" w:eastAsia="Arial" w:hAnsi="Arial" w:cs="Arial"/>
          <w:sz w:val="20"/>
          <w:szCs w:val="20"/>
          <w:bdr w:val="nil"/>
          <w:lang w:val="es-ES"/>
        </w:rPr>
        <w:t xml:space="preserve"> es una unidad bien construida que debería proporcionar años de servicio sin problemas. Si se necesita realizar revisión, póngase en contacto con su distribuidor de Select BioProducts. Las revisiones solamente deben realizarlas técnicos de servicio cualificados.</w:t>
      </w:r>
    </w:p>
    <w:p w:rsidR="006B4F69" w:rsidRPr="00426CD5" w:rsidRDefault="00426CD5" w:rsidP="00C5421E">
      <w:pPr>
        <w:autoSpaceDE w:val="0"/>
        <w:autoSpaceDN w:val="0"/>
        <w:adjustRightInd w:val="0"/>
        <w:rPr>
          <w:rFonts w:ascii="Arial" w:hAnsi="Arial" w:cs="Arial"/>
          <w:b/>
          <w:bCs/>
          <w:sz w:val="2"/>
          <w:szCs w:val="2"/>
          <w:lang w:val="es-ES_tradnl"/>
        </w:rPr>
      </w:pPr>
    </w:p>
    <w:p w:rsidR="00C5421E" w:rsidRPr="00D25B6A" w:rsidRDefault="00EE486F" w:rsidP="00C5421E">
      <w:pPr>
        <w:autoSpaceDE w:val="0"/>
        <w:autoSpaceDN w:val="0"/>
        <w:adjustRightInd w:val="0"/>
        <w:rPr>
          <w:rFonts w:ascii="Arial" w:hAnsi="Arial" w:cs="Arial"/>
          <w:b/>
          <w:bCs/>
          <w:sz w:val="22"/>
          <w:szCs w:val="22"/>
          <w:lang w:val="es-ES_tradnl"/>
        </w:rPr>
      </w:pPr>
      <w:r>
        <w:rPr>
          <w:rFonts w:ascii="Arial" w:eastAsia="Arial" w:hAnsi="Arial" w:cs="Arial"/>
          <w:b/>
          <w:bCs/>
          <w:sz w:val="22"/>
          <w:szCs w:val="22"/>
          <w:bdr w:val="nil"/>
          <w:lang w:val="es-ES"/>
        </w:rPr>
        <w:t>ESPECIFICACIONES</w:t>
      </w:r>
    </w:p>
    <w:p w:rsidR="006F1E3C" w:rsidRPr="00426CD5" w:rsidRDefault="00426CD5" w:rsidP="00C5421E">
      <w:pPr>
        <w:autoSpaceDE w:val="0"/>
        <w:autoSpaceDN w:val="0"/>
        <w:adjustRightInd w:val="0"/>
        <w:rPr>
          <w:rFonts w:ascii="Arial" w:hAnsi="Arial" w:cs="Arial"/>
          <w:b/>
          <w:bCs/>
          <w:sz w:val="2"/>
          <w:szCs w:val="2"/>
          <w:lang w:val="es-ES_tradnl"/>
        </w:rPr>
      </w:pPr>
    </w:p>
    <w:p w:rsidR="00C5421E" w:rsidRPr="00D25B6A" w:rsidRDefault="00EE486F" w:rsidP="007256D5">
      <w:pPr>
        <w:tabs>
          <w:tab w:val="left" w:pos="2160"/>
        </w:tabs>
        <w:autoSpaceDE w:val="0"/>
        <w:autoSpaceDN w:val="0"/>
        <w:adjustRightInd w:val="0"/>
        <w:rPr>
          <w:rFonts w:ascii="Arial" w:hAnsi="Arial" w:cs="Arial"/>
          <w:sz w:val="18"/>
          <w:szCs w:val="18"/>
          <w:lang w:val="es-ES_tradnl"/>
        </w:rPr>
      </w:pPr>
      <w:r>
        <w:rPr>
          <w:rFonts w:ascii="Arial" w:eastAsia="Arial" w:hAnsi="Arial" w:cs="Arial"/>
          <w:sz w:val="18"/>
          <w:szCs w:val="18"/>
          <w:bdr w:val="nil"/>
          <w:lang w:val="es-ES"/>
        </w:rPr>
        <w:t xml:space="preserve">Acción de agitación: </w:t>
      </w:r>
      <w:r>
        <w:rPr>
          <w:rFonts w:ascii="Arial" w:eastAsia="Arial" w:hAnsi="Arial" w:cs="Arial"/>
          <w:sz w:val="18"/>
          <w:szCs w:val="18"/>
          <w:bdr w:val="nil"/>
          <w:lang w:val="es-ES"/>
        </w:rPr>
        <w:tab/>
      </w:r>
      <w:r w:rsidR="00D25B6A">
        <w:rPr>
          <w:rFonts w:ascii="Arial" w:eastAsia="Arial" w:hAnsi="Arial" w:cs="Arial"/>
          <w:sz w:val="18"/>
          <w:szCs w:val="18"/>
          <w:bdr w:val="nil"/>
          <w:lang w:val="es-ES"/>
        </w:rPr>
        <w:tab/>
      </w:r>
      <w:r w:rsidR="00D25B6A">
        <w:rPr>
          <w:rFonts w:ascii="Arial" w:eastAsia="Arial" w:hAnsi="Arial" w:cs="Arial"/>
          <w:sz w:val="18"/>
          <w:szCs w:val="18"/>
          <w:bdr w:val="nil"/>
          <w:lang w:val="es-ES"/>
        </w:rPr>
        <w:tab/>
      </w:r>
      <w:r>
        <w:rPr>
          <w:rFonts w:ascii="Arial" w:eastAsia="Arial" w:hAnsi="Arial" w:cs="Arial"/>
          <w:sz w:val="18"/>
          <w:szCs w:val="18"/>
          <w:bdr w:val="nil"/>
          <w:lang w:val="es-ES"/>
        </w:rPr>
        <w:t>giro de balanceo tridimensional</w:t>
      </w:r>
    </w:p>
    <w:p w:rsidR="00C5421E" w:rsidRPr="00D25B6A" w:rsidRDefault="00EE486F" w:rsidP="007256D5">
      <w:pPr>
        <w:tabs>
          <w:tab w:val="left" w:pos="2160"/>
        </w:tabs>
        <w:autoSpaceDE w:val="0"/>
        <w:autoSpaceDN w:val="0"/>
        <w:adjustRightInd w:val="0"/>
        <w:rPr>
          <w:rFonts w:ascii="Arial" w:hAnsi="Arial" w:cs="Arial"/>
          <w:sz w:val="18"/>
          <w:szCs w:val="18"/>
          <w:lang w:val="es-ES_tradnl"/>
        </w:rPr>
      </w:pPr>
      <w:r>
        <w:rPr>
          <w:rFonts w:ascii="Arial" w:eastAsia="Arial" w:hAnsi="Arial" w:cs="Arial"/>
          <w:sz w:val="18"/>
          <w:szCs w:val="18"/>
          <w:bdr w:val="nil"/>
          <w:lang w:val="es-ES"/>
        </w:rPr>
        <w:t xml:space="preserve">Velocidad de agitación: </w:t>
      </w:r>
      <w:r>
        <w:rPr>
          <w:rFonts w:ascii="Arial" w:eastAsia="Arial" w:hAnsi="Arial" w:cs="Arial"/>
          <w:sz w:val="18"/>
          <w:szCs w:val="18"/>
          <w:bdr w:val="nil"/>
          <w:lang w:val="es-ES"/>
        </w:rPr>
        <w:tab/>
      </w:r>
      <w:r w:rsidR="00D25B6A">
        <w:rPr>
          <w:rFonts w:ascii="Arial" w:eastAsia="Arial" w:hAnsi="Arial" w:cs="Arial"/>
          <w:sz w:val="18"/>
          <w:szCs w:val="18"/>
          <w:bdr w:val="nil"/>
          <w:lang w:val="es-ES"/>
        </w:rPr>
        <w:tab/>
      </w:r>
      <w:r w:rsidR="00D25B6A">
        <w:rPr>
          <w:rFonts w:ascii="Arial" w:eastAsia="Arial" w:hAnsi="Arial" w:cs="Arial"/>
          <w:sz w:val="18"/>
          <w:szCs w:val="18"/>
          <w:bdr w:val="nil"/>
          <w:lang w:val="es-ES"/>
        </w:rPr>
        <w:tab/>
      </w:r>
      <w:r>
        <w:rPr>
          <w:rFonts w:ascii="Arial" w:eastAsia="Arial" w:hAnsi="Arial" w:cs="Arial"/>
          <w:sz w:val="18"/>
          <w:szCs w:val="18"/>
          <w:bdr w:val="nil"/>
          <w:lang w:val="es-ES"/>
        </w:rPr>
        <w:t>18 r. p. m. fijo (modelo 120 V) 20 r. p. m. fijo (modelo 230 V)</w:t>
      </w:r>
    </w:p>
    <w:p w:rsidR="00C5421E" w:rsidRPr="00D25B6A" w:rsidRDefault="00EE486F" w:rsidP="007256D5">
      <w:pPr>
        <w:tabs>
          <w:tab w:val="left" w:pos="2160"/>
        </w:tabs>
        <w:autoSpaceDE w:val="0"/>
        <w:autoSpaceDN w:val="0"/>
        <w:adjustRightInd w:val="0"/>
        <w:rPr>
          <w:rFonts w:ascii="Arial" w:hAnsi="Arial" w:cs="Arial"/>
          <w:sz w:val="18"/>
          <w:szCs w:val="18"/>
          <w:lang w:val="es-ES_tradnl"/>
        </w:rPr>
      </w:pPr>
      <w:r>
        <w:rPr>
          <w:rFonts w:ascii="Arial" w:eastAsia="Arial" w:hAnsi="Arial" w:cs="Arial"/>
          <w:sz w:val="18"/>
          <w:szCs w:val="18"/>
          <w:bdr w:val="nil"/>
          <w:lang w:val="es-ES"/>
        </w:rPr>
        <w:t xml:space="preserve">Ángulo de inclinación de la plataforma: </w:t>
      </w:r>
      <w:r>
        <w:rPr>
          <w:rFonts w:ascii="Arial" w:eastAsia="Arial" w:hAnsi="Arial" w:cs="Arial"/>
          <w:sz w:val="18"/>
          <w:szCs w:val="18"/>
          <w:bdr w:val="nil"/>
          <w:lang w:val="es-ES"/>
        </w:rPr>
        <w:tab/>
        <w:t>5 grados fijos</w:t>
      </w:r>
    </w:p>
    <w:p w:rsidR="00C5421E" w:rsidRPr="00D25B6A" w:rsidRDefault="00EE486F" w:rsidP="007256D5">
      <w:pPr>
        <w:tabs>
          <w:tab w:val="left" w:pos="2160"/>
        </w:tabs>
        <w:autoSpaceDE w:val="0"/>
        <w:autoSpaceDN w:val="0"/>
        <w:adjustRightInd w:val="0"/>
        <w:rPr>
          <w:rFonts w:ascii="Arial" w:hAnsi="Arial" w:cs="Arial"/>
          <w:sz w:val="18"/>
          <w:szCs w:val="18"/>
          <w:lang w:val="es-ES_tradnl"/>
        </w:rPr>
      </w:pPr>
      <w:r>
        <w:rPr>
          <w:rFonts w:ascii="Arial" w:eastAsia="Arial" w:hAnsi="Arial" w:cs="Arial"/>
          <w:sz w:val="18"/>
          <w:szCs w:val="18"/>
          <w:bdr w:val="nil"/>
          <w:lang w:val="es-ES"/>
        </w:rPr>
        <w:t xml:space="preserve">Dimensiones de la plataforma: </w:t>
      </w:r>
      <w:r>
        <w:rPr>
          <w:rFonts w:ascii="Arial" w:eastAsia="Arial" w:hAnsi="Arial" w:cs="Arial"/>
          <w:sz w:val="18"/>
          <w:szCs w:val="18"/>
          <w:bdr w:val="nil"/>
          <w:lang w:val="es-ES"/>
        </w:rPr>
        <w:tab/>
      </w:r>
      <w:r w:rsidR="00D25B6A">
        <w:rPr>
          <w:rFonts w:ascii="Arial" w:eastAsia="Arial" w:hAnsi="Arial" w:cs="Arial"/>
          <w:sz w:val="18"/>
          <w:szCs w:val="18"/>
          <w:bdr w:val="nil"/>
          <w:lang w:val="es-ES"/>
        </w:rPr>
        <w:tab/>
      </w:r>
      <w:r>
        <w:rPr>
          <w:rFonts w:ascii="Arial" w:eastAsia="Arial" w:hAnsi="Arial" w:cs="Arial"/>
          <w:sz w:val="18"/>
          <w:szCs w:val="18"/>
          <w:bdr w:val="nil"/>
          <w:lang w:val="es-ES"/>
        </w:rPr>
        <w:t>20 cm x 16,5 cm</w:t>
      </w:r>
    </w:p>
    <w:p w:rsidR="00C5421E" w:rsidRPr="00D25B6A" w:rsidRDefault="00EE486F" w:rsidP="007256D5">
      <w:pPr>
        <w:tabs>
          <w:tab w:val="left" w:pos="2160"/>
        </w:tabs>
        <w:autoSpaceDE w:val="0"/>
        <w:autoSpaceDN w:val="0"/>
        <w:adjustRightInd w:val="0"/>
        <w:rPr>
          <w:rFonts w:ascii="Arial" w:hAnsi="Arial" w:cs="Arial"/>
          <w:sz w:val="18"/>
          <w:szCs w:val="18"/>
          <w:lang w:val="es-ES_tradnl"/>
        </w:rPr>
      </w:pPr>
      <w:r>
        <w:rPr>
          <w:rFonts w:ascii="Arial" w:eastAsia="Arial" w:hAnsi="Arial" w:cs="Arial"/>
          <w:sz w:val="18"/>
          <w:szCs w:val="18"/>
          <w:bdr w:val="nil"/>
          <w:lang w:val="es-ES"/>
        </w:rPr>
        <w:t xml:space="preserve">Dimensiones del agitador: </w:t>
      </w:r>
      <w:r>
        <w:rPr>
          <w:rFonts w:ascii="Arial" w:eastAsia="Arial" w:hAnsi="Arial" w:cs="Arial"/>
          <w:sz w:val="18"/>
          <w:szCs w:val="18"/>
          <w:bdr w:val="nil"/>
          <w:lang w:val="es-ES"/>
        </w:rPr>
        <w:tab/>
      </w:r>
      <w:r w:rsidR="00D25B6A">
        <w:rPr>
          <w:rFonts w:ascii="Arial" w:eastAsia="Arial" w:hAnsi="Arial" w:cs="Arial"/>
          <w:sz w:val="18"/>
          <w:szCs w:val="18"/>
          <w:bdr w:val="nil"/>
          <w:lang w:val="es-ES"/>
        </w:rPr>
        <w:tab/>
      </w:r>
      <w:r w:rsidR="00D25B6A">
        <w:rPr>
          <w:rFonts w:ascii="Arial" w:eastAsia="Arial" w:hAnsi="Arial" w:cs="Arial"/>
          <w:sz w:val="18"/>
          <w:szCs w:val="18"/>
          <w:bdr w:val="nil"/>
          <w:lang w:val="es-ES"/>
        </w:rPr>
        <w:tab/>
      </w:r>
      <w:r>
        <w:rPr>
          <w:rFonts w:ascii="Arial" w:eastAsia="Arial" w:hAnsi="Arial" w:cs="Arial"/>
          <w:sz w:val="18"/>
          <w:szCs w:val="18"/>
          <w:bdr w:val="nil"/>
          <w:lang w:val="es-ES"/>
        </w:rPr>
        <w:t>24 cm x 14,6 cm x 17 cm</w:t>
      </w:r>
    </w:p>
    <w:p w:rsidR="00C5421E" w:rsidRPr="00D25B6A" w:rsidRDefault="00EE486F" w:rsidP="007256D5">
      <w:pPr>
        <w:tabs>
          <w:tab w:val="left" w:pos="2160"/>
        </w:tabs>
        <w:autoSpaceDE w:val="0"/>
        <w:autoSpaceDN w:val="0"/>
        <w:adjustRightInd w:val="0"/>
        <w:rPr>
          <w:rFonts w:ascii="Arial" w:hAnsi="Arial" w:cs="Arial"/>
          <w:sz w:val="18"/>
          <w:szCs w:val="18"/>
          <w:lang w:val="es-ES_tradnl"/>
        </w:rPr>
      </w:pPr>
      <w:r>
        <w:rPr>
          <w:rFonts w:ascii="Arial" w:eastAsia="Arial" w:hAnsi="Arial" w:cs="Arial"/>
          <w:sz w:val="18"/>
          <w:szCs w:val="18"/>
          <w:bdr w:val="nil"/>
          <w:lang w:val="es-ES"/>
        </w:rPr>
        <w:t xml:space="preserve">Peso del agitador: </w:t>
      </w:r>
      <w:r>
        <w:rPr>
          <w:rFonts w:ascii="Arial" w:eastAsia="Arial" w:hAnsi="Arial" w:cs="Arial"/>
          <w:sz w:val="18"/>
          <w:szCs w:val="18"/>
          <w:bdr w:val="nil"/>
          <w:lang w:val="es-ES"/>
        </w:rPr>
        <w:tab/>
      </w:r>
      <w:r w:rsidR="00D25B6A">
        <w:rPr>
          <w:rFonts w:ascii="Arial" w:eastAsia="Arial" w:hAnsi="Arial" w:cs="Arial"/>
          <w:sz w:val="18"/>
          <w:szCs w:val="18"/>
          <w:bdr w:val="nil"/>
          <w:lang w:val="es-ES"/>
        </w:rPr>
        <w:tab/>
      </w:r>
      <w:r w:rsidR="00D25B6A">
        <w:rPr>
          <w:rFonts w:ascii="Arial" w:eastAsia="Arial" w:hAnsi="Arial" w:cs="Arial"/>
          <w:sz w:val="18"/>
          <w:szCs w:val="18"/>
          <w:bdr w:val="nil"/>
          <w:lang w:val="es-ES"/>
        </w:rPr>
        <w:tab/>
      </w:r>
      <w:r>
        <w:rPr>
          <w:rFonts w:ascii="Arial" w:eastAsia="Arial" w:hAnsi="Arial" w:cs="Arial"/>
          <w:sz w:val="18"/>
          <w:szCs w:val="18"/>
          <w:bdr w:val="nil"/>
          <w:lang w:val="es-ES"/>
        </w:rPr>
        <w:t>0,85 kg</w:t>
      </w:r>
    </w:p>
    <w:p w:rsidR="00C5421E" w:rsidRPr="00D25B6A" w:rsidRDefault="00EE486F" w:rsidP="007256D5">
      <w:pPr>
        <w:tabs>
          <w:tab w:val="left" w:pos="2160"/>
        </w:tabs>
        <w:autoSpaceDE w:val="0"/>
        <w:autoSpaceDN w:val="0"/>
        <w:adjustRightInd w:val="0"/>
        <w:rPr>
          <w:rFonts w:ascii="Arial" w:hAnsi="Arial" w:cs="Arial"/>
          <w:sz w:val="18"/>
          <w:szCs w:val="18"/>
          <w:lang w:val="es-ES_tradnl"/>
        </w:rPr>
      </w:pPr>
      <w:r>
        <w:rPr>
          <w:rFonts w:ascii="Arial" w:eastAsia="Arial" w:hAnsi="Arial" w:cs="Arial"/>
          <w:sz w:val="18"/>
          <w:szCs w:val="18"/>
          <w:bdr w:val="nil"/>
          <w:lang w:val="es-ES"/>
        </w:rPr>
        <w:t xml:space="preserve">Capacidad de carga de la plataforma: </w:t>
      </w:r>
      <w:r>
        <w:rPr>
          <w:rFonts w:ascii="Arial" w:eastAsia="Arial" w:hAnsi="Arial" w:cs="Arial"/>
          <w:sz w:val="18"/>
          <w:szCs w:val="18"/>
          <w:bdr w:val="nil"/>
          <w:lang w:val="es-ES"/>
        </w:rPr>
        <w:tab/>
        <w:t>0,8 kg en equilibrio</w:t>
      </w:r>
    </w:p>
    <w:p w:rsidR="00C5421E" w:rsidRPr="00D25B6A" w:rsidRDefault="00EE486F" w:rsidP="00D25B6A">
      <w:pPr>
        <w:tabs>
          <w:tab w:val="left" w:pos="2160"/>
        </w:tabs>
        <w:autoSpaceDE w:val="0"/>
        <w:autoSpaceDN w:val="0"/>
        <w:adjustRightInd w:val="0"/>
        <w:ind w:left="3600" w:hanging="3600"/>
        <w:rPr>
          <w:rFonts w:ascii="Arial" w:hAnsi="Arial" w:cs="Arial"/>
          <w:sz w:val="18"/>
          <w:szCs w:val="18"/>
          <w:lang w:val="es-ES_tradnl"/>
        </w:rPr>
      </w:pPr>
      <w:r>
        <w:rPr>
          <w:rFonts w:ascii="Arial" w:eastAsia="Arial" w:hAnsi="Arial" w:cs="Arial"/>
          <w:sz w:val="18"/>
          <w:szCs w:val="18"/>
          <w:bdr w:val="nil"/>
          <w:lang w:val="es-ES"/>
        </w:rPr>
        <w:t xml:space="preserve">Capacidad de la plataforma: </w:t>
      </w:r>
      <w:r>
        <w:rPr>
          <w:rFonts w:ascii="Arial" w:eastAsia="Arial" w:hAnsi="Arial" w:cs="Arial"/>
          <w:sz w:val="18"/>
          <w:szCs w:val="18"/>
          <w:bdr w:val="nil"/>
          <w:lang w:val="es-ES"/>
        </w:rPr>
        <w:tab/>
        <w:t>4 a 8 x 10 cm (Bio-Rad, NuSep) o de 2 10 x 10 cm (Lonza, Invitrogen) cajas de transferencia.</w:t>
      </w:r>
    </w:p>
    <w:p w:rsidR="00C5421E" w:rsidRPr="00D25B6A" w:rsidRDefault="00EE486F" w:rsidP="007256D5">
      <w:pPr>
        <w:tabs>
          <w:tab w:val="left" w:pos="2160"/>
        </w:tabs>
        <w:autoSpaceDE w:val="0"/>
        <w:autoSpaceDN w:val="0"/>
        <w:adjustRightInd w:val="0"/>
        <w:rPr>
          <w:rFonts w:ascii="Arial" w:hAnsi="Arial" w:cs="Arial"/>
          <w:sz w:val="18"/>
          <w:szCs w:val="18"/>
          <w:lang w:val="es-ES_tradnl"/>
        </w:rPr>
      </w:pPr>
      <w:r>
        <w:rPr>
          <w:rFonts w:ascii="Arial" w:eastAsia="Arial" w:hAnsi="Arial" w:cs="Arial"/>
          <w:sz w:val="18"/>
          <w:szCs w:val="18"/>
          <w:bdr w:val="nil"/>
          <w:lang w:val="es-ES"/>
        </w:rPr>
        <w:t xml:space="preserve">Intervalo de temperatura ambiente operativa </w:t>
      </w:r>
      <w:r>
        <w:rPr>
          <w:rFonts w:ascii="Arial" w:eastAsia="Arial" w:hAnsi="Arial" w:cs="Arial"/>
          <w:sz w:val="18"/>
          <w:szCs w:val="18"/>
          <w:bdr w:val="nil"/>
          <w:lang w:val="es-ES"/>
        </w:rPr>
        <w:tab/>
        <w:t>4 ºC a 40 ºC</w:t>
      </w:r>
    </w:p>
    <w:p w:rsidR="00C5421E" w:rsidRPr="00D25B6A" w:rsidRDefault="00EE486F" w:rsidP="007256D5">
      <w:pPr>
        <w:tabs>
          <w:tab w:val="left" w:pos="2160"/>
        </w:tabs>
        <w:autoSpaceDE w:val="0"/>
        <w:autoSpaceDN w:val="0"/>
        <w:adjustRightInd w:val="0"/>
        <w:rPr>
          <w:rFonts w:ascii="Arial" w:hAnsi="Arial" w:cs="Arial"/>
          <w:sz w:val="18"/>
          <w:szCs w:val="18"/>
          <w:lang w:val="es-ES_tradnl"/>
        </w:rPr>
      </w:pPr>
      <w:r>
        <w:rPr>
          <w:rFonts w:ascii="Arial" w:eastAsia="Arial" w:hAnsi="Arial" w:cs="Arial"/>
          <w:sz w:val="18"/>
          <w:szCs w:val="18"/>
          <w:bdr w:val="nil"/>
          <w:lang w:val="es-ES"/>
        </w:rPr>
        <w:t xml:space="preserve">Electricidad: </w:t>
      </w:r>
      <w:r>
        <w:rPr>
          <w:rFonts w:ascii="Arial" w:eastAsia="Arial" w:hAnsi="Arial" w:cs="Arial"/>
          <w:sz w:val="18"/>
          <w:szCs w:val="18"/>
          <w:bdr w:val="nil"/>
          <w:lang w:val="es-ES"/>
        </w:rPr>
        <w:tab/>
      </w:r>
      <w:r w:rsidR="00D25B6A">
        <w:rPr>
          <w:rFonts w:ascii="Arial" w:eastAsia="Arial" w:hAnsi="Arial" w:cs="Arial"/>
          <w:sz w:val="18"/>
          <w:szCs w:val="18"/>
          <w:bdr w:val="nil"/>
          <w:lang w:val="es-ES"/>
        </w:rPr>
        <w:tab/>
      </w:r>
      <w:r w:rsidR="00D25B6A">
        <w:rPr>
          <w:rFonts w:ascii="Arial" w:eastAsia="Arial" w:hAnsi="Arial" w:cs="Arial"/>
          <w:sz w:val="18"/>
          <w:szCs w:val="18"/>
          <w:bdr w:val="nil"/>
          <w:lang w:val="es-ES"/>
        </w:rPr>
        <w:tab/>
      </w:r>
      <w:r>
        <w:rPr>
          <w:rFonts w:ascii="Arial" w:eastAsia="Arial" w:hAnsi="Arial" w:cs="Arial"/>
          <w:sz w:val="18"/>
          <w:szCs w:val="18"/>
          <w:bdr w:val="nil"/>
          <w:lang w:val="es-ES"/>
        </w:rPr>
        <w:t>120 V, 50/60 Hz, 0,03 A o 230 V, 50/60 Hz, 0,015 A</w:t>
      </w:r>
    </w:p>
    <w:p w:rsidR="00CA38B1" w:rsidRPr="00D25B6A" w:rsidRDefault="00426CD5" w:rsidP="00F85EBF">
      <w:pPr>
        <w:autoSpaceDE w:val="0"/>
        <w:autoSpaceDN w:val="0"/>
        <w:adjustRightInd w:val="0"/>
        <w:spacing w:line="210" w:lineRule="atLeast"/>
        <w:rPr>
          <w:rFonts w:ascii="Arial" w:eastAsia="MS Mincho" w:hAnsi="Arial" w:cs="Arial"/>
          <w:b/>
          <w:bCs/>
          <w:sz w:val="22"/>
          <w:szCs w:val="22"/>
          <w:lang w:val="es-ES_tradnl" w:eastAsia="ja-JP"/>
        </w:rPr>
      </w:pPr>
    </w:p>
    <w:p w:rsidR="00F85EBF" w:rsidRPr="00D25B6A" w:rsidRDefault="00EE486F" w:rsidP="00F85EBF">
      <w:pPr>
        <w:autoSpaceDE w:val="0"/>
        <w:autoSpaceDN w:val="0"/>
        <w:adjustRightInd w:val="0"/>
        <w:spacing w:line="210" w:lineRule="atLeast"/>
        <w:rPr>
          <w:rFonts w:ascii="Arial" w:eastAsia="MS Mincho" w:hAnsi="Arial" w:cs="Arial"/>
          <w:b/>
          <w:bCs/>
          <w:sz w:val="22"/>
          <w:szCs w:val="22"/>
          <w:lang w:val="es-ES_tradnl" w:eastAsia="ja-JP"/>
        </w:rPr>
      </w:pPr>
      <w:r>
        <w:rPr>
          <w:rFonts w:ascii="Arial" w:eastAsia="Arial" w:hAnsi="Arial" w:cs="Arial"/>
          <w:b/>
          <w:bCs/>
          <w:sz w:val="22"/>
          <w:szCs w:val="22"/>
          <w:bdr w:val="nil"/>
          <w:lang w:val="es-ES" w:eastAsia="ja-JP"/>
        </w:rPr>
        <w:lastRenderedPageBreak/>
        <w:t>SÍMBOLOS Y CONVENCIONES</w:t>
      </w:r>
    </w:p>
    <w:p w:rsidR="00F85EBF" w:rsidRPr="00D25B6A" w:rsidRDefault="00426CD5" w:rsidP="00F85EBF">
      <w:pPr>
        <w:rPr>
          <w:b/>
          <w:lang w:val="es-ES_tradnl"/>
        </w:rPr>
      </w:pPr>
    </w:p>
    <w:p w:rsidR="00F85EBF" w:rsidRPr="00D25B6A" w:rsidRDefault="00EE486F" w:rsidP="00F85EBF">
      <w:pPr>
        <w:rPr>
          <w:rFonts w:ascii="Arial" w:hAnsi="Arial" w:cs="Arial"/>
          <w:b/>
          <w:sz w:val="20"/>
          <w:szCs w:val="20"/>
          <w:lang w:val="es-ES_tradnl"/>
        </w:rPr>
      </w:pPr>
      <w:r>
        <w:rPr>
          <w:rFonts w:eastAsia="Times New Roman"/>
          <w:sz w:val="20"/>
          <w:szCs w:val="20"/>
          <w:bdr w:val="nil"/>
          <w:lang w:val="es-ES"/>
        </w:rPr>
        <w:tab/>
      </w:r>
      <w:r>
        <w:rPr>
          <w:rFonts w:ascii="Arial" w:eastAsia="Arial" w:hAnsi="Arial" w:cs="Arial"/>
          <w:sz w:val="20"/>
          <w:szCs w:val="20"/>
          <w:bdr w:val="nil"/>
          <w:lang w:val="es-ES"/>
        </w:rPr>
        <w:t>La siguiente tabla es un glosario ilustrado de los símbolos que se pueden utilizar en este manual o en el producto.</w:t>
      </w:r>
    </w:p>
    <w:p w:rsidR="00F85EBF" w:rsidRPr="00D25B6A" w:rsidRDefault="00426CD5" w:rsidP="00F85EBF">
      <w:pP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7668"/>
      </w:tblGrid>
      <w:tr w:rsidR="00C746A3" w:rsidRPr="00426CD5" w:rsidTr="0035790A">
        <w:tc>
          <w:tcPr>
            <w:tcW w:w="1188" w:type="dxa"/>
            <w:shd w:val="clear" w:color="auto" w:fill="auto"/>
          </w:tcPr>
          <w:p w:rsidR="00F85EBF" w:rsidRPr="0035790A" w:rsidRDefault="00EE486F" w:rsidP="0035790A">
            <w:pPr>
              <w:jc w:val="right"/>
              <w:rPr>
                <w:rFonts w:eastAsia="Times New Roman"/>
                <w:sz w:val="20"/>
                <w:szCs w:val="20"/>
              </w:rPr>
            </w:pPr>
            <w:r>
              <w:rPr>
                <w:rFonts w:eastAsia="Times New Roman"/>
                <w:noProof/>
                <w:sz w:val="20"/>
                <w:szCs w:val="20"/>
                <w:lang w:eastAsia="zh-TW"/>
              </w:rPr>
              <w:drawing>
                <wp:inline distT="0" distB="0" distL="0" distR="0">
                  <wp:extent cx="64770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47700" cy="552450"/>
                          </a:xfrm>
                          <a:prstGeom prst="rect">
                            <a:avLst/>
                          </a:prstGeom>
                          <a:noFill/>
                          <a:ln>
                            <a:noFill/>
                          </a:ln>
                        </pic:spPr>
                      </pic:pic>
                    </a:graphicData>
                  </a:graphic>
                </wp:inline>
              </w:drawing>
            </w:r>
          </w:p>
        </w:tc>
        <w:tc>
          <w:tcPr>
            <w:tcW w:w="7668" w:type="dxa"/>
            <w:shd w:val="clear" w:color="auto" w:fill="auto"/>
            <w:vAlign w:val="center"/>
          </w:tcPr>
          <w:p w:rsidR="00F85EBF" w:rsidRPr="00D25B6A" w:rsidRDefault="00EE486F" w:rsidP="0035790A">
            <w:pPr>
              <w:autoSpaceDE w:val="0"/>
              <w:autoSpaceDN w:val="0"/>
              <w:adjustRightInd w:val="0"/>
              <w:rPr>
                <w:rFonts w:ascii="Arial" w:eastAsia="Times New Roman" w:hAnsi="Arial" w:cs="Arial"/>
                <w:sz w:val="20"/>
                <w:szCs w:val="20"/>
                <w:lang w:val="es-ES_tradnl"/>
              </w:rPr>
            </w:pPr>
            <w:r>
              <w:rPr>
                <w:rFonts w:ascii="Arial" w:eastAsia="Arial" w:hAnsi="Arial" w:cs="Arial"/>
                <w:sz w:val="20"/>
                <w:szCs w:val="20"/>
                <w:bdr w:val="nil"/>
                <w:lang w:val="es-ES"/>
              </w:rPr>
              <w:t>La advertencia eléctrica indica que existe un peligro potencial que podría tener como resultado descargas eléctricas.</w:t>
            </w:r>
          </w:p>
        </w:tc>
      </w:tr>
      <w:tr w:rsidR="00C746A3" w:rsidRPr="00426CD5" w:rsidTr="0035790A">
        <w:trPr>
          <w:trHeight w:val="1088"/>
        </w:trPr>
        <w:tc>
          <w:tcPr>
            <w:tcW w:w="1188" w:type="dxa"/>
            <w:shd w:val="clear" w:color="auto" w:fill="auto"/>
          </w:tcPr>
          <w:p w:rsidR="00F85EBF" w:rsidRPr="0035790A" w:rsidRDefault="00EE486F" w:rsidP="0035790A">
            <w:pPr>
              <w:jc w:val="right"/>
              <w:rPr>
                <w:rFonts w:eastAsia="Times New Roman"/>
                <w:sz w:val="20"/>
                <w:szCs w:val="20"/>
              </w:rPr>
            </w:pPr>
            <w:r>
              <w:rPr>
                <w:rFonts w:eastAsia="Times New Roman"/>
                <w:noProof/>
                <w:sz w:val="20"/>
                <w:szCs w:val="20"/>
                <w:lang w:eastAsia="zh-TW"/>
              </w:rPr>
              <w:drawing>
                <wp:inline distT="0" distB="0" distL="0" distR="0">
                  <wp:extent cx="638175" cy="53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38175" cy="533400"/>
                          </a:xfrm>
                          <a:prstGeom prst="rect">
                            <a:avLst/>
                          </a:prstGeom>
                          <a:noFill/>
                          <a:ln>
                            <a:noFill/>
                          </a:ln>
                        </pic:spPr>
                      </pic:pic>
                    </a:graphicData>
                  </a:graphic>
                </wp:inline>
              </w:drawing>
            </w:r>
          </w:p>
        </w:tc>
        <w:tc>
          <w:tcPr>
            <w:tcW w:w="7668" w:type="dxa"/>
            <w:shd w:val="clear" w:color="auto" w:fill="auto"/>
            <w:vAlign w:val="center"/>
          </w:tcPr>
          <w:p w:rsidR="00F85EBF" w:rsidRPr="00D25B6A" w:rsidRDefault="00EE486F" w:rsidP="00BF4AAE">
            <w:pPr>
              <w:rPr>
                <w:rFonts w:ascii="Arial" w:eastAsia="Times New Roman" w:hAnsi="Arial" w:cs="Arial"/>
                <w:sz w:val="20"/>
                <w:szCs w:val="20"/>
                <w:lang w:val="es-ES_tradnl"/>
              </w:rPr>
            </w:pPr>
            <w:r>
              <w:rPr>
                <w:rFonts w:ascii="Arial" w:eastAsia="Arial" w:hAnsi="Arial" w:cs="Arial"/>
                <w:b/>
                <w:bCs/>
                <w:sz w:val="20"/>
                <w:szCs w:val="20"/>
                <w:bdr w:val="nil"/>
                <w:lang w:val="es-ES"/>
              </w:rPr>
              <w:t>PRECAUCIÓN:</w:t>
            </w:r>
            <w:r>
              <w:rPr>
                <w:rFonts w:ascii="Arial" w:eastAsia="Arial" w:hAnsi="Arial" w:cs="Arial"/>
                <w:sz w:val="20"/>
                <w:szCs w:val="20"/>
                <w:bdr w:val="nil"/>
                <w:lang w:val="es-ES"/>
              </w:rPr>
              <w:t xml:space="preserve"> Este símbolo le remite a instrucciones importantes de funcionamiento y mantenimiento (revisión) que se pueden encontrar en el manual de instrucciones del producto. Si no se presta atención a esta información, puede haber riesgo de daños o lesiones para las personas o el equipo.</w:t>
            </w:r>
          </w:p>
        </w:tc>
      </w:tr>
      <w:tr w:rsidR="00C746A3" w:rsidRPr="00426CD5" w:rsidTr="0035790A">
        <w:trPr>
          <w:trHeight w:val="890"/>
        </w:trPr>
        <w:tc>
          <w:tcPr>
            <w:tcW w:w="1188" w:type="dxa"/>
            <w:shd w:val="clear" w:color="auto" w:fill="auto"/>
          </w:tcPr>
          <w:p w:rsidR="00F85EBF" w:rsidRPr="0035790A" w:rsidRDefault="00EE486F" w:rsidP="0035790A">
            <w:pPr>
              <w:jc w:val="center"/>
              <w:rPr>
                <w:rFonts w:eastAsia="Times New Roman"/>
                <w:sz w:val="20"/>
                <w:szCs w:val="20"/>
              </w:rPr>
            </w:pPr>
            <w:r>
              <w:rPr>
                <w:rFonts w:eastAsia="Times New Roman"/>
                <w:noProof/>
                <w:sz w:val="20"/>
                <w:szCs w:val="20"/>
                <w:lang w:eastAsia="zh-TW"/>
              </w:rPr>
              <w:drawing>
                <wp:inline distT="0" distB="0" distL="0" distR="0">
                  <wp:extent cx="44767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47675" cy="438150"/>
                          </a:xfrm>
                          <a:prstGeom prst="rect">
                            <a:avLst/>
                          </a:prstGeom>
                          <a:noFill/>
                          <a:ln>
                            <a:noFill/>
                          </a:ln>
                        </pic:spPr>
                      </pic:pic>
                    </a:graphicData>
                  </a:graphic>
                </wp:inline>
              </w:drawing>
            </w:r>
          </w:p>
        </w:tc>
        <w:tc>
          <w:tcPr>
            <w:tcW w:w="7668" w:type="dxa"/>
            <w:shd w:val="clear" w:color="auto" w:fill="auto"/>
            <w:vAlign w:val="center"/>
          </w:tcPr>
          <w:p w:rsidR="00F85EBF" w:rsidRPr="00D25B6A" w:rsidRDefault="00EE486F" w:rsidP="00BF4AAE">
            <w:pPr>
              <w:rPr>
                <w:rFonts w:ascii="Arial" w:eastAsia="Times New Roman" w:hAnsi="Arial" w:cs="Arial"/>
                <w:sz w:val="20"/>
                <w:szCs w:val="20"/>
                <w:lang w:val="es-ES_tradnl"/>
              </w:rPr>
            </w:pPr>
            <w:r>
              <w:rPr>
                <w:rFonts w:ascii="Arial" w:eastAsia="Arial" w:hAnsi="Arial" w:cs="Arial"/>
                <w:sz w:val="20"/>
                <w:szCs w:val="20"/>
                <w:bdr w:val="nil"/>
                <w:lang w:val="es-ES"/>
              </w:rPr>
              <w:t>Este símbolo identifica un terminal equipotencial (PE), que se proporciona para conectar el conductor (verde o verde/amarillo) de tierra protector del sistema de suministro.</w:t>
            </w:r>
          </w:p>
        </w:tc>
      </w:tr>
    </w:tbl>
    <w:p w:rsidR="004C7222" w:rsidRPr="00D25B6A" w:rsidRDefault="00426CD5" w:rsidP="005D1D41">
      <w:pPr>
        <w:autoSpaceDE w:val="0"/>
        <w:autoSpaceDN w:val="0"/>
        <w:adjustRightInd w:val="0"/>
        <w:jc w:val="right"/>
        <w:rPr>
          <w:rFonts w:ascii="Arial" w:hAnsi="Arial" w:cs="Arial"/>
          <w:sz w:val="18"/>
          <w:szCs w:val="18"/>
          <w:lang w:val="es-ES_tradnl"/>
        </w:rPr>
      </w:pPr>
    </w:p>
    <w:p w:rsidR="006B4F69" w:rsidRPr="00D25B6A" w:rsidRDefault="00426CD5" w:rsidP="006B4F69">
      <w:pPr>
        <w:ind w:right="-1440"/>
        <w:rPr>
          <w:sz w:val="22"/>
          <w:szCs w:val="22"/>
          <w:lang w:val="es-ES_tradnl"/>
        </w:rPr>
      </w:pPr>
    </w:p>
    <w:p w:rsidR="006B4F69" w:rsidRPr="00D25B6A" w:rsidRDefault="00EE486F" w:rsidP="006B4F69">
      <w:pPr>
        <w:autoSpaceDE w:val="0"/>
        <w:autoSpaceDN w:val="0"/>
        <w:adjustRightInd w:val="0"/>
        <w:rPr>
          <w:rFonts w:ascii="Arial" w:hAnsi="Arial" w:cs="Arial"/>
          <w:b/>
          <w:sz w:val="22"/>
          <w:szCs w:val="22"/>
          <w:lang w:val="es-ES_tradnl"/>
        </w:rPr>
      </w:pPr>
      <w:r>
        <w:rPr>
          <w:rFonts w:ascii="Arial" w:eastAsia="Arial" w:hAnsi="Arial" w:cs="Arial"/>
          <w:b/>
          <w:bCs/>
          <w:sz w:val="22"/>
          <w:szCs w:val="22"/>
          <w:bdr w:val="nil"/>
          <w:lang w:val="es-ES"/>
        </w:rPr>
        <w:t>NORMATIVAS EUROPEAS SOBRE ELIMINACIÓN DE EQUIPOS</w:t>
      </w:r>
    </w:p>
    <w:p w:rsidR="007256D5" w:rsidRPr="00D25B6A" w:rsidRDefault="00426CD5" w:rsidP="006B4F69">
      <w:pPr>
        <w:autoSpaceDE w:val="0"/>
        <w:autoSpaceDN w:val="0"/>
        <w:adjustRightInd w:val="0"/>
        <w:rPr>
          <w:rFonts w:ascii="Arial" w:hAnsi="Arial" w:cs="Arial"/>
          <w:b/>
          <w:sz w:val="22"/>
          <w:szCs w:val="22"/>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7056"/>
      </w:tblGrid>
      <w:tr w:rsidR="00C746A3" w:rsidRPr="00426CD5" w:rsidTr="007256D5">
        <w:tc>
          <w:tcPr>
            <w:tcW w:w="2268" w:type="dxa"/>
          </w:tcPr>
          <w:p w:rsidR="007256D5" w:rsidRDefault="00EE486F" w:rsidP="006B4F69">
            <w:pPr>
              <w:autoSpaceDE w:val="0"/>
              <w:autoSpaceDN w:val="0"/>
              <w:adjustRightInd w:val="0"/>
              <w:rPr>
                <w:rFonts w:ascii="Arial" w:hAnsi="Arial" w:cs="Arial"/>
                <w:sz w:val="22"/>
                <w:szCs w:val="22"/>
              </w:rPr>
            </w:pPr>
            <w:r w:rsidRPr="007256D5">
              <w:rPr>
                <w:rFonts w:ascii="Arial" w:hAnsi="Arial" w:cs="Arial"/>
                <w:noProof/>
                <w:sz w:val="22"/>
                <w:szCs w:val="22"/>
                <w:lang w:eastAsia="zh-TW"/>
              </w:rPr>
              <w:drawing>
                <wp:inline distT="0" distB="0" distL="0" distR="0">
                  <wp:extent cx="1343025" cy="1911985"/>
                  <wp:effectExtent l="19050" t="0" r="9525"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343025" cy="1911985"/>
                          </a:xfrm>
                          <a:prstGeom prst="rect">
                            <a:avLst/>
                          </a:prstGeom>
                          <a:noFill/>
                          <a:ln>
                            <a:noFill/>
                          </a:ln>
                        </pic:spPr>
                      </pic:pic>
                    </a:graphicData>
                  </a:graphic>
                </wp:inline>
              </w:drawing>
            </w:r>
          </w:p>
        </w:tc>
        <w:tc>
          <w:tcPr>
            <w:tcW w:w="7164" w:type="dxa"/>
          </w:tcPr>
          <w:p w:rsidR="007256D5" w:rsidRPr="00D25B6A" w:rsidRDefault="00EE486F" w:rsidP="007256D5">
            <w:pPr>
              <w:jc w:val="both"/>
              <w:rPr>
                <w:rFonts w:ascii="Arial" w:hAnsi="Arial" w:cs="Arial"/>
                <w:i/>
                <w:iCs/>
                <w:lang w:val="es-ES_tradnl"/>
              </w:rPr>
            </w:pPr>
            <w:r>
              <w:rPr>
                <w:rFonts w:ascii="Arial" w:eastAsia="Arial" w:hAnsi="Arial" w:cs="Arial"/>
                <w:i/>
                <w:iCs/>
                <w:bdr w:val="nil"/>
                <w:lang w:val="es-ES"/>
              </w:rPr>
              <w:t xml:space="preserve">De acuerdo con la Directiva 2012/19/EU del Parlamento Europeo y del Consejo de 4 de julio de 2012 sobre residuos de equipos eléctricos y electrónicos (WEEE), el Miniagitador Select BioProducts lleva la marca de contenedor con ruedas tachado y no debe eliminarse junto con los desechos domésticos. </w:t>
            </w:r>
          </w:p>
          <w:p w:rsidR="007256D5" w:rsidRPr="00D25B6A" w:rsidRDefault="00426CD5" w:rsidP="007256D5">
            <w:pPr>
              <w:jc w:val="both"/>
              <w:rPr>
                <w:rFonts w:ascii="Arial" w:hAnsi="Arial" w:cs="Arial"/>
                <w:i/>
                <w:iCs/>
                <w:lang w:val="es-ES_tradnl"/>
              </w:rPr>
            </w:pPr>
          </w:p>
          <w:p w:rsidR="007256D5" w:rsidRPr="00D25B6A" w:rsidRDefault="00EE486F" w:rsidP="007256D5">
            <w:pPr>
              <w:autoSpaceDE w:val="0"/>
              <w:autoSpaceDN w:val="0"/>
              <w:adjustRightInd w:val="0"/>
              <w:rPr>
                <w:rFonts w:ascii="Arial" w:hAnsi="Arial" w:cs="Arial"/>
                <w:sz w:val="22"/>
                <w:szCs w:val="22"/>
                <w:lang w:val="es-ES_tradnl"/>
              </w:rPr>
            </w:pPr>
            <w:r>
              <w:rPr>
                <w:rFonts w:ascii="Arial" w:eastAsia="Arial" w:hAnsi="Arial" w:cs="Arial"/>
                <w:i/>
                <w:iCs/>
                <w:bdr w:val="nil"/>
                <w:lang w:val="es-ES"/>
              </w:rPr>
              <w:t xml:space="preserve">En consecuencia, el comprador debe seguir las instrucciones sobre reutilización y reciclado de residuos de equipos eléctricos y electrónicos (WEEE) que se proporcionan con los productos y que están disponibles en el siguiente enlace: </w:t>
            </w:r>
            <w:hyperlink r:id="rId17" w:history="1">
              <w:r>
                <w:rPr>
                  <w:rFonts w:ascii="Arial" w:eastAsia="Arial" w:hAnsi="Arial" w:cs="Arial"/>
                  <w:i/>
                  <w:iCs/>
                  <w:color w:val="0000FF"/>
                  <w:u w:val="single"/>
                  <w:bdr w:val="nil"/>
                  <w:lang w:val="es-ES"/>
                </w:rPr>
                <w:t>www.corning.com/weee</w:t>
              </w:r>
            </w:hyperlink>
          </w:p>
        </w:tc>
      </w:tr>
    </w:tbl>
    <w:p w:rsidR="006B4F69" w:rsidRPr="00D25B6A" w:rsidRDefault="00426CD5" w:rsidP="006B4F69">
      <w:pPr>
        <w:autoSpaceDE w:val="0"/>
        <w:autoSpaceDN w:val="0"/>
        <w:adjustRightInd w:val="0"/>
        <w:rPr>
          <w:rFonts w:ascii="Arial" w:hAnsi="Arial" w:cs="Arial"/>
          <w:sz w:val="22"/>
          <w:szCs w:val="22"/>
          <w:lang w:val="es-ES_tradnl"/>
        </w:rPr>
      </w:pPr>
    </w:p>
    <w:p w:rsidR="006B4F69" w:rsidRPr="00D25B6A" w:rsidRDefault="00426CD5" w:rsidP="007256D5">
      <w:pPr>
        <w:autoSpaceDE w:val="0"/>
        <w:autoSpaceDN w:val="0"/>
        <w:rPr>
          <w:rFonts w:ascii="Arial" w:hAnsi="Arial" w:cs="Arial"/>
          <w:i/>
          <w:iCs/>
          <w:lang w:val="es-ES_tradnl"/>
        </w:rPr>
      </w:pPr>
    </w:p>
    <w:p w:rsidR="00F85EBF" w:rsidRPr="00D25B6A" w:rsidRDefault="00426CD5" w:rsidP="007256D5">
      <w:pPr>
        <w:autoSpaceDE w:val="0"/>
        <w:autoSpaceDN w:val="0"/>
        <w:adjustRightInd w:val="0"/>
        <w:rPr>
          <w:rFonts w:ascii="Arial" w:hAnsi="Arial" w:cs="Arial"/>
          <w:sz w:val="18"/>
          <w:szCs w:val="18"/>
          <w:lang w:val="es-ES_tradnl"/>
        </w:rPr>
      </w:pPr>
    </w:p>
    <w:p w:rsidR="006F1E3C" w:rsidRPr="00D25B6A" w:rsidRDefault="00426CD5" w:rsidP="007256D5">
      <w:pPr>
        <w:autoSpaceDE w:val="0"/>
        <w:autoSpaceDN w:val="0"/>
        <w:adjustRightInd w:val="0"/>
        <w:rPr>
          <w:rFonts w:ascii="Arial" w:hAnsi="Arial" w:cs="Arial"/>
          <w:sz w:val="18"/>
          <w:szCs w:val="18"/>
          <w:lang w:val="es-ES_tradnl"/>
        </w:rPr>
      </w:pPr>
    </w:p>
    <w:p w:rsidR="006F1E3C" w:rsidRPr="00D25B6A" w:rsidRDefault="00426CD5" w:rsidP="007256D5">
      <w:pPr>
        <w:autoSpaceDE w:val="0"/>
        <w:autoSpaceDN w:val="0"/>
        <w:adjustRightInd w:val="0"/>
        <w:rPr>
          <w:rFonts w:ascii="Arial" w:hAnsi="Arial" w:cs="Arial"/>
          <w:sz w:val="18"/>
          <w:szCs w:val="18"/>
          <w:lang w:val="es-ES_tradnl"/>
        </w:rPr>
      </w:pPr>
    </w:p>
    <w:p w:rsidR="006F1E3C" w:rsidRPr="00D25B6A" w:rsidRDefault="00426CD5" w:rsidP="007256D5">
      <w:pPr>
        <w:autoSpaceDE w:val="0"/>
        <w:autoSpaceDN w:val="0"/>
        <w:adjustRightInd w:val="0"/>
        <w:rPr>
          <w:rFonts w:ascii="Arial" w:hAnsi="Arial" w:cs="Arial"/>
          <w:sz w:val="18"/>
          <w:szCs w:val="18"/>
          <w:lang w:val="es-ES_tradnl"/>
        </w:rPr>
      </w:pPr>
    </w:p>
    <w:p w:rsidR="006F1E3C" w:rsidRPr="00D25B6A" w:rsidRDefault="00426CD5" w:rsidP="007256D5">
      <w:pPr>
        <w:autoSpaceDE w:val="0"/>
        <w:autoSpaceDN w:val="0"/>
        <w:adjustRightInd w:val="0"/>
        <w:rPr>
          <w:rFonts w:ascii="Arial" w:hAnsi="Arial" w:cs="Arial"/>
          <w:sz w:val="18"/>
          <w:szCs w:val="18"/>
          <w:lang w:val="es-ES_tradnl"/>
        </w:rPr>
      </w:pPr>
    </w:p>
    <w:p w:rsidR="006F1E3C" w:rsidRPr="00D25B6A" w:rsidRDefault="00426CD5" w:rsidP="007256D5">
      <w:pPr>
        <w:autoSpaceDE w:val="0"/>
        <w:autoSpaceDN w:val="0"/>
        <w:adjustRightInd w:val="0"/>
        <w:rPr>
          <w:rFonts w:ascii="Arial" w:hAnsi="Arial" w:cs="Arial"/>
          <w:sz w:val="18"/>
          <w:szCs w:val="18"/>
          <w:lang w:val="es-ES_tradnl"/>
        </w:rPr>
      </w:pPr>
    </w:p>
    <w:p w:rsidR="00F85EBF" w:rsidRPr="00D25B6A" w:rsidRDefault="00426CD5" w:rsidP="007256D5">
      <w:pPr>
        <w:autoSpaceDE w:val="0"/>
        <w:autoSpaceDN w:val="0"/>
        <w:adjustRightInd w:val="0"/>
        <w:rPr>
          <w:rFonts w:ascii="Arial" w:hAnsi="Arial" w:cs="Arial"/>
          <w:sz w:val="18"/>
          <w:szCs w:val="18"/>
          <w:lang w:val="es-ES_tradnl"/>
        </w:rPr>
      </w:pPr>
    </w:p>
    <w:p w:rsidR="00F85EBF" w:rsidRPr="00D25B6A" w:rsidRDefault="00426CD5" w:rsidP="007256D5">
      <w:pPr>
        <w:autoSpaceDE w:val="0"/>
        <w:autoSpaceDN w:val="0"/>
        <w:adjustRightInd w:val="0"/>
        <w:rPr>
          <w:rFonts w:ascii="Arial" w:hAnsi="Arial" w:cs="Arial"/>
          <w:sz w:val="18"/>
          <w:szCs w:val="18"/>
          <w:lang w:val="es-ES_tradnl"/>
        </w:rPr>
      </w:pPr>
    </w:p>
    <w:p w:rsidR="006F1E3C" w:rsidRPr="00D25B6A" w:rsidRDefault="00426CD5" w:rsidP="007256D5">
      <w:pPr>
        <w:rPr>
          <w:rFonts w:ascii="Arial" w:hAnsi="Arial" w:cs="Arial"/>
          <w:sz w:val="18"/>
          <w:szCs w:val="18"/>
          <w:lang w:val="es-ES_tradnl"/>
        </w:rPr>
        <w:sectPr w:rsidR="006F1E3C" w:rsidRPr="00D25B6A" w:rsidSect="00DF6AD7">
          <w:footerReference w:type="first" r:id="rId18"/>
          <w:pgSz w:w="12240" w:h="15840"/>
          <w:pgMar w:top="1296" w:right="1584" w:bottom="900" w:left="1440" w:header="720" w:footer="720" w:gutter="0"/>
          <w:cols w:space="720"/>
          <w:titlePg/>
          <w:docGrid w:linePitch="360"/>
        </w:sectPr>
      </w:pPr>
    </w:p>
    <w:p w:rsidR="00082D29" w:rsidRPr="00D25B6A" w:rsidRDefault="00EE486F" w:rsidP="006B4F69">
      <w:pPr>
        <w:tabs>
          <w:tab w:val="left" w:pos="8190"/>
        </w:tabs>
        <w:autoSpaceDE w:val="0"/>
        <w:autoSpaceDN w:val="0"/>
        <w:adjustRightInd w:val="0"/>
        <w:ind w:right="360"/>
        <w:jc w:val="center"/>
        <w:rPr>
          <w:rFonts w:ascii="Eurostile" w:hAnsi="Eurostile"/>
          <w:sz w:val="22"/>
          <w:szCs w:val="22"/>
          <w:lang w:val="es-ES_tradnl"/>
        </w:rPr>
      </w:pPr>
      <w:r>
        <w:rPr>
          <w:rFonts w:eastAsia="Times New Roman"/>
          <w:b/>
          <w:bCs/>
          <w:sz w:val="36"/>
          <w:szCs w:val="36"/>
          <w:bdr w:val="nil"/>
          <w:lang w:val="es-ES" w:eastAsia="en-US"/>
        </w:rPr>
        <w:lastRenderedPageBreak/>
        <w:t>Garantía limitada</w:t>
      </w:r>
    </w:p>
    <w:p w:rsidR="00082D29" w:rsidRPr="00D25B6A" w:rsidRDefault="00426CD5" w:rsidP="00082D29">
      <w:pPr>
        <w:autoSpaceDE w:val="0"/>
        <w:autoSpaceDN w:val="0"/>
        <w:adjustRightInd w:val="0"/>
        <w:jc w:val="both"/>
        <w:rPr>
          <w:sz w:val="36"/>
          <w:lang w:val="es-ES_tradnl"/>
        </w:rPr>
      </w:pPr>
    </w:p>
    <w:p w:rsidR="00082D29" w:rsidRPr="00D25B6A" w:rsidRDefault="00EE486F" w:rsidP="00082D29">
      <w:pPr>
        <w:jc w:val="both"/>
        <w:rPr>
          <w:rFonts w:ascii="Arial" w:hAnsi="Arial" w:cs="Arial"/>
          <w:noProof/>
          <w:sz w:val="22"/>
          <w:szCs w:val="16"/>
          <w:lang w:val="es-ES_tradnl"/>
        </w:rPr>
      </w:pPr>
      <w:r>
        <w:rPr>
          <w:rFonts w:ascii="Arial" w:eastAsia="Arial" w:hAnsi="Arial" w:cs="Arial"/>
          <w:noProof/>
          <w:sz w:val="22"/>
          <w:szCs w:val="22"/>
          <w:bdr w:val="nil"/>
          <w:lang w:val="es-ES"/>
        </w:rPr>
        <w:t xml:space="preserve">Select BioProducts garantiza que este producto no tiene defectos de material o mano de obra durante un período de dos (2) </w:t>
      </w:r>
      <w:bookmarkStart w:id="0" w:name="_GoBack"/>
      <w:r>
        <w:rPr>
          <w:rFonts w:ascii="Arial" w:eastAsia="Arial" w:hAnsi="Arial" w:cs="Arial"/>
          <w:noProof/>
          <w:sz w:val="22"/>
          <w:szCs w:val="22"/>
          <w:bdr w:val="nil"/>
          <w:lang w:val="es-ES"/>
        </w:rPr>
        <w:t>años</w:t>
      </w:r>
      <w:bookmarkEnd w:id="0"/>
      <w:r>
        <w:rPr>
          <w:rFonts w:ascii="Arial" w:eastAsia="Arial" w:hAnsi="Arial" w:cs="Arial"/>
          <w:noProof/>
          <w:sz w:val="22"/>
          <w:szCs w:val="22"/>
          <w:bdr w:val="nil"/>
          <w:lang w:val="es-ES"/>
        </w:rPr>
        <w:t xml:space="preserve"> desde la fecha de compra.  Esta garantía solamente es válida si el producto se utiliza para el fin para el que está destinado y siguiendo las directrices que se especifican en el manual de instrucciones que se proporciona.</w:t>
      </w:r>
    </w:p>
    <w:p w:rsidR="00082D29" w:rsidRPr="00D25B6A" w:rsidRDefault="00426CD5" w:rsidP="00082D29">
      <w:pPr>
        <w:jc w:val="both"/>
        <w:rPr>
          <w:rFonts w:ascii="Arial" w:hAnsi="Arial" w:cs="Arial"/>
          <w:noProof/>
          <w:sz w:val="22"/>
          <w:szCs w:val="16"/>
          <w:lang w:val="es-ES_tradnl"/>
        </w:rPr>
      </w:pPr>
    </w:p>
    <w:p w:rsidR="00082D29" w:rsidRPr="00D25B6A" w:rsidRDefault="00426CD5" w:rsidP="00082D29">
      <w:pPr>
        <w:jc w:val="both"/>
        <w:rPr>
          <w:rFonts w:ascii="Arial" w:hAnsi="Arial" w:cs="Arial"/>
          <w:noProof/>
          <w:sz w:val="22"/>
          <w:szCs w:val="16"/>
          <w:lang w:val="es-ES_tradnl"/>
        </w:rPr>
      </w:pPr>
    </w:p>
    <w:p w:rsidR="00082D29" w:rsidRPr="00D25B6A" w:rsidRDefault="00EE486F" w:rsidP="00082D29">
      <w:pPr>
        <w:jc w:val="both"/>
        <w:rPr>
          <w:rFonts w:ascii="Arial" w:hAnsi="Arial" w:cs="Arial"/>
          <w:noProof/>
          <w:sz w:val="22"/>
          <w:szCs w:val="16"/>
          <w:lang w:val="es-ES_tradnl"/>
        </w:rPr>
      </w:pPr>
      <w:r>
        <w:rPr>
          <w:rFonts w:ascii="Arial" w:eastAsia="Arial" w:hAnsi="Arial" w:cs="Arial"/>
          <w:noProof/>
          <w:sz w:val="22"/>
          <w:szCs w:val="22"/>
          <w:bdr w:val="nil"/>
          <w:lang w:val="es-ES"/>
        </w:rPr>
        <w:t>Si se necesita realizar revisión en este producto, póngase en contacto con el Departamento de Servicio de Select BioProducts en el 732-417-0700 para recibir un número RA de autorización de devolución e instrucciones de envío.  Los productos que se reciban sin la autorización apropiada se devolverán.  Todos los artículos que se devuelvan para revisión deben enviarse con franqueo prepagado en el embalaje original u otra caja de cartón adecuada y con relleno para evitar daños.  Select BioProducts no será responsable de los daños provocados por un embalaje inapropiado.  Select BioProducts puede elegir realizar la revisión in situ para los equipos de mayor tamaño.</w:t>
      </w:r>
    </w:p>
    <w:p w:rsidR="00082D29" w:rsidRPr="00D25B6A" w:rsidRDefault="00426CD5" w:rsidP="00082D29">
      <w:pPr>
        <w:jc w:val="both"/>
        <w:rPr>
          <w:rFonts w:ascii="Arial" w:hAnsi="Arial" w:cs="Arial"/>
          <w:noProof/>
          <w:sz w:val="22"/>
          <w:szCs w:val="16"/>
          <w:lang w:val="es-ES_tradnl"/>
        </w:rPr>
      </w:pPr>
    </w:p>
    <w:p w:rsidR="00082D29" w:rsidRPr="00D25B6A" w:rsidRDefault="00EE486F" w:rsidP="00082D29">
      <w:pPr>
        <w:jc w:val="both"/>
        <w:rPr>
          <w:rFonts w:ascii="Arial" w:hAnsi="Arial" w:cs="Arial"/>
          <w:noProof/>
          <w:sz w:val="22"/>
          <w:szCs w:val="16"/>
          <w:lang w:val="es-ES_tradnl"/>
        </w:rPr>
      </w:pPr>
      <w:r>
        <w:rPr>
          <w:rFonts w:ascii="Arial" w:eastAsia="Arial" w:hAnsi="Arial" w:cs="Arial"/>
          <w:noProof/>
          <w:sz w:val="22"/>
          <w:szCs w:val="22"/>
          <w:bdr w:val="nil"/>
          <w:lang w:val="es-ES"/>
        </w:rPr>
        <w:t>Esta garantía no cubre los daños provocados por accidente, negligencia, uso inadecuado, revisión incorrecta, fuerzas naturales u otras causas que no surjan de defectos en la mano de obra o material originales.  Este material no cubre escobillas del motor, fusibles, lámparas, baterías o daños en la pintura o acabado.  Las reclamaciones por daños en el transporte deben presentarse ante el transportista.</w:t>
      </w:r>
    </w:p>
    <w:p w:rsidR="00082D29" w:rsidRPr="00D25B6A" w:rsidRDefault="00426CD5" w:rsidP="00082D29">
      <w:pPr>
        <w:jc w:val="both"/>
        <w:rPr>
          <w:rFonts w:ascii="Arial" w:hAnsi="Arial" w:cs="Arial"/>
          <w:noProof/>
          <w:sz w:val="22"/>
          <w:szCs w:val="16"/>
          <w:lang w:val="es-ES_tradnl"/>
        </w:rPr>
      </w:pPr>
    </w:p>
    <w:p w:rsidR="00082D29" w:rsidRPr="00D25B6A" w:rsidRDefault="00EE486F" w:rsidP="00082D29">
      <w:pPr>
        <w:jc w:val="both"/>
        <w:rPr>
          <w:rFonts w:ascii="Arial" w:hAnsi="Arial" w:cs="Arial"/>
          <w:noProof/>
          <w:sz w:val="22"/>
          <w:szCs w:val="16"/>
          <w:lang w:val="es-ES_tradnl"/>
        </w:rPr>
      </w:pPr>
      <w:r>
        <w:rPr>
          <w:rFonts w:ascii="Arial" w:eastAsia="Arial" w:hAnsi="Arial" w:cs="Arial"/>
          <w:noProof/>
          <w:sz w:val="22"/>
          <w:szCs w:val="22"/>
          <w:bdr w:val="nil"/>
          <w:lang w:val="es-ES"/>
        </w:rPr>
        <w:t>TODAS LAS GARANTÍAS, INCLUIDA LA GARANTÍA IMPLÍCITA DE COMERCIABILIDAD E IDONEIDAD PARA UN FIN PARTICULAR, SE LIMITAN A UNA DURACIÓN DE 24 MESES DESDE LA FECHA DE COMPRA ORIGINAL.</w:t>
      </w:r>
    </w:p>
    <w:p w:rsidR="00082D29" w:rsidRPr="00D25B6A" w:rsidRDefault="00426CD5" w:rsidP="00082D29">
      <w:pPr>
        <w:jc w:val="both"/>
        <w:rPr>
          <w:rFonts w:ascii="Arial" w:hAnsi="Arial" w:cs="Arial"/>
          <w:noProof/>
          <w:sz w:val="22"/>
          <w:szCs w:val="16"/>
          <w:lang w:val="es-ES_tradnl"/>
        </w:rPr>
      </w:pPr>
    </w:p>
    <w:p w:rsidR="00082D29" w:rsidRPr="00D25B6A" w:rsidRDefault="00EE486F" w:rsidP="00082D29">
      <w:pPr>
        <w:jc w:val="both"/>
        <w:rPr>
          <w:rFonts w:ascii="Arial" w:hAnsi="Arial" w:cs="Arial"/>
          <w:noProof/>
          <w:sz w:val="22"/>
          <w:szCs w:val="16"/>
          <w:lang w:val="es-ES_tradnl"/>
        </w:rPr>
      </w:pPr>
      <w:r>
        <w:rPr>
          <w:rFonts w:ascii="Arial" w:eastAsia="Arial" w:hAnsi="Arial" w:cs="Arial"/>
          <w:noProof/>
          <w:sz w:val="22"/>
          <w:szCs w:val="22"/>
          <w:bdr w:val="nil"/>
          <w:lang w:val="es-ES"/>
        </w:rPr>
        <w:t>LA ÚNICA OBLIGACIÓN DE SELECT BIOPRODUCTS DE ACUERDO CON ESTA GARANTÍA SE LIMITA A LA REPARACIÓN O SUSTITUCIÓN, A CRITERIO DE SELECT BIOPRODUCTS, DE UN PRODUCTO DEFECTUOSO.  SELECT BIOPRODUCTS NO ES RESPONSABLE DE LOS DAÑOS FORTUITOS O RESULTANTES, PÉRDIDA COMERCIAL O CUALQUIER OTRO DAÑO RESULTADO DE LA UTILIZACIÓN DE ESTE PRODUCTO.</w:t>
      </w:r>
    </w:p>
    <w:p w:rsidR="00082D29" w:rsidRPr="00D25B6A" w:rsidRDefault="00426CD5" w:rsidP="00082D29">
      <w:pPr>
        <w:jc w:val="both"/>
        <w:rPr>
          <w:rFonts w:ascii="Arial" w:hAnsi="Arial" w:cs="Arial"/>
          <w:noProof/>
          <w:sz w:val="22"/>
          <w:szCs w:val="16"/>
          <w:lang w:val="es-ES_tradnl"/>
        </w:rPr>
      </w:pPr>
    </w:p>
    <w:p w:rsidR="00082D29" w:rsidRPr="00D25B6A" w:rsidRDefault="00EE486F" w:rsidP="00082D29">
      <w:pPr>
        <w:jc w:val="both"/>
        <w:rPr>
          <w:rFonts w:ascii="Arial" w:hAnsi="Arial" w:cs="Arial"/>
          <w:noProof/>
          <w:sz w:val="22"/>
          <w:szCs w:val="16"/>
          <w:lang w:val="es-ES_tradnl"/>
        </w:rPr>
      </w:pPr>
      <w:r>
        <w:rPr>
          <w:rFonts w:ascii="Arial" w:eastAsia="Arial" w:hAnsi="Arial" w:cs="Arial"/>
          <w:noProof/>
          <w:sz w:val="22"/>
          <w:szCs w:val="22"/>
          <w:bdr w:val="nil"/>
          <w:lang w:val="es-ES"/>
        </w:rPr>
        <w:t>Algunos estados no permiten limitar la duración de las garantías implícitas o la exclusión o limitación de daños fortuitos o resultantes.  Esta garantía le proporciona derechos legales específicos.  Puede tener otros derechos que varían de estado en estado.</w:t>
      </w:r>
    </w:p>
    <w:p w:rsidR="00082D29" w:rsidRPr="00D25B6A" w:rsidRDefault="00426CD5" w:rsidP="00082D29">
      <w:pPr>
        <w:jc w:val="both"/>
        <w:rPr>
          <w:rFonts w:ascii="Arial" w:hAnsi="Arial" w:cs="Arial"/>
          <w:noProof/>
          <w:sz w:val="22"/>
          <w:szCs w:val="16"/>
          <w:lang w:val="es-ES_tradnl"/>
        </w:rPr>
      </w:pPr>
    </w:p>
    <w:p w:rsidR="00082D29" w:rsidRPr="00D25B6A" w:rsidRDefault="00EE486F" w:rsidP="00082D29">
      <w:pPr>
        <w:jc w:val="both"/>
        <w:rPr>
          <w:rFonts w:ascii="Arial" w:hAnsi="Arial" w:cs="Arial"/>
          <w:noProof/>
          <w:sz w:val="22"/>
          <w:szCs w:val="16"/>
          <w:lang w:val="es-ES_tradnl"/>
        </w:rPr>
      </w:pPr>
      <w:r>
        <w:rPr>
          <w:rFonts w:ascii="Arial" w:eastAsia="Arial" w:hAnsi="Arial" w:cs="Arial"/>
          <w:noProof/>
          <w:sz w:val="22"/>
          <w:szCs w:val="22"/>
          <w:bdr w:val="nil"/>
          <w:lang w:val="es-ES"/>
        </w:rPr>
        <w:t xml:space="preserve">Ninguna persona podrá aceptar para, o en nombre de, Select BioProducts cualquier otra obligación de responsabilidad, o extender el período de esta garantía. </w:t>
      </w:r>
    </w:p>
    <w:p w:rsidR="00082D29" w:rsidRPr="00D25B6A" w:rsidRDefault="00426CD5" w:rsidP="00082D29">
      <w:pPr>
        <w:jc w:val="both"/>
        <w:rPr>
          <w:rFonts w:ascii="Arial" w:hAnsi="Arial" w:cs="Arial"/>
          <w:noProof/>
          <w:sz w:val="18"/>
          <w:szCs w:val="13"/>
          <w:lang w:val="es-ES_tradnl"/>
        </w:rPr>
      </w:pPr>
    </w:p>
    <w:p w:rsidR="00F85EBF" w:rsidRPr="00D25B6A" w:rsidRDefault="00426CD5" w:rsidP="00232F56">
      <w:pPr>
        <w:jc w:val="both"/>
        <w:rPr>
          <w:rFonts w:ascii="Arial" w:hAnsi="Arial" w:cs="Arial"/>
          <w:noProof/>
          <w:sz w:val="16"/>
          <w:szCs w:val="13"/>
          <w:lang w:val="es-ES_tradnl"/>
        </w:rPr>
      </w:pPr>
    </w:p>
    <w:p w:rsidR="007256D5" w:rsidRPr="00D25B6A" w:rsidRDefault="00EE486F" w:rsidP="007256D5">
      <w:pPr>
        <w:ind w:left="1440" w:firstLine="720"/>
        <w:rPr>
          <w:rFonts w:ascii="Arial" w:hAnsi="Arial" w:cs="Arial"/>
          <w:b/>
          <w:i/>
          <w:lang w:val="es-ES_tradnl"/>
        </w:rPr>
      </w:pPr>
      <w:r w:rsidRPr="00D25B6A">
        <w:rPr>
          <w:rFonts w:ascii="Arial" w:hAnsi="Arial" w:cs="Arial"/>
          <w:noProof/>
          <w:sz w:val="16"/>
          <w:szCs w:val="13"/>
          <w:lang w:val="es-ES_tradnl"/>
        </w:rPr>
        <w:t xml:space="preserve"> </w:t>
      </w:r>
    </w:p>
    <w:tbl>
      <w:tblPr>
        <w:tblStyle w:val="TableGrid"/>
        <w:tblW w:w="0" w:type="auto"/>
        <w:tblInd w:w="1440" w:type="dxa"/>
        <w:tblLook w:val="04A0"/>
      </w:tblPr>
      <w:tblGrid>
        <w:gridCol w:w="6138"/>
      </w:tblGrid>
      <w:tr w:rsidR="00C746A3" w:rsidTr="007256D5">
        <w:tc>
          <w:tcPr>
            <w:tcW w:w="6138" w:type="dxa"/>
          </w:tcPr>
          <w:p w:rsidR="007256D5" w:rsidRPr="00D25B6A" w:rsidRDefault="00EE486F" w:rsidP="007256D5">
            <w:pPr>
              <w:jc w:val="center"/>
              <w:rPr>
                <w:rFonts w:ascii="Arial" w:hAnsi="Arial" w:cs="Arial"/>
                <w:b/>
                <w:i/>
                <w:lang w:val="es-ES_tradnl"/>
              </w:rPr>
            </w:pPr>
            <w:r>
              <w:rPr>
                <w:rFonts w:ascii="Arial" w:eastAsia="Arial" w:hAnsi="Arial" w:cs="Arial"/>
                <w:b/>
                <w:bCs/>
                <w:i/>
                <w:iCs/>
                <w:bdr w:val="nil"/>
                <w:lang w:val="es-ES"/>
              </w:rPr>
              <w:t>Registre su producto en línea en:</w:t>
            </w:r>
          </w:p>
          <w:p w:rsidR="007256D5" w:rsidRDefault="00EE486F" w:rsidP="007256D5">
            <w:pPr>
              <w:jc w:val="center"/>
              <w:rPr>
                <w:rFonts w:ascii="Arial" w:hAnsi="Arial" w:cs="Arial"/>
                <w:b/>
                <w:i/>
              </w:rPr>
            </w:pPr>
            <w:r>
              <w:rPr>
                <w:rFonts w:ascii="Arial" w:eastAsia="Arial" w:hAnsi="Arial" w:cs="Arial"/>
                <w:b/>
                <w:bCs/>
                <w:i/>
                <w:iCs/>
                <w:bdr w:val="nil"/>
                <w:lang w:val="es-ES"/>
              </w:rPr>
              <w:t>www.selectbioproducts.com</w:t>
            </w:r>
          </w:p>
        </w:tc>
      </w:tr>
    </w:tbl>
    <w:p w:rsidR="006B4F69" w:rsidRDefault="00426CD5" w:rsidP="007256D5">
      <w:pPr>
        <w:ind w:left="1440" w:firstLine="720"/>
        <w:rPr>
          <w:rFonts w:ascii="Arial" w:hAnsi="Arial" w:cs="Arial"/>
          <w:b/>
          <w:i/>
        </w:rPr>
      </w:pPr>
    </w:p>
    <w:p w:rsidR="00175795" w:rsidRPr="00426CD5" w:rsidRDefault="00A3221E" w:rsidP="00426CD5">
      <w:pPr>
        <w:rPr>
          <w:rFonts w:ascii="Arial" w:hAnsi="Arial" w:cs="Arial"/>
          <w:sz w:val="18"/>
          <w:szCs w:val="18"/>
          <w:lang w:val="es-ES"/>
        </w:rPr>
      </w:pPr>
      <w:r w:rsidRPr="00A3221E">
        <w:rPr>
          <w:noProof/>
          <w:lang w:eastAsia="en-US"/>
        </w:rPr>
        <w:pict>
          <v:rect id="Rectangle 29" o:spid="_x0000_s1028" style="position:absolute;margin-left:182.25pt;margin-top:560.7pt;width:250.5pt;height:40.5pt;z-index:251662336;visibility:visible" filled="f"/>
        </w:pict>
      </w:r>
      <w:r w:rsidR="00EE486F">
        <w:rPr>
          <w:rFonts w:ascii="Arial" w:eastAsia="Arial" w:hAnsi="Arial" w:cs="Arial"/>
          <w:b/>
          <w:bCs/>
          <w:sz w:val="20"/>
          <w:szCs w:val="20"/>
          <w:bdr w:val="nil"/>
          <w:lang w:val="es-ES"/>
        </w:rPr>
        <w:t>Exclusión de garantía:</w:t>
      </w:r>
      <w:r w:rsidR="00EE486F">
        <w:rPr>
          <w:rFonts w:ascii="Arial" w:eastAsia="Arial" w:hAnsi="Arial" w:cs="Arial"/>
          <w:sz w:val="20"/>
          <w:szCs w:val="20"/>
          <w:bdr w:val="nil"/>
          <w:lang w:val="es-ES"/>
        </w:rPr>
        <w:t xml:space="preserve"> Excepto si se específica algo distinto, todos los productos son exclusivamente para uso en investigación. No está destinado para su utilización en procedimientos terapéuticos o de diagnóstico. Select BioProducts no hace ninguna afirmación en relación con el rendimiento de estos productos para aplicaciones clínicas o de diagnóstico.</w:t>
      </w:r>
    </w:p>
    <w:p w:rsidR="00F85EBF" w:rsidRPr="00995025" w:rsidRDefault="00EE486F" w:rsidP="00D25B6A">
      <w:pPr>
        <w:ind w:left="7200" w:firstLine="720"/>
        <w:rPr>
          <w:rFonts w:ascii="Arial" w:hAnsi="Arial" w:cs="Arial"/>
          <w:sz w:val="20"/>
        </w:rPr>
      </w:pPr>
      <w:r>
        <w:rPr>
          <w:rFonts w:ascii="Arial" w:eastAsia="Arial" w:hAnsi="Arial" w:cs="Arial"/>
          <w:sz w:val="20"/>
          <w:szCs w:val="20"/>
          <w:bdr w:val="nil"/>
          <w:lang w:val="es-ES"/>
        </w:rPr>
        <w:t>9299450000</w:t>
      </w:r>
    </w:p>
    <w:sectPr w:rsidR="00F85EBF" w:rsidRPr="00995025" w:rsidSect="00082D29">
      <w:headerReference w:type="default" r:id="rId19"/>
      <w:pgSz w:w="12240" w:h="15840"/>
      <w:pgMar w:top="1296" w:right="1584" w:bottom="129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486F" w:rsidRDefault="00EE486F">
      <w:r>
        <w:separator/>
      </w:r>
    </w:p>
  </w:endnote>
  <w:endnote w:type="continuationSeparator" w:id="0">
    <w:p w:rsidR="00EE486F" w:rsidRDefault="00EE48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rningSans-Bold">
    <w:altName w:val="Corning Sans"/>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rningSans">
    <w:altName w:val="Corning Sans"/>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urostile">
    <w:altName w:val="Segoe Script"/>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AD7" w:rsidRPr="00D25B6A" w:rsidRDefault="00EE486F" w:rsidP="00426D84">
    <w:pPr>
      <w:tabs>
        <w:tab w:val="left" w:pos="7200"/>
      </w:tabs>
      <w:autoSpaceDE w:val="0"/>
      <w:autoSpaceDN w:val="0"/>
      <w:adjustRightInd w:val="0"/>
      <w:rPr>
        <w:rFonts w:ascii="Arial" w:hAnsi="Arial" w:cs="Arial"/>
        <w:b/>
        <w:bCs/>
        <w:sz w:val="18"/>
        <w:szCs w:val="18"/>
        <w:lang w:val="es-ES_tradnl"/>
      </w:rPr>
    </w:pPr>
    <w:r>
      <w:rPr>
        <w:rFonts w:ascii="Arial" w:eastAsia="Arial" w:hAnsi="Arial" w:cs="Arial"/>
        <w:b/>
        <w:bCs/>
        <w:sz w:val="18"/>
        <w:szCs w:val="18"/>
        <w:bdr w:val="nil"/>
        <w:lang w:val="es-ES"/>
      </w:rPr>
      <w:t xml:space="preserve">Lit M00071     </w:t>
    </w:r>
    <w:r>
      <w:rPr>
        <w:rFonts w:ascii="Arial" w:eastAsia="Arial" w:hAnsi="Arial" w:cs="Arial"/>
        <w:b/>
        <w:bCs/>
        <w:sz w:val="18"/>
        <w:szCs w:val="18"/>
        <w:bdr w:val="nil"/>
        <w:lang w:val="es-ES"/>
      </w:rPr>
      <w:tab/>
      <w:t>Rev. 2, Julio de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486F" w:rsidRDefault="00EE486F">
      <w:r>
        <w:separator/>
      </w:r>
    </w:p>
  </w:footnote>
  <w:footnote w:type="continuationSeparator" w:id="0">
    <w:p w:rsidR="00EE486F" w:rsidRDefault="00EE48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43C" w:rsidRDefault="00426CD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
  <w:rsids>
    <w:rsidRoot w:val="00C746A3"/>
    <w:rsid w:val="00426CD5"/>
    <w:rsid w:val="00A3221E"/>
    <w:rsid w:val="00C746A3"/>
    <w:rsid w:val="00D25B6A"/>
    <w:rsid w:val="00EE486F"/>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6E13"/>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85EB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F85EBF"/>
    <w:rPr>
      <w:color w:val="0000FF"/>
      <w:u w:val="single"/>
    </w:rPr>
  </w:style>
  <w:style w:type="paragraph" w:styleId="Header">
    <w:name w:val="header"/>
    <w:basedOn w:val="Normal"/>
    <w:rsid w:val="006F1E3C"/>
    <w:pPr>
      <w:tabs>
        <w:tab w:val="center" w:pos="4320"/>
        <w:tab w:val="right" w:pos="8640"/>
      </w:tabs>
    </w:pPr>
  </w:style>
  <w:style w:type="paragraph" w:styleId="Footer">
    <w:name w:val="footer"/>
    <w:basedOn w:val="Normal"/>
    <w:rsid w:val="006F1E3C"/>
    <w:pPr>
      <w:tabs>
        <w:tab w:val="center" w:pos="4320"/>
        <w:tab w:val="right" w:pos="8640"/>
      </w:tabs>
    </w:pPr>
  </w:style>
  <w:style w:type="paragraph" w:customStyle="1" w:styleId="AboutAHead">
    <w:name w:val="About.. A Head"/>
    <w:basedOn w:val="Normal"/>
    <w:uiPriority w:val="99"/>
    <w:rsid w:val="006B4F69"/>
    <w:pPr>
      <w:widowControl w:val="0"/>
      <w:autoSpaceDE w:val="0"/>
      <w:autoSpaceDN w:val="0"/>
      <w:adjustRightInd w:val="0"/>
      <w:spacing w:before="100" w:after="60" w:line="288" w:lineRule="auto"/>
    </w:pPr>
    <w:rPr>
      <w:rFonts w:ascii="CorningSans-Bold" w:eastAsia="Calibri" w:hAnsi="CorningSans-Bold" w:cs="CorningSans-Bold"/>
      <w:b/>
      <w:bCs/>
      <w:color w:val="000000"/>
      <w:sz w:val="17"/>
      <w:szCs w:val="17"/>
      <w:lang w:eastAsia="en-US"/>
    </w:rPr>
  </w:style>
  <w:style w:type="paragraph" w:customStyle="1" w:styleId="Aboutbody">
    <w:name w:val="About.. body"/>
    <w:basedOn w:val="Normal"/>
    <w:uiPriority w:val="99"/>
    <w:rsid w:val="006B4F69"/>
    <w:pPr>
      <w:widowControl w:val="0"/>
      <w:autoSpaceDE w:val="0"/>
      <w:autoSpaceDN w:val="0"/>
      <w:adjustRightInd w:val="0"/>
      <w:spacing w:after="60" w:line="180" w:lineRule="atLeast"/>
    </w:pPr>
    <w:rPr>
      <w:rFonts w:ascii="CorningSans" w:eastAsia="Calibri" w:hAnsi="CorningSans" w:cs="CorningSans"/>
      <w:color w:val="000000"/>
      <w:sz w:val="15"/>
      <w:szCs w:val="15"/>
      <w:lang w:eastAsia="en-US"/>
    </w:rPr>
  </w:style>
  <w:style w:type="paragraph" w:styleId="BalloonText">
    <w:name w:val="Balloon Text"/>
    <w:basedOn w:val="Normal"/>
    <w:link w:val="BalloonTextChar"/>
    <w:rsid w:val="00CA38B1"/>
    <w:rPr>
      <w:rFonts w:ascii="Tahoma" w:hAnsi="Tahoma" w:cs="Tahoma"/>
      <w:sz w:val="16"/>
      <w:szCs w:val="16"/>
    </w:rPr>
  </w:style>
  <w:style w:type="character" w:customStyle="1" w:styleId="BalloonTextChar">
    <w:name w:val="Balloon Text Char"/>
    <w:basedOn w:val="DefaultParagraphFont"/>
    <w:link w:val="BalloonText"/>
    <w:rsid w:val="00CA38B1"/>
    <w:rPr>
      <w:rFonts w:ascii="Tahoma" w:hAnsi="Tahoma" w:cs="Tahoma"/>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www.corning.com/weee" TargetMode="Externa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1257</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OPERATING INSTRUCTIONS FOR</vt:lpstr>
    </vt:vector>
  </TitlesOfParts>
  <Company>Labnet</Company>
  <LinksUpToDate>false</LinksUpToDate>
  <CharactersWithSpaces>8146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INSTRUCTIONS FOR</dc:title>
  <dc:creator>Pankow, Joan E</dc:creator>
  <cp:keywords>Non-Corning</cp:keywords>
  <cp:lastModifiedBy>nprutting</cp:lastModifiedBy>
  <cp:revision>12</cp:revision>
  <cp:lastPrinted>2016-07-18T15:42:00Z</cp:lastPrinted>
  <dcterms:created xsi:type="dcterms:W3CDTF">2016-08-09T16:37:00Z</dcterms:created>
  <dcterms:modified xsi:type="dcterms:W3CDTF">2016-10-27T21:29:00Z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TCode">
    <vt:lpwstr>NC</vt:lpwstr>
  </property>
  <property fmtid="{D5CDD505-2E9C-101B-9397-08002B2CF9AE}" pid="3" name="CORNINGClassification">
    <vt:lpwstr>Non-Corning</vt:lpwstr>
  </property>
  <property fmtid="{D5CDD505-2E9C-101B-9397-08002B2CF9AE}" pid="4" name="CorningConfigurationVersion">
    <vt:lpwstr>2.2</vt:lpwstr>
  </property>
  <property fmtid="{D5CDD505-2E9C-101B-9397-08002B2CF9AE}" pid="5" name="CorningFullClassification">
    <vt:lpwstr>Non-Corning</vt:lpwstr>
  </property>
  <property fmtid="{D5CDD505-2E9C-101B-9397-08002B2CF9AE}" pid="6" name="TitusGUID">
    <vt:lpwstr>021eb772-8152-4cb4-b9fa-cc881e5ea399</vt:lpwstr>
  </property>
</Properties>
</file>