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EA6" w:rsidRPr="009A07FF" w:rsidRDefault="00D22ED5" w:rsidP="00F43EA6">
      <w:pPr>
        <w:autoSpaceDE w:val="0"/>
        <w:autoSpaceDN w:val="0"/>
        <w:adjustRightInd w:val="0"/>
        <w:rPr>
          <w:rFonts w:ascii="Eurostile" w:hAnsi="Eurostile"/>
          <w:b/>
          <w:sz w:val="52"/>
          <w:szCs w:val="52"/>
          <w:lang w:val="de-DE"/>
        </w:rPr>
      </w:pPr>
      <w:r>
        <w:rPr>
          <w:rFonts w:ascii="Eurostile" w:hAnsi="Eurostile"/>
          <w:b/>
          <w:noProof/>
          <w:sz w:val="52"/>
          <w:szCs w:val="52"/>
          <w:lang w:eastAsia="en-US"/>
        </w:rPr>
        <w:pict>
          <v:line id="Line 29" o:spid="_x0000_s1036" style="position:absolute;z-index:251658240;visibility:visible" from="-37.45pt,35.85pt" to="474.05pt,35.85pt" strokeweight="3pt"/>
        </w:pict>
      </w:r>
      <w:r w:rsidR="008B6583">
        <w:rPr>
          <w:rFonts w:ascii="Eurostile" w:eastAsia="Eurostile" w:hAnsi="Eurostile" w:cs="Eurostile"/>
          <w:b/>
          <w:bCs/>
          <w:noProof/>
          <w:sz w:val="52"/>
          <w:szCs w:val="52"/>
          <w:bdr w:val="nil"/>
          <w:lang w:val="de-DE" w:eastAsia="en-US"/>
        </w:rPr>
        <w:t>SELECT VORTEXER</w:t>
      </w:r>
    </w:p>
    <w:p w:rsidR="00F43EA6" w:rsidRPr="009A07FF" w:rsidRDefault="00D22ED5" w:rsidP="00F43EA6">
      <w:pPr>
        <w:autoSpaceDE w:val="0"/>
        <w:autoSpaceDN w:val="0"/>
        <w:adjustRightInd w:val="0"/>
        <w:rPr>
          <w:rFonts w:ascii="Arial" w:hAnsi="Arial" w:cs="Arial"/>
          <w:b/>
          <w:bCs/>
          <w:sz w:val="32"/>
          <w:szCs w:val="32"/>
          <w:lang w:val="de-DE"/>
        </w:rPr>
      </w:pPr>
      <w:r w:rsidRPr="00D22ED5">
        <w:rPr>
          <w:rFonts w:ascii="Copperplate Gothic Light" w:hAnsi="Copperplate Gothic Light"/>
          <w:noProof/>
          <w:sz w:val="62"/>
          <w:lang w:eastAsia="en-US"/>
        </w:rPr>
        <w:pict>
          <v:line id="Line 30" o:spid="_x0000_s1026" style="position:absolute;z-index:251659264;visibility:visible" from="-37.45pt,2.6pt" to="474.05pt,2.6pt" strokecolor="#005a7c" strokeweight="3pt"/>
        </w:pict>
      </w:r>
      <w:r w:rsidR="008B6583">
        <w:rPr>
          <w:rFonts w:ascii="Eurostile" w:eastAsia="Eurostile" w:hAnsi="Eurostile" w:cs="Eurostile"/>
          <w:b/>
          <w:bCs/>
          <w:noProof/>
          <w:sz w:val="48"/>
          <w:szCs w:val="48"/>
          <w:bdr w:val="nil"/>
          <w:lang w:val="de-DE" w:eastAsia="en-US"/>
        </w:rPr>
        <w:t>Benutzerhandbuch</w:t>
      </w:r>
    </w:p>
    <w:p w:rsidR="00F43EA6" w:rsidRPr="009A07FF" w:rsidRDefault="003C728F"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F43EA6" w:rsidRPr="009A07FF" w:rsidRDefault="003C728F"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406239" w:rsidRPr="009A07FF" w:rsidRDefault="003C728F"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406239" w:rsidRPr="009A07FF" w:rsidRDefault="003C728F"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406239" w:rsidRPr="009A07FF" w:rsidRDefault="003C728F"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406239" w:rsidRPr="009A07FF" w:rsidRDefault="003C728F"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F43EA6" w:rsidRPr="009A07FF" w:rsidRDefault="008B6583"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r>
        <w:rPr>
          <w:noProof/>
          <w:lang w:eastAsia="zh-TW"/>
        </w:rPr>
        <w:drawing>
          <wp:anchor distT="0" distB="0" distL="114300" distR="114300" simplePos="0" relativeHeight="251660288" behindDoc="1" locked="0" layoutInCell="1" allowOverlap="1">
            <wp:simplePos x="0" y="0"/>
            <wp:positionH relativeFrom="column">
              <wp:posOffset>989330</wp:posOffset>
            </wp:positionH>
            <wp:positionV relativeFrom="paragraph">
              <wp:posOffset>116205</wp:posOffset>
            </wp:positionV>
            <wp:extent cx="3648075" cy="3324225"/>
            <wp:effectExtent l="0" t="0" r="9525" b="9525"/>
            <wp:wrapNone/>
            <wp:docPr id="48" name="Picture 48" descr="SBP Select Vortex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BP Select Vortexer "/>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648075" cy="3324225"/>
                    </a:xfrm>
                    <a:prstGeom prst="rect">
                      <a:avLst/>
                    </a:prstGeom>
                    <a:noFill/>
                    <a:ln>
                      <a:noFill/>
                    </a:ln>
                  </pic:spPr>
                </pic:pic>
              </a:graphicData>
            </a:graphic>
          </wp:anchor>
        </w:drawing>
      </w:r>
    </w:p>
    <w:p w:rsidR="00F43EA6" w:rsidRPr="009A07FF" w:rsidRDefault="003C728F"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BA7135" w:rsidRPr="009A07FF" w:rsidRDefault="003C728F"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BA7135" w:rsidRPr="009A07FF" w:rsidRDefault="003C728F"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BA7135" w:rsidRPr="009A07FF" w:rsidRDefault="003C728F"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BA7135" w:rsidRPr="009A07FF" w:rsidRDefault="003C728F"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BA7135" w:rsidRPr="009A07FF" w:rsidRDefault="003C728F"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BA7135" w:rsidRPr="009A07FF" w:rsidRDefault="003C728F"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BA7135" w:rsidRPr="009A07FF" w:rsidRDefault="003C728F"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BA7135" w:rsidRPr="009A07FF" w:rsidRDefault="003C728F"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BA7135" w:rsidRPr="009A07FF" w:rsidRDefault="003C728F"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BA7135" w:rsidRPr="009A07FF" w:rsidRDefault="003C728F"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BA7135" w:rsidRPr="009A07FF" w:rsidRDefault="003C728F"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BA7135" w:rsidRPr="009A07FF" w:rsidRDefault="003C728F"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BA7135" w:rsidRPr="009A07FF" w:rsidRDefault="003C728F"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BA7135" w:rsidRPr="009A07FF" w:rsidRDefault="003C728F" w:rsidP="00D427DE">
      <w:pPr>
        <w:autoSpaceDE w:val="0"/>
        <w:autoSpaceDN w:val="0"/>
        <w:adjustRightInd w:val="0"/>
        <w:spacing w:line="210" w:lineRule="atLeast"/>
        <w:rPr>
          <w:rFonts w:ascii="Arial" w:eastAsia="MS Mincho" w:hAnsi="Arial" w:cs="Arial"/>
          <w:b/>
          <w:bCs/>
          <w:lang w:val="de-DE" w:eastAsia="ja-JP"/>
        </w:rPr>
      </w:pPr>
    </w:p>
    <w:p w:rsidR="00B37B06" w:rsidRPr="009A07FF" w:rsidRDefault="003C728F" w:rsidP="00D427DE">
      <w:pPr>
        <w:autoSpaceDE w:val="0"/>
        <w:autoSpaceDN w:val="0"/>
        <w:adjustRightInd w:val="0"/>
        <w:spacing w:line="210" w:lineRule="atLeast"/>
        <w:rPr>
          <w:rFonts w:ascii="Arial" w:eastAsia="MS Mincho" w:hAnsi="Arial" w:cs="Arial"/>
          <w:b/>
          <w:bCs/>
          <w:sz w:val="18"/>
          <w:szCs w:val="18"/>
          <w:lang w:val="de-DE" w:eastAsia="ja-JP"/>
        </w:rPr>
      </w:pPr>
    </w:p>
    <w:p w:rsidR="00CF5CB4" w:rsidRPr="009A07FF" w:rsidRDefault="003C728F" w:rsidP="00D427DE">
      <w:pPr>
        <w:autoSpaceDE w:val="0"/>
        <w:autoSpaceDN w:val="0"/>
        <w:adjustRightInd w:val="0"/>
        <w:spacing w:line="210" w:lineRule="atLeast"/>
        <w:rPr>
          <w:rFonts w:ascii="Arial" w:eastAsia="MS Mincho" w:hAnsi="Arial" w:cs="Arial"/>
          <w:b/>
          <w:bCs/>
          <w:sz w:val="18"/>
          <w:szCs w:val="18"/>
          <w:lang w:val="de-DE" w:eastAsia="ja-JP"/>
        </w:rPr>
      </w:pPr>
    </w:p>
    <w:p w:rsidR="00CF5CB4" w:rsidRPr="009A07FF" w:rsidRDefault="003C728F" w:rsidP="00D427DE">
      <w:pPr>
        <w:autoSpaceDE w:val="0"/>
        <w:autoSpaceDN w:val="0"/>
        <w:adjustRightInd w:val="0"/>
        <w:spacing w:line="210" w:lineRule="atLeast"/>
        <w:rPr>
          <w:rFonts w:ascii="Arial" w:eastAsia="MS Mincho" w:hAnsi="Arial" w:cs="Arial"/>
          <w:b/>
          <w:bCs/>
          <w:sz w:val="18"/>
          <w:szCs w:val="18"/>
          <w:lang w:val="de-DE" w:eastAsia="ja-JP"/>
        </w:rPr>
      </w:pPr>
    </w:p>
    <w:p w:rsidR="00CF5CB4" w:rsidRPr="009A07FF" w:rsidRDefault="003C728F" w:rsidP="00D427DE">
      <w:pPr>
        <w:autoSpaceDE w:val="0"/>
        <w:autoSpaceDN w:val="0"/>
        <w:adjustRightInd w:val="0"/>
        <w:spacing w:line="210" w:lineRule="atLeast"/>
        <w:rPr>
          <w:rFonts w:ascii="Arial" w:eastAsia="MS Mincho" w:hAnsi="Arial" w:cs="Arial"/>
          <w:b/>
          <w:bCs/>
          <w:sz w:val="18"/>
          <w:szCs w:val="18"/>
          <w:lang w:val="de-DE" w:eastAsia="ja-JP"/>
        </w:rPr>
      </w:pPr>
    </w:p>
    <w:p w:rsidR="00CF5CB4" w:rsidRPr="009A07FF" w:rsidRDefault="003C728F" w:rsidP="00D427DE">
      <w:pPr>
        <w:autoSpaceDE w:val="0"/>
        <w:autoSpaceDN w:val="0"/>
        <w:adjustRightInd w:val="0"/>
        <w:spacing w:line="210" w:lineRule="atLeast"/>
        <w:rPr>
          <w:rFonts w:ascii="Arial" w:eastAsia="MS Mincho" w:hAnsi="Arial" w:cs="Arial"/>
          <w:b/>
          <w:bCs/>
          <w:sz w:val="18"/>
          <w:szCs w:val="18"/>
          <w:lang w:val="de-DE" w:eastAsia="ja-JP"/>
        </w:rPr>
      </w:pPr>
    </w:p>
    <w:p w:rsidR="00CE6F5C" w:rsidRPr="009A07FF" w:rsidRDefault="008B6583" w:rsidP="00CE6F5C">
      <w:pPr>
        <w:autoSpaceDE w:val="0"/>
        <w:autoSpaceDN w:val="0"/>
        <w:adjustRightInd w:val="0"/>
        <w:jc w:val="center"/>
        <w:rPr>
          <w:rFonts w:ascii="Arial" w:hAnsi="Arial" w:cs="Arial"/>
          <w:b/>
          <w:bCs/>
          <w:sz w:val="32"/>
          <w:szCs w:val="32"/>
          <w:lang w:val="de-DE"/>
        </w:rPr>
      </w:pPr>
      <w:r>
        <w:rPr>
          <w:rFonts w:ascii="Arial" w:eastAsia="Arial" w:hAnsi="Arial" w:cs="Arial"/>
          <w:b/>
          <w:bCs/>
          <w:sz w:val="32"/>
          <w:szCs w:val="32"/>
          <w:bdr w:val="nil"/>
          <w:lang w:val="de-DE"/>
        </w:rPr>
        <w:t>SBS100</w:t>
      </w:r>
    </w:p>
    <w:p w:rsidR="00CE6F5C" w:rsidRPr="009A07FF" w:rsidRDefault="008B6583" w:rsidP="00CE6F5C">
      <w:pPr>
        <w:autoSpaceDE w:val="0"/>
        <w:autoSpaceDN w:val="0"/>
        <w:adjustRightInd w:val="0"/>
        <w:jc w:val="center"/>
        <w:rPr>
          <w:rFonts w:ascii="Arial" w:hAnsi="Arial" w:cs="Arial"/>
          <w:b/>
          <w:bCs/>
          <w:sz w:val="32"/>
          <w:szCs w:val="32"/>
          <w:lang w:val="de-DE"/>
        </w:rPr>
      </w:pPr>
      <w:r>
        <w:rPr>
          <w:rFonts w:ascii="Arial" w:eastAsia="Arial" w:hAnsi="Arial" w:cs="Arial"/>
          <w:b/>
          <w:bCs/>
          <w:sz w:val="32"/>
          <w:szCs w:val="32"/>
          <w:bdr w:val="nil"/>
          <w:lang w:val="de-DE"/>
        </w:rPr>
        <w:t>SBS100-2</w:t>
      </w:r>
    </w:p>
    <w:p w:rsidR="00CE6F5C" w:rsidRPr="00CC1FE0" w:rsidRDefault="008B6583" w:rsidP="00CE6F5C">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de-DE"/>
        </w:rPr>
        <w:t>SBS100-2</w:t>
      </w:r>
    </w:p>
    <w:p w:rsidR="00CF5CB4" w:rsidRDefault="003C728F" w:rsidP="00D427DE">
      <w:pPr>
        <w:autoSpaceDE w:val="0"/>
        <w:autoSpaceDN w:val="0"/>
        <w:adjustRightInd w:val="0"/>
        <w:spacing w:line="210" w:lineRule="atLeast"/>
        <w:rPr>
          <w:rFonts w:ascii="Arial" w:eastAsia="MS Mincho" w:hAnsi="Arial" w:cs="Arial"/>
          <w:b/>
          <w:bCs/>
          <w:sz w:val="18"/>
          <w:szCs w:val="18"/>
          <w:lang w:eastAsia="ja-JP"/>
        </w:rPr>
      </w:pPr>
    </w:p>
    <w:p w:rsidR="00CF5CB4" w:rsidRDefault="003C728F" w:rsidP="00D427DE">
      <w:pPr>
        <w:autoSpaceDE w:val="0"/>
        <w:autoSpaceDN w:val="0"/>
        <w:adjustRightInd w:val="0"/>
        <w:spacing w:line="210" w:lineRule="atLeast"/>
        <w:rPr>
          <w:rFonts w:ascii="Arial" w:eastAsia="MS Mincho" w:hAnsi="Arial" w:cs="Arial"/>
          <w:b/>
          <w:bCs/>
          <w:sz w:val="18"/>
          <w:szCs w:val="18"/>
          <w:lang w:eastAsia="ja-JP"/>
        </w:rPr>
      </w:pPr>
    </w:p>
    <w:p w:rsidR="00CF5CB4" w:rsidRDefault="003C728F" w:rsidP="00D427DE">
      <w:pPr>
        <w:autoSpaceDE w:val="0"/>
        <w:autoSpaceDN w:val="0"/>
        <w:adjustRightInd w:val="0"/>
        <w:spacing w:line="210" w:lineRule="atLeast"/>
        <w:rPr>
          <w:rFonts w:ascii="Arial" w:eastAsia="MS Mincho" w:hAnsi="Arial" w:cs="Arial"/>
          <w:b/>
          <w:bCs/>
          <w:sz w:val="18"/>
          <w:szCs w:val="18"/>
          <w:lang w:eastAsia="ja-JP"/>
        </w:rPr>
      </w:pPr>
    </w:p>
    <w:p w:rsidR="00CF5CB4" w:rsidRDefault="003C728F" w:rsidP="00D427DE">
      <w:pPr>
        <w:autoSpaceDE w:val="0"/>
        <w:autoSpaceDN w:val="0"/>
        <w:adjustRightInd w:val="0"/>
        <w:spacing w:line="210" w:lineRule="atLeast"/>
        <w:rPr>
          <w:rFonts w:ascii="Arial" w:eastAsia="MS Mincho" w:hAnsi="Arial" w:cs="Arial"/>
          <w:b/>
          <w:bCs/>
          <w:sz w:val="18"/>
          <w:szCs w:val="18"/>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4428"/>
      </w:tblGrid>
      <w:tr w:rsidR="00BA3544" w:rsidTr="00CE6F5C">
        <w:tc>
          <w:tcPr>
            <w:tcW w:w="4428" w:type="dxa"/>
          </w:tcPr>
          <w:p w:rsidR="00CE6F5C" w:rsidRDefault="00D22ED5" w:rsidP="00D427DE">
            <w:pPr>
              <w:autoSpaceDE w:val="0"/>
              <w:autoSpaceDN w:val="0"/>
              <w:adjustRightInd w:val="0"/>
              <w:spacing w:line="210" w:lineRule="atLeast"/>
              <w:rPr>
                <w:rFonts w:ascii="Arial" w:eastAsia="MS Mincho" w:hAnsi="Arial" w:cs="Arial"/>
                <w:b/>
                <w:bCs/>
                <w:sz w:val="18"/>
                <w:szCs w:val="18"/>
                <w:lang w:eastAsia="ja-JP"/>
              </w:rPr>
            </w:pPr>
            <w:r>
              <w:rPr>
                <w:rFonts w:ascii="Arial" w:eastAsia="MS Mincho" w:hAnsi="Arial" w:cs="Arial"/>
                <w:b/>
                <w:bCs/>
                <w:sz w:val="18"/>
                <w:szCs w:val="18"/>
                <w:lang w:eastAsia="ja-JP"/>
              </w:rPr>
            </w:r>
            <w:r>
              <w:rPr>
                <w:rFonts w:ascii="Arial" w:eastAsia="MS Mincho" w:hAnsi="Arial" w:cs="Arial"/>
                <w:b/>
                <w:bCs/>
                <w:sz w:val="18"/>
                <w:szCs w:val="18"/>
                <w:lang w:eastAsia="ja-JP"/>
              </w:rPr>
              <w:pict>
                <v:group id="Group 64" o:spid="_x0000_s1027" style="width:125.5pt;height:39.4pt;mso-position-horizontal-relative:char;mso-position-vertical-relative:line" coordorigin="1854,14011" coordsize="2510,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28" type="#_x0000_t75" alt="CE" style="position:absolute;left:1854;top:14051;width:563;height:399;visibility:visible">
                    <v:imagedata r:id="rId10" o:title="CE"/>
                  </v:shape>
                  <v:shape id="Picture 66" o:spid="_x0000_s1029" type="#_x0000_t75" alt="RoHS100" style="position:absolute;left:2556;top:14051;width:412;height:387;visibility:visible">
                    <v:imagedata r:id="rId11" o:title="RoHS100"/>
                  </v:shape>
                  <v:shape id="Picture 67" o:spid="_x0000_s1030" type="#_x0000_t75" alt="ETL" style="position:absolute;left:3711;top:14071;width:653;height:507;visibility:visible">
                    <v:imagedata r:id="rId12" o:title="ETL"/>
                  </v:shape>
                  <v:shape id="Picture 68" o:spid="_x0000_s1031" type="#_x0000_t75" alt="ETL EU" style="position:absolute;left:2928;top:14011;width:788;height:788;visibility:visible">
                    <v:imagedata r:id="rId13" o:title="ETL EU"/>
                  </v:shape>
                  <w10:wrap type="none"/>
                  <w10:anchorlock/>
                </v:group>
              </w:pict>
            </w:r>
          </w:p>
        </w:tc>
        <w:tc>
          <w:tcPr>
            <w:tcW w:w="4428" w:type="dxa"/>
          </w:tcPr>
          <w:p w:rsidR="00CE6F5C" w:rsidRDefault="008B6583" w:rsidP="00CE6F5C">
            <w:pPr>
              <w:autoSpaceDE w:val="0"/>
              <w:autoSpaceDN w:val="0"/>
              <w:adjustRightInd w:val="0"/>
              <w:spacing w:line="210" w:lineRule="atLeast"/>
              <w:jc w:val="right"/>
              <w:rPr>
                <w:rFonts w:ascii="Arial" w:eastAsia="MS Mincho" w:hAnsi="Arial" w:cs="Arial"/>
                <w:b/>
                <w:bCs/>
                <w:sz w:val="18"/>
                <w:szCs w:val="18"/>
                <w:lang w:eastAsia="ja-JP"/>
              </w:rPr>
            </w:pPr>
            <w:r w:rsidRPr="00CE6F5C">
              <w:rPr>
                <w:rFonts w:ascii="Arial" w:eastAsia="MS Mincho" w:hAnsi="Arial" w:cs="Arial"/>
                <w:b/>
                <w:bCs/>
                <w:noProof/>
                <w:sz w:val="18"/>
                <w:szCs w:val="18"/>
                <w:lang w:eastAsia="zh-TW"/>
              </w:rPr>
              <w:drawing>
                <wp:inline distT="0" distB="0" distL="0" distR="0">
                  <wp:extent cx="1701800" cy="685800"/>
                  <wp:effectExtent l="19050" t="0" r="0" b="0"/>
                  <wp:docPr id="4" name="Picture 49"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lectBio Logo copy"/>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701800" cy="685800"/>
                          </a:xfrm>
                          <a:prstGeom prst="rect">
                            <a:avLst/>
                          </a:prstGeom>
                          <a:noFill/>
                          <a:ln>
                            <a:noFill/>
                          </a:ln>
                        </pic:spPr>
                      </pic:pic>
                    </a:graphicData>
                  </a:graphic>
                </wp:inline>
              </w:drawing>
            </w:r>
          </w:p>
        </w:tc>
      </w:tr>
    </w:tbl>
    <w:p w:rsidR="00CF5CB4" w:rsidRDefault="003C728F" w:rsidP="00D427DE">
      <w:pPr>
        <w:autoSpaceDE w:val="0"/>
        <w:autoSpaceDN w:val="0"/>
        <w:adjustRightInd w:val="0"/>
        <w:spacing w:line="210" w:lineRule="atLeast"/>
        <w:rPr>
          <w:rFonts w:ascii="Arial" w:eastAsia="MS Mincho" w:hAnsi="Arial" w:cs="Arial"/>
          <w:b/>
          <w:bCs/>
          <w:sz w:val="18"/>
          <w:szCs w:val="18"/>
          <w:lang w:eastAsia="ja-JP"/>
        </w:rPr>
      </w:pPr>
    </w:p>
    <w:p w:rsidR="00C6065E" w:rsidRDefault="008B6583">
      <w:pPr>
        <w:rPr>
          <w:rFonts w:ascii="Arial" w:eastAsia="MS Mincho" w:hAnsi="Arial" w:cs="Arial"/>
          <w:b/>
          <w:bCs/>
          <w:sz w:val="18"/>
          <w:szCs w:val="18"/>
          <w:lang w:eastAsia="ja-JP"/>
        </w:rPr>
      </w:pPr>
      <w:r>
        <w:rPr>
          <w:rFonts w:ascii="Arial" w:eastAsia="MS Mincho" w:hAnsi="Arial" w:cs="Arial"/>
          <w:b/>
          <w:bCs/>
          <w:sz w:val="18"/>
          <w:szCs w:val="18"/>
          <w:lang w:eastAsia="ja-JP"/>
        </w:rPr>
        <w:br w:type="page"/>
      </w:r>
    </w:p>
    <w:p w:rsidR="00CF5CB4" w:rsidRDefault="003C728F" w:rsidP="00D427DE">
      <w:pPr>
        <w:autoSpaceDE w:val="0"/>
        <w:autoSpaceDN w:val="0"/>
        <w:adjustRightInd w:val="0"/>
        <w:spacing w:line="210" w:lineRule="atLeast"/>
        <w:rPr>
          <w:rFonts w:ascii="Arial" w:eastAsia="MS Mincho" w:hAnsi="Arial" w:cs="Arial"/>
          <w:b/>
          <w:bCs/>
          <w:sz w:val="18"/>
          <w:szCs w:val="18"/>
          <w:lang w:eastAsia="ja-JP"/>
        </w:rPr>
      </w:pPr>
    </w:p>
    <w:p w:rsidR="00CF5CB4" w:rsidRDefault="003C728F" w:rsidP="00D427DE">
      <w:pPr>
        <w:autoSpaceDE w:val="0"/>
        <w:autoSpaceDN w:val="0"/>
        <w:adjustRightInd w:val="0"/>
        <w:spacing w:line="210" w:lineRule="atLeast"/>
        <w:rPr>
          <w:rFonts w:ascii="Arial" w:eastAsia="MS Mincho" w:hAnsi="Arial" w:cs="Arial"/>
          <w:b/>
          <w:bCs/>
          <w:sz w:val="18"/>
          <w:szCs w:val="18"/>
          <w:lang w:eastAsia="ja-JP"/>
        </w:rPr>
      </w:pPr>
    </w:p>
    <w:p w:rsidR="00CF5CB4" w:rsidRDefault="003C728F" w:rsidP="00D427DE">
      <w:pPr>
        <w:autoSpaceDE w:val="0"/>
        <w:autoSpaceDN w:val="0"/>
        <w:adjustRightInd w:val="0"/>
        <w:spacing w:line="210" w:lineRule="atLeast"/>
        <w:rPr>
          <w:rFonts w:ascii="Arial" w:eastAsia="MS Mincho" w:hAnsi="Arial" w:cs="Arial"/>
          <w:b/>
          <w:bCs/>
          <w:sz w:val="18"/>
          <w:szCs w:val="18"/>
          <w:lang w:eastAsia="ja-JP"/>
        </w:rPr>
      </w:pPr>
    </w:p>
    <w:p w:rsidR="00CF5CB4" w:rsidRDefault="003C728F" w:rsidP="00D427DE">
      <w:pPr>
        <w:autoSpaceDE w:val="0"/>
        <w:autoSpaceDN w:val="0"/>
        <w:adjustRightInd w:val="0"/>
        <w:spacing w:line="210" w:lineRule="atLeast"/>
        <w:rPr>
          <w:rFonts w:ascii="Arial" w:eastAsia="MS Mincho" w:hAnsi="Arial" w:cs="Arial"/>
          <w:b/>
          <w:bCs/>
          <w:sz w:val="18"/>
          <w:szCs w:val="18"/>
          <w:lang w:eastAsia="ja-JP"/>
        </w:rPr>
      </w:pPr>
    </w:p>
    <w:p w:rsidR="00CF5CB4" w:rsidRDefault="003C728F" w:rsidP="00D427DE">
      <w:pPr>
        <w:autoSpaceDE w:val="0"/>
        <w:autoSpaceDN w:val="0"/>
        <w:adjustRightInd w:val="0"/>
        <w:spacing w:line="210" w:lineRule="atLeast"/>
        <w:rPr>
          <w:rFonts w:ascii="Arial" w:eastAsia="MS Mincho" w:hAnsi="Arial" w:cs="Arial"/>
          <w:b/>
          <w:bCs/>
          <w:sz w:val="18"/>
          <w:szCs w:val="18"/>
          <w:lang w:eastAsia="ja-JP"/>
        </w:rPr>
      </w:pPr>
    </w:p>
    <w:p w:rsidR="006B4C45" w:rsidRDefault="003C728F" w:rsidP="00D427DE">
      <w:pPr>
        <w:autoSpaceDE w:val="0"/>
        <w:autoSpaceDN w:val="0"/>
        <w:adjustRightInd w:val="0"/>
        <w:spacing w:line="210" w:lineRule="atLeast"/>
        <w:rPr>
          <w:rFonts w:ascii="Arial" w:eastAsia="MS Mincho" w:hAnsi="Arial" w:cs="Arial"/>
          <w:b/>
          <w:bCs/>
          <w:lang w:eastAsia="ja-JP"/>
        </w:rPr>
      </w:pPr>
    </w:p>
    <w:p w:rsidR="00C26C62" w:rsidRDefault="003C728F" w:rsidP="00CF5CB4">
      <w:pPr>
        <w:autoSpaceDE w:val="0"/>
        <w:autoSpaceDN w:val="0"/>
        <w:adjustRightInd w:val="0"/>
        <w:spacing w:after="58" w:line="252" w:lineRule="atLeast"/>
        <w:jc w:val="both"/>
        <w:rPr>
          <w:rFonts w:ascii="Arial" w:hAnsi="Arial" w:cs="Arial"/>
          <w:b/>
          <w:bCs/>
          <w:sz w:val="20"/>
          <w:szCs w:val="20"/>
        </w:rPr>
      </w:pPr>
    </w:p>
    <w:p w:rsidR="00C26C62" w:rsidRDefault="003C728F" w:rsidP="00CF5CB4">
      <w:pPr>
        <w:autoSpaceDE w:val="0"/>
        <w:autoSpaceDN w:val="0"/>
        <w:adjustRightInd w:val="0"/>
        <w:spacing w:after="58" w:line="252" w:lineRule="atLeast"/>
        <w:jc w:val="both"/>
        <w:rPr>
          <w:rFonts w:ascii="Arial" w:hAnsi="Arial" w:cs="Arial"/>
          <w:b/>
          <w:bCs/>
          <w:sz w:val="20"/>
          <w:szCs w:val="20"/>
        </w:rPr>
      </w:pPr>
    </w:p>
    <w:p w:rsidR="00C26C62" w:rsidRDefault="003C728F" w:rsidP="00CF5CB4">
      <w:pPr>
        <w:autoSpaceDE w:val="0"/>
        <w:autoSpaceDN w:val="0"/>
        <w:adjustRightInd w:val="0"/>
        <w:spacing w:after="58" w:line="252" w:lineRule="atLeast"/>
        <w:jc w:val="both"/>
        <w:rPr>
          <w:rFonts w:ascii="Arial" w:hAnsi="Arial" w:cs="Arial"/>
          <w:b/>
          <w:bCs/>
          <w:sz w:val="20"/>
          <w:szCs w:val="20"/>
        </w:rPr>
      </w:pPr>
    </w:p>
    <w:p w:rsidR="00C26C62" w:rsidRDefault="003C728F" w:rsidP="00CF5CB4">
      <w:pPr>
        <w:autoSpaceDE w:val="0"/>
        <w:autoSpaceDN w:val="0"/>
        <w:adjustRightInd w:val="0"/>
        <w:spacing w:after="58" w:line="252" w:lineRule="atLeast"/>
        <w:jc w:val="both"/>
        <w:rPr>
          <w:rFonts w:ascii="Arial" w:hAnsi="Arial" w:cs="Arial"/>
          <w:b/>
          <w:bCs/>
          <w:sz w:val="20"/>
          <w:szCs w:val="20"/>
        </w:rPr>
      </w:pPr>
    </w:p>
    <w:p w:rsidR="00C26C62" w:rsidRDefault="003C728F" w:rsidP="00CF5CB4">
      <w:pPr>
        <w:autoSpaceDE w:val="0"/>
        <w:autoSpaceDN w:val="0"/>
        <w:adjustRightInd w:val="0"/>
        <w:spacing w:after="58" w:line="252" w:lineRule="atLeast"/>
        <w:jc w:val="both"/>
        <w:rPr>
          <w:rFonts w:ascii="Arial" w:hAnsi="Arial" w:cs="Arial"/>
          <w:b/>
          <w:bCs/>
          <w:sz w:val="20"/>
          <w:szCs w:val="20"/>
        </w:rPr>
      </w:pPr>
    </w:p>
    <w:p w:rsidR="00C26C62" w:rsidRDefault="003C728F" w:rsidP="00CF5CB4">
      <w:pPr>
        <w:autoSpaceDE w:val="0"/>
        <w:autoSpaceDN w:val="0"/>
        <w:adjustRightInd w:val="0"/>
        <w:spacing w:after="58" w:line="252" w:lineRule="atLeast"/>
        <w:jc w:val="both"/>
        <w:rPr>
          <w:rFonts w:ascii="Arial" w:hAnsi="Arial" w:cs="Arial"/>
          <w:b/>
          <w:bCs/>
          <w:sz w:val="20"/>
          <w:szCs w:val="20"/>
        </w:rPr>
      </w:pPr>
    </w:p>
    <w:tbl>
      <w:tblPr>
        <w:tblStyle w:val="TableGrid"/>
        <w:tblW w:w="0" w:type="auto"/>
        <w:tblLook w:val="04A0"/>
      </w:tblPr>
      <w:tblGrid>
        <w:gridCol w:w="8856"/>
      </w:tblGrid>
      <w:tr w:rsidR="00BA3544" w:rsidRPr="003C728F" w:rsidTr="00C6065E">
        <w:tc>
          <w:tcPr>
            <w:tcW w:w="8856" w:type="dxa"/>
          </w:tcPr>
          <w:p w:rsidR="00C6065E" w:rsidRPr="009A07FF" w:rsidRDefault="008B6583" w:rsidP="00C6065E">
            <w:pPr>
              <w:pStyle w:val="AboutAHead"/>
              <w:rPr>
                <w:rFonts w:ascii="Arial" w:hAnsi="Arial" w:cs="Arial"/>
                <w:lang w:val="de-DE"/>
              </w:rPr>
            </w:pPr>
            <w:r>
              <w:rPr>
                <w:rFonts w:ascii="Arial" w:eastAsia="Arial" w:hAnsi="Arial" w:cs="Arial"/>
                <w:sz w:val="24"/>
                <w:szCs w:val="24"/>
                <w:bdr w:val="nil"/>
                <w:lang w:val="de-DE"/>
              </w:rPr>
              <w:t>Über dieses Handbuch</w:t>
            </w:r>
          </w:p>
          <w:p w:rsidR="00C6065E" w:rsidRPr="009A07FF" w:rsidRDefault="008B6583" w:rsidP="00C6065E">
            <w:pPr>
              <w:pStyle w:val="Aboutbody"/>
              <w:rPr>
                <w:rFonts w:ascii="Arial" w:hAnsi="Arial" w:cs="Arial"/>
                <w:sz w:val="22"/>
                <w:lang w:val="de-DE"/>
              </w:rPr>
            </w:pPr>
            <w:r>
              <w:rPr>
                <w:rFonts w:ascii="Arial" w:eastAsia="Arial" w:hAnsi="Arial" w:cs="Arial"/>
                <w:sz w:val="22"/>
                <w:szCs w:val="22"/>
                <w:bdr w:val="nil"/>
                <w:lang w:val="de-DE"/>
              </w:rPr>
              <w:t xml:space="preserve">Dieses Handbuch soll Ihnen bei der optimalen Verwendung Ihres Select Vortexmischers behilflich sein. Das Handbuch ist auf Englisch, Französisch, Deutsch, Italienisch, Portugiesisch und Spanisch auf unserer Website unter </w:t>
            </w:r>
            <w:r>
              <w:rPr>
                <w:rFonts w:ascii="Arial" w:eastAsia="Arial" w:hAnsi="Arial" w:cs="Arial"/>
                <w:b/>
                <w:bCs/>
                <w:sz w:val="22"/>
                <w:szCs w:val="22"/>
                <w:bdr w:val="nil"/>
                <w:lang w:val="de-DE"/>
              </w:rPr>
              <w:t>www.selectbioproducts.com.</w:t>
            </w:r>
            <w:r>
              <w:rPr>
                <w:rFonts w:ascii="Arial" w:eastAsia="Arial" w:hAnsi="Arial" w:cs="Arial"/>
                <w:color w:val="auto"/>
                <w:sz w:val="22"/>
                <w:szCs w:val="22"/>
                <w:bdr w:val="nil"/>
                <w:lang w:val="de-DE"/>
              </w:rPr>
              <w:t xml:space="preserve"> verfügbar</w:t>
            </w:r>
          </w:p>
        </w:tc>
      </w:tr>
    </w:tbl>
    <w:p w:rsidR="00C6065E" w:rsidRPr="009A07FF" w:rsidRDefault="003C728F" w:rsidP="00CF5CB4">
      <w:pPr>
        <w:autoSpaceDE w:val="0"/>
        <w:autoSpaceDN w:val="0"/>
        <w:adjustRightInd w:val="0"/>
        <w:spacing w:after="58" w:line="252" w:lineRule="atLeast"/>
        <w:jc w:val="both"/>
        <w:rPr>
          <w:rFonts w:ascii="Arial" w:hAnsi="Arial" w:cs="Arial"/>
          <w:b/>
          <w:bCs/>
          <w:sz w:val="20"/>
          <w:szCs w:val="20"/>
          <w:lang w:val="de-DE"/>
        </w:rPr>
      </w:pPr>
    </w:p>
    <w:p w:rsidR="00C6065E" w:rsidRPr="009A07FF" w:rsidRDefault="008B6583">
      <w:pPr>
        <w:rPr>
          <w:rFonts w:ascii="Arial" w:hAnsi="Arial" w:cs="Arial"/>
          <w:b/>
          <w:bCs/>
          <w:sz w:val="20"/>
          <w:szCs w:val="20"/>
          <w:lang w:val="de-DE"/>
        </w:rPr>
      </w:pPr>
      <w:r w:rsidRPr="009A07FF">
        <w:rPr>
          <w:rFonts w:ascii="Arial" w:hAnsi="Arial" w:cs="Arial"/>
          <w:b/>
          <w:bCs/>
          <w:sz w:val="20"/>
          <w:szCs w:val="20"/>
          <w:lang w:val="de-DE"/>
        </w:rPr>
        <w:br w:type="page"/>
      </w:r>
    </w:p>
    <w:p w:rsidR="00CF5CB4" w:rsidRPr="009A07FF" w:rsidRDefault="008B6583" w:rsidP="003C728F">
      <w:pPr>
        <w:autoSpaceDE w:val="0"/>
        <w:autoSpaceDN w:val="0"/>
        <w:adjustRightInd w:val="0"/>
        <w:spacing w:line="252" w:lineRule="atLeast"/>
        <w:jc w:val="both"/>
        <w:rPr>
          <w:rFonts w:ascii="Arial" w:hAnsi="Arial" w:cs="Arial"/>
          <w:sz w:val="20"/>
          <w:szCs w:val="20"/>
          <w:lang w:val="de-DE"/>
        </w:rPr>
      </w:pPr>
      <w:r>
        <w:rPr>
          <w:rFonts w:ascii="Arial" w:eastAsia="Arial" w:hAnsi="Arial" w:cs="Arial"/>
          <w:b/>
          <w:bCs/>
          <w:sz w:val="20"/>
          <w:szCs w:val="20"/>
          <w:bdr w:val="nil"/>
          <w:lang w:val="de-DE"/>
        </w:rPr>
        <w:lastRenderedPageBreak/>
        <w:t>Einführung</w:t>
      </w:r>
    </w:p>
    <w:p w:rsidR="00CF5CB4" w:rsidRPr="009A07FF" w:rsidRDefault="008B6583" w:rsidP="003C728F">
      <w:pPr>
        <w:autoSpaceDE w:val="0"/>
        <w:autoSpaceDN w:val="0"/>
        <w:adjustRightInd w:val="0"/>
        <w:spacing w:after="20" w:line="252" w:lineRule="atLeast"/>
        <w:jc w:val="both"/>
        <w:rPr>
          <w:rFonts w:ascii="Arial" w:hAnsi="Arial" w:cs="Arial"/>
          <w:sz w:val="20"/>
          <w:szCs w:val="20"/>
          <w:lang w:val="de-DE"/>
        </w:rPr>
      </w:pPr>
      <w:r>
        <w:rPr>
          <w:rFonts w:ascii="Arial" w:eastAsia="Arial" w:hAnsi="Arial" w:cs="Arial"/>
          <w:sz w:val="20"/>
          <w:szCs w:val="20"/>
          <w:bdr w:val="nil"/>
          <w:lang w:val="de-DE"/>
        </w:rPr>
        <w:t>Der Select BioProducts Select-Vortexer ist ein Labor-Vortexer für allgemeine Zwecke.  Die Mischgeschwindigkeit ist bis auf 3.400 rpm einstellbar.  Ein Schalter mit drei Positionen ermöglicht, dass der Mischer im Dauerbetrieb oder mittels Aktivierung bei Berührung betrieben werden kann.  Der Schüttelmechanismus wurde speziell entwickelt, um eine verbesserte Stabilität bei unterschiedlichen Beladungen zu ermöglichen.  Die Metallbasisplatte und die Gummifüße sorgen für zusätzliche Stabilität und verhindern, dass die Einheit über den Tisch „wandert“, selbst bei der Maximalgeschwindigkeit.</w:t>
      </w:r>
    </w:p>
    <w:p w:rsidR="00CF5CB4" w:rsidRPr="009A07FF" w:rsidRDefault="008B6583" w:rsidP="003C728F">
      <w:pPr>
        <w:autoSpaceDE w:val="0"/>
        <w:autoSpaceDN w:val="0"/>
        <w:adjustRightInd w:val="0"/>
        <w:spacing w:after="20" w:line="252" w:lineRule="atLeast"/>
        <w:jc w:val="both"/>
        <w:rPr>
          <w:rFonts w:ascii="Arial" w:hAnsi="Arial" w:cs="Arial"/>
          <w:sz w:val="20"/>
          <w:szCs w:val="20"/>
          <w:lang w:val="de-DE"/>
        </w:rPr>
      </w:pPr>
      <w:r>
        <w:rPr>
          <w:rFonts w:ascii="Arial" w:eastAsia="Arial" w:hAnsi="Arial" w:cs="Arial"/>
          <w:sz w:val="20"/>
          <w:szCs w:val="20"/>
          <w:bdr w:val="nil"/>
          <w:lang w:val="de-DE"/>
        </w:rPr>
        <w:t>Lesen Sie dieses Handbuch sorgfältig, bevor Sie den Vortexmischer bedienen wollen.  Alle Personen, die diesen Teil der Ausrüstung bedienen, sollten den Abschnitt Sicherheitsvorkehrungen in diesem Handbuch lesen.</w:t>
      </w:r>
    </w:p>
    <w:p w:rsidR="00CF5CB4" w:rsidRPr="009A07FF" w:rsidRDefault="008B6583" w:rsidP="00CF5CB4">
      <w:pPr>
        <w:autoSpaceDE w:val="0"/>
        <w:autoSpaceDN w:val="0"/>
        <w:adjustRightInd w:val="0"/>
        <w:jc w:val="both"/>
        <w:rPr>
          <w:rFonts w:ascii="Arial" w:hAnsi="Arial" w:cs="Arial"/>
          <w:sz w:val="20"/>
          <w:szCs w:val="20"/>
          <w:lang w:val="de-DE"/>
        </w:rPr>
      </w:pPr>
      <w:r>
        <w:rPr>
          <w:rFonts w:ascii="Arial" w:eastAsia="Arial" w:hAnsi="Arial" w:cs="Arial"/>
          <w:b/>
          <w:bCs/>
          <w:sz w:val="20"/>
          <w:szCs w:val="20"/>
          <w:bdr w:val="nil"/>
          <w:lang w:val="de-DE"/>
        </w:rPr>
        <w:t>Technische Daten</w:t>
      </w:r>
    </w:p>
    <w:p w:rsidR="00CF5CB4" w:rsidRPr="009A07FF" w:rsidRDefault="008B6583" w:rsidP="0078338E">
      <w:pPr>
        <w:tabs>
          <w:tab w:val="left" w:pos="3600"/>
        </w:tabs>
        <w:autoSpaceDE w:val="0"/>
        <w:autoSpaceDN w:val="0"/>
        <w:adjustRightInd w:val="0"/>
        <w:jc w:val="both"/>
        <w:rPr>
          <w:rFonts w:ascii="Arial" w:hAnsi="Arial" w:cs="Arial"/>
          <w:sz w:val="20"/>
          <w:szCs w:val="20"/>
          <w:lang w:val="de-DE"/>
        </w:rPr>
      </w:pPr>
      <w:r>
        <w:rPr>
          <w:rFonts w:ascii="Arial" w:eastAsia="Arial" w:hAnsi="Arial" w:cs="Arial"/>
          <w:sz w:val="20"/>
          <w:szCs w:val="20"/>
          <w:bdr w:val="nil"/>
          <w:lang w:val="de-DE"/>
        </w:rPr>
        <w:t>Geschwindigkeitsbereich</w:t>
      </w:r>
      <w:r>
        <w:rPr>
          <w:rFonts w:ascii="Arial" w:eastAsia="Arial" w:hAnsi="Arial" w:cs="Arial"/>
          <w:sz w:val="20"/>
          <w:szCs w:val="20"/>
          <w:bdr w:val="nil"/>
          <w:lang w:val="de-DE"/>
        </w:rPr>
        <w:tab/>
      </w:r>
      <w:r w:rsidR="009A07FF">
        <w:rPr>
          <w:rFonts w:ascii="Arial" w:eastAsia="Arial" w:hAnsi="Arial" w:cs="Arial"/>
          <w:sz w:val="20"/>
          <w:szCs w:val="20"/>
          <w:bdr w:val="nil"/>
          <w:lang w:val="de-DE"/>
        </w:rPr>
        <w:tab/>
      </w:r>
      <w:r>
        <w:rPr>
          <w:rFonts w:ascii="Arial" w:eastAsia="Arial" w:hAnsi="Arial" w:cs="Arial"/>
          <w:sz w:val="20"/>
          <w:szCs w:val="20"/>
          <w:bdr w:val="nil"/>
          <w:lang w:val="de-DE"/>
        </w:rPr>
        <w:t>3.400 rpm (60 Hz)</w:t>
      </w:r>
    </w:p>
    <w:p w:rsidR="00CF5CB4" w:rsidRPr="009A07FF" w:rsidRDefault="009A07FF" w:rsidP="0078338E">
      <w:pPr>
        <w:tabs>
          <w:tab w:val="left" w:pos="3600"/>
        </w:tabs>
        <w:autoSpaceDE w:val="0"/>
        <w:autoSpaceDN w:val="0"/>
        <w:adjustRightInd w:val="0"/>
        <w:ind w:left="2880" w:firstLine="720"/>
        <w:jc w:val="both"/>
        <w:rPr>
          <w:rFonts w:ascii="Arial" w:hAnsi="Arial" w:cs="Arial"/>
          <w:sz w:val="20"/>
          <w:szCs w:val="20"/>
          <w:lang w:val="de-DE"/>
        </w:rPr>
      </w:pPr>
      <w:r>
        <w:rPr>
          <w:rFonts w:ascii="Arial" w:eastAsia="Arial" w:hAnsi="Arial" w:cs="Arial"/>
          <w:sz w:val="20"/>
          <w:szCs w:val="20"/>
          <w:bdr w:val="nil"/>
          <w:lang w:val="de-DE"/>
        </w:rPr>
        <w:tab/>
      </w:r>
      <w:r w:rsidR="008B6583">
        <w:rPr>
          <w:rFonts w:ascii="Arial" w:eastAsia="Arial" w:hAnsi="Arial" w:cs="Arial"/>
          <w:sz w:val="20"/>
          <w:szCs w:val="20"/>
          <w:bdr w:val="nil"/>
          <w:lang w:val="de-DE"/>
        </w:rPr>
        <w:t>2.850 rpm (50 Hz)</w:t>
      </w:r>
    </w:p>
    <w:p w:rsidR="00CF5CB4" w:rsidRPr="009A07FF" w:rsidRDefault="008B6583" w:rsidP="0078338E">
      <w:pPr>
        <w:tabs>
          <w:tab w:val="left" w:pos="3600"/>
        </w:tabs>
        <w:autoSpaceDE w:val="0"/>
        <w:autoSpaceDN w:val="0"/>
        <w:adjustRightInd w:val="0"/>
        <w:jc w:val="both"/>
        <w:rPr>
          <w:rFonts w:ascii="Arial" w:hAnsi="Arial" w:cs="Arial"/>
          <w:sz w:val="20"/>
          <w:szCs w:val="20"/>
          <w:lang w:val="de-DE"/>
        </w:rPr>
      </w:pPr>
      <w:r>
        <w:rPr>
          <w:rFonts w:ascii="Arial" w:eastAsia="Arial" w:hAnsi="Arial" w:cs="Arial"/>
          <w:sz w:val="20"/>
          <w:szCs w:val="20"/>
          <w:bdr w:val="nil"/>
          <w:lang w:val="de-DE"/>
        </w:rPr>
        <w:t>Bedienmodi</w:t>
      </w:r>
      <w:r>
        <w:rPr>
          <w:rFonts w:ascii="Arial" w:eastAsia="Arial" w:hAnsi="Arial" w:cs="Arial"/>
          <w:sz w:val="20"/>
          <w:szCs w:val="20"/>
          <w:bdr w:val="nil"/>
          <w:lang w:val="de-DE"/>
        </w:rPr>
        <w:tab/>
      </w:r>
      <w:r w:rsidR="009A07FF">
        <w:rPr>
          <w:rFonts w:ascii="Arial" w:eastAsia="Arial" w:hAnsi="Arial" w:cs="Arial"/>
          <w:sz w:val="20"/>
          <w:szCs w:val="20"/>
          <w:bdr w:val="nil"/>
          <w:lang w:val="de-DE"/>
        </w:rPr>
        <w:tab/>
      </w:r>
      <w:r>
        <w:rPr>
          <w:rFonts w:ascii="Arial" w:eastAsia="Arial" w:hAnsi="Arial" w:cs="Arial"/>
          <w:sz w:val="20"/>
          <w:szCs w:val="20"/>
          <w:bdr w:val="nil"/>
          <w:lang w:val="de-DE"/>
        </w:rPr>
        <w:t>Tastmodus oder Dauerbetrieb</w:t>
      </w:r>
    </w:p>
    <w:p w:rsidR="00CF5CB4" w:rsidRPr="009A07FF" w:rsidRDefault="008B6583" w:rsidP="0078338E">
      <w:pPr>
        <w:tabs>
          <w:tab w:val="left" w:pos="3600"/>
        </w:tabs>
        <w:autoSpaceDE w:val="0"/>
        <w:autoSpaceDN w:val="0"/>
        <w:adjustRightInd w:val="0"/>
        <w:jc w:val="both"/>
        <w:rPr>
          <w:rFonts w:ascii="Arial" w:hAnsi="Arial" w:cs="Arial"/>
          <w:sz w:val="20"/>
          <w:szCs w:val="20"/>
          <w:lang w:val="de-DE"/>
        </w:rPr>
      </w:pPr>
      <w:r>
        <w:rPr>
          <w:rFonts w:ascii="Arial" w:eastAsia="Arial" w:hAnsi="Arial" w:cs="Arial"/>
          <w:sz w:val="20"/>
          <w:szCs w:val="20"/>
          <w:bdr w:val="nil"/>
          <w:lang w:val="de-DE"/>
        </w:rPr>
        <w:t>Umgebungstemperaturbereich für den Betrieb</w:t>
      </w:r>
      <w:r>
        <w:rPr>
          <w:rFonts w:ascii="Arial" w:eastAsia="Arial" w:hAnsi="Arial" w:cs="Arial"/>
          <w:sz w:val="20"/>
          <w:szCs w:val="20"/>
          <w:bdr w:val="nil"/>
          <w:lang w:val="de-DE"/>
        </w:rPr>
        <w:tab/>
        <w:t>+4 ºC bis 65 ºC</w:t>
      </w:r>
    </w:p>
    <w:p w:rsidR="00CF5CB4" w:rsidRPr="003C728F" w:rsidRDefault="008B6583" w:rsidP="0078338E">
      <w:pPr>
        <w:tabs>
          <w:tab w:val="left" w:pos="3600"/>
        </w:tabs>
        <w:autoSpaceDE w:val="0"/>
        <w:autoSpaceDN w:val="0"/>
        <w:adjustRightInd w:val="0"/>
        <w:jc w:val="both"/>
        <w:rPr>
          <w:rFonts w:ascii="Arial" w:hAnsi="Arial" w:cs="Arial"/>
          <w:sz w:val="20"/>
          <w:szCs w:val="20"/>
          <w:lang w:val="de-DE"/>
        </w:rPr>
      </w:pPr>
      <w:r>
        <w:rPr>
          <w:rFonts w:ascii="Arial" w:eastAsia="Arial" w:hAnsi="Arial" w:cs="Arial"/>
          <w:sz w:val="20"/>
          <w:szCs w:val="20"/>
          <w:bdr w:val="nil"/>
          <w:lang w:val="de-DE"/>
        </w:rPr>
        <w:t xml:space="preserve">Abmessungen (B x T x H)  </w:t>
      </w:r>
      <w:r>
        <w:rPr>
          <w:rFonts w:ascii="Arial" w:eastAsia="Arial" w:hAnsi="Arial" w:cs="Arial"/>
          <w:sz w:val="20"/>
          <w:szCs w:val="20"/>
          <w:bdr w:val="nil"/>
          <w:lang w:val="de-DE"/>
        </w:rPr>
        <w:tab/>
      </w:r>
      <w:r w:rsidR="009A07FF">
        <w:rPr>
          <w:rFonts w:ascii="Arial" w:eastAsia="Arial" w:hAnsi="Arial" w:cs="Arial"/>
          <w:sz w:val="20"/>
          <w:szCs w:val="20"/>
          <w:bdr w:val="nil"/>
          <w:lang w:val="de-DE"/>
        </w:rPr>
        <w:tab/>
      </w:r>
      <w:r>
        <w:rPr>
          <w:rFonts w:ascii="Arial" w:eastAsia="Arial" w:hAnsi="Arial" w:cs="Arial"/>
          <w:sz w:val="20"/>
          <w:szCs w:val="20"/>
          <w:bdr w:val="nil"/>
          <w:lang w:val="de-DE"/>
        </w:rPr>
        <w:t>14 x 16 x 12 cm</w:t>
      </w:r>
    </w:p>
    <w:p w:rsidR="00CF5CB4" w:rsidRPr="009A07FF" w:rsidRDefault="008B6583" w:rsidP="0078338E">
      <w:pPr>
        <w:tabs>
          <w:tab w:val="left" w:pos="3600"/>
        </w:tabs>
        <w:autoSpaceDE w:val="0"/>
        <w:autoSpaceDN w:val="0"/>
        <w:adjustRightInd w:val="0"/>
        <w:jc w:val="both"/>
        <w:rPr>
          <w:rFonts w:ascii="Arial" w:hAnsi="Arial" w:cs="Arial"/>
          <w:sz w:val="20"/>
          <w:szCs w:val="20"/>
          <w:lang w:val="de-DE"/>
        </w:rPr>
      </w:pPr>
      <w:r>
        <w:rPr>
          <w:rFonts w:ascii="Arial" w:eastAsia="Arial" w:hAnsi="Arial" w:cs="Arial"/>
          <w:sz w:val="20"/>
          <w:szCs w:val="20"/>
          <w:bdr w:val="nil"/>
          <w:lang w:val="de-DE"/>
        </w:rPr>
        <w:t>Gewicht</w:t>
      </w:r>
      <w:r>
        <w:rPr>
          <w:rFonts w:ascii="Arial" w:eastAsia="Arial" w:hAnsi="Arial" w:cs="Arial"/>
          <w:sz w:val="20"/>
          <w:szCs w:val="20"/>
          <w:bdr w:val="nil"/>
          <w:lang w:val="de-DE"/>
        </w:rPr>
        <w:tab/>
      </w:r>
      <w:r w:rsidR="009A07FF">
        <w:rPr>
          <w:rFonts w:ascii="Arial" w:eastAsia="Arial" w:hAnsi="Arial" w:cs="Arial"/>
          <w:sz w:val="20"/>
          <w:szCs w:val="20"/>
          <w:bdr w:val="nil"/>
          <w:lang w:val="de-DE"/>
        </w:rPr>
        <w:tab/>
      </w:r>
      <w:r>
        <w:rPr>
          <w:rFonts w:ascii="Arial" w:eastAsia="Arial" w:hAnsi="Arial" w:cs="Arial"/>
          <w:sz w:val="20"/>
          <w:szCs w:val="20"/>
          <w:bdr w:val="nil"/>
          <w:lang w:val="de-DE"/>
        </w:rPr>
        <w:t>2,2 kg</w:t>
      </w:r>
    </w:p>
    <w:p w:rsidR="00CF5CB4" w:rsidRPr="009A07FF" w:rsidRDefault="008B6583" w:rsidP="0078338E">
      <w:pPr>
        <w:tabs>
          <w:tab w:val="left" w:pos="3600"/>
        </w:tabs>
        <w:autoSpaceDE w:val="0"/>
        <w:autoSpaceDN w:val="0"/>
        <w:adjustRightInd w:val="0"/>
        <w:jc w:val="both"/>
        <w:rPr>
          <w:rFonts w:ascii="Arial" w:hAnsi="Arial" w:cs="Arial"/>
          <w:sz w:val="20"/>
          <w:szCs w:val="20"/>
          <w:lang w:val="de-DE"/>
        </w:rPr>
      </w:pPr>
      <w:r>
        <w:rPr>
          <w:rFonts w:ascii="Arial" w:eastAsia="Arial" w:hAnsi="Arial" w:cs="Arial"/>
          <w:sz w:val="20"/>
          <w:szCs w:val="20"/>
          <w:bdr w:val="nil"/>
          <w:lang w:val="de-DE"/>
        </w:rPr>
        <w:t>Elektrisch</w:t>
      </w:r>
      <w:r>
        <w:rPr>
          <w:rFonts w:ascii="Arial" w:eastAsia="Arial" w:hAnsi="Arial" w:cs="Arial"/>
          <w:sz w:val="20"/>
          <w:szCs w:val="20"/>
          <w:bdr w:val="nil"/>
          <w:lang w:val="de-DE"/>
        </w:rPr>
        <w:tab/>
      </w:r>
      <w:r w:rsidR="009A07FF">
        <w:rPr>
          <w:rFonts w:ascii="Arial" w:eastAsia="Arial" w:hAnsi="Arial" w:cs="Arial"/>
          <w:sz w:val="20"/>
          <w:szCs w:val="20"/>
          <w:bdr w:val="nil"/>
          <w:lang w:val="de-DE"/>
        </w:rPr>
        <w:tab/>
      </w:r>
      <w:r>
        <w:rPr>
          <w:rFonts w:ascii="Arial" w:eastAsia="Arial" w:hAnsi="Arial" w:cs="Arial"/>
          <w:sz w:val="20"/>
          <w:szCs w:val="20"/>
          <w:bdr w:val="nil"/>
          <w:lang w:val="de-DE"/>
        </w:rPr>
        <w:t>120 V, 60 Hz, 0,6 A</w:t>
      </w:r>
    </w:p>
    <w:p w:rsidR="00CF5CB4" w:rsidRPr="009A07FF" w:rsidRDefault="008B6583" w:rsidP="003C728F">
      <w:pPr>
        <w:tabs>
          <w:tab w:val="left" w:pos="3600"/>
        </w:tabs>
        <w:autoSpaceDE w:val="0"/>
        <w:autoSpaceDN w:val="0"/>
        <w:adjustRightInd w:val="0"/>
        <w:spacing w:after="60"/>
        <w:jc w:val="both"/>
        <w:rPr>
          <w:rFonts w:ascii="Arial" w:hAnsi="Arial" w:cs="Arial"/>
          <w:sz w:val="20"/>
          <w:szCs w:val="20"/>
          <w:lang w:val="de-DE"/>
        </w:rPr>
      </w:pPr>
      <w:r>
        <w:rPr>
          <w:rFonts w:ascii="Arial" w:eastAsia="Arial" w:hAnsi="Arial" w:cs="Arial"/>
          <w:sz w:val="20"/>
          <w:szCs w:val="20"/>
          <w:bdr w:val="nil"/>
          <w:lang w:val="de-DE"/>
        </w:rPr>
        <w:tab/>
      </w:r>
      <w:r w:rsidR="009A07FF">
        <w:rPr>
          <w:rFonts w:ascii="Arial" w:eastAsia="Arial" w:hAnsi="Arial" w:cs="Arial"/>
          <w:sz w:val="20"/>
          <w:szCs w:val="20"/>
          <w:bdr w:val="nil"/>
          <w:lang w:val="de-DE"/>
        </w:rPr>
        <w:tab/>
      </w:r>
      <w:r>
        <w:rPr>
          <w:rFonts w:ascii="Arial" w:eastAsia="Arial" w:hAnsi="Arial" w:cs="Arial"/>
          <w:sz w:val="20"/>
          <w:szCs w:val="20"/>
          <w:bdr w:val="nil"/>
          <w:lang w:val="de-DE"/>
        </w:rPr>
        <w:t>230 V, 50 Hz, 0,3 A</w:t>
      </w:r>
    </w:p>
    <w:p w:rsidR="00CF5CB4" w:rsidRPr="009A07FF" w:rsidRDefault="008B6583" w:rsidP="003C728F">
      <w:pPr>
        <w:autoSpaceDE w:val="0"/>
        <w:autoSpaceDN w:val="0"/>
        <w:adjustRightInd w:val="0"/>
        <w:spacing w:line="252" w:lineRule="atLeast"/>
        <w:jc w:val="both"/>
        <w:rPr>
          <w:rFonts w:ascii="Arial" w:hAnsi="Arial" w:cs="Arial"/>
          <w:sz w:val="20"/>
          <w:szCs w:val="20"/>
          <w:lang w:val="de-DE"/>
        </w:rPr>
      </w:pPr>
      <w:r>
        <w:rPr>
          <w:rFonts w:ascii="Arial" w:eastAsia="Arial" w:hAnsi="Arial" w:cs="Arial"/>
          <w:b/>
          <w:bCs/>
          <w:sz w:val="20"/>
          <w:szCs w:val="20"/>
          <w:bdr w:val="nil"/>
          <w:lang w:val="de-DE"/>
        </w:rPr>
        <w:t>Auspacken des Vortexmischers</w:t>
      </w:r>
    </w:p>
    <w:p w:rsidR="00CF5CB4" w:rsidRPr="009A07FF" w:rsidRDefault="008B6583" w:rsidP="00CF5CB4">
      <w:pPr>
        <w:autoSpaceDE w:val="0"/>
        <w:autoSpaceDN w:val="0"/>
        <w:adjustRightInd w:val="0"/>
        <w:spacing w:after="58" w:line="252" w:lineRule="atLeast"/>
        <w:jc w:val="both"/>
        <w:rPr>
          <w:rFonts w:ascii="Arial" w:hAnsi="Arial" w:cs="Arial"/>
          <w:sz w:val="20"/>
          <w:szCs w:val="20"/>
          <w:lang w:val="de-DE"/>
        </w:rPr>
      </w:pPr>
      <w:r>
        <w:rPr>
          <w:rFonts w:ascii="Arial" w:eastAsia="Arial" w:hAnsi="Arial" w:cs="Arial"/>
          <w:sz w:val="20"/>
          <w:szCs w:val="20"/>
          <w:bdr w:val="nil"/>
          <w:lang w:val="de-DE"/>
        </w:rPr>
        <w:t>Untersuchen Sie bei Eingang des Vortexmischers den Außenkarton auf Schäden.  Im Falle von Transportschäden sind entsprechende Forderungen binnen 10 Tagen nach Erhalt beim Spediteur anzumelden.  Bewahren Sie die gesamte Verpackung auf, damit der Spediteur diese prüfen kann.</w:t>
      </w:r>
    </w:p>
    <w:p w:rsidR="00CF5CB4" w:rsidRPr="009A07FF" w:rsidRDefault="008B6583" w:rsidP="00CF5CB4">
      <w:pPr>
        <w:autoSpaceDE w:val="0"/>
        <w:autoSpaceDN w:val="0"/>
        <w:adjustRightInd w:val="0"/>
        <w:spacing w:line="252" w:lineRule="atLeast"/>
        <w:jc w:val="both"/>
        <w:rPr>
          <w:rFonts w:ascii="Arial" w:hAnsi="Arial" w:cs="Arial"/>
          <w:sz w:val="20"/>
          <w:szCs w:val="20"/>
          <w:lang w:val="de-DE"/>
        </w:rPr>
      </w:pPr>
      <w:r>
        <w:rPr>
          <w:rFonts w:ascii="Arial" w:eastAsia="Arial" w:hAnsi="Arial" w:cs="Arial"/>
          <w:sz w:val="20"/>
          <w:szCs w:val="20"/>
          <w:bdr w:val="nil"/>
          <w:lang w:val="de-DE"/>
        </w:rPr>
        <w:t>Packen Sie die Einheit vorsichtig aus und kontrollieren Sie sie auf Vollständigkeit.  Im Karton sollte Folgendes enthalten sein:</w:t>
      </w:r>
    </w:p>
    <w:p w:rsidR="00CF5CB4" w:rsidRPr="009A07FF" w:rsidRDefault="008B6583" w:rsidP="0078338E">
      <w:pPr>
        <w:autoSpaceDE w:val="0"/>
        <w:autoSpaceDN w:val="0"/>
        <w:adjustRightInd w:val="0"/>
        <w:ind w:left="1440"/>
        <w:jc w:val="both"/>
        <w:rPr>
          <w:rFonts w:ascii="Arial" w:hAnsi="Arial" w:cs="Arial"/>
          <w:sz w:val="20"/>
          <w:szCs w:val="20"/>
          <w:lang w:val="de-DE"/>
        </w:rPr>
      </w:pPr>
      <w:r>
        <w:rPr>
          <w:rFonts w:ascii="Arial" w:eastAsia="Arial" w:hAnsi="Arial" w:cs="Arial"/>
          <w:sz w:val="20"/>
          <w:szCs w:val="20"/>
          <w:bdr w:val="nil"/>
          <w:lang w:val="de-DE"/>
        </w:rPr>
        <w:t>Vortexmischer mit Schüttelaufsatz</w:t>
      </w:r>
    </w:p>
    <w:p w:rsidR="00CF5CB4" w:rsidRPr="009A07FF" w:rsidRDefault="008B6583" w:rsidP="0078338E">
      <w:pPr>
        <w:autoSpaceDE w:val="0"/>
        <w:autoSpaceDN w:val="0"/>
        <w:adjustRightInd w:val="0"/>
        <w:spacing w:line="252" w:lineRule="atLeast"/>
        <w:ind w:left="1440"/>
        <w:jc w:val="both"/>
        <w:rPr>
          <w:rFonts w:ascii="Arial" w:hAnsi="Arial" w:cs="Arial"/>
          <w:sz w:val="20"/>
          <w:szCs w:val="20"/>
          <w:lang w:val="de-DE"/>
        </w:rPr>
      </w:pPr>
      <w:r>
        <w:rPr>
          <w:rFonts w:ascii="Arial" w:eastAsia="Arial" w:hAnsi="Arial" w:cs="Arial"/>
          <w:sz w:val="20"/>
          <w:szCs w:val="20"/>
          <w:bdr w:val="nil"/>
          <w:lang w:val="de-DE"/>
        </w:rPr>
        <w:t>Netzkabel</w:t>
      </w:r>
    </w:p>
    <w:p w:rsidR="00CF5CB4" w:rsidRPr="009A07FF" w:rsidRDefault="008B6583" w:rsidP="003C728F">
      <w:pPr>
        <w:autoSpaceDE w:val="0"/>
        <w:autoSpaceDN w:val="0"/>
        <w:adjustRightInd w:val="0"/>
        <w:spacing w:after="60" w:line="252" w:lineRule="atLeast"/>
        <w:ind w:left="1440"/>
        <w:jc w:val="both"/>
        <w:rPr>
          <w:rFonts w:ascii="Arial" w:hAnsi="Arial" w:cs="Arial"/>
          <w:sz w:val="20"/>
          <w:szCs w:val="20"/>
          <w:lang w:val="de-DE"/>
        </w:rPr>
      </w:pPr>
      <w:r>
        <w:rPr>
          <w:rFonts w:ascii="Arial" w:eastAsia="Arial" w:hAnsi="Arial" w:cs="Arial"/>
          <w:sz w:val="20"/>
          <w:szCs w:val="20"/>
          <w:bdr w:val="nil"/>
          <w:lang w:val="de-DE"/>
        </w:rPr>
        <w:t>Handbuch</w:t>
      </w:r>
    </w:p>
    <w:p w:rsidR="00CF5CB4" w:rsidRPr="009A07FF" w:rsidRDefault="008B6583" w:rsidP="003C728F">
      <w:pPr>
        <w:autoSpaceDE w:val="0"/>
        <w:autoSpaceDN w:val="0"/>
        <w:adjustRightInd w:val="0"/>
        <w:spacing w:after="40" w:line="252" w:lineRule="atLeast"/>
        <w:jc w:val="both"/>
        <w:rPr>
          <w:rFonts w:ascii="Arial" w:hAnsi="Arial" w:cs="Arial"/>
          <w:sz w:val="20"/>
          <w:szCs w:val="20"/>
          <w:lang w:val="de-DE"/>
        </w:rPr>
      </w:pPr>
      <w:r>
        <w:rPr>
          <w:rFonts w:ascii="Arial" w:eastAsia="Arial" w:hAnsi="Arial" w:cs="Arial"/>
          <w:sz w:val="20"/>
          <w:szCs w:val="20"/>
          <w:bdr w:val="nil"/>
          <w:lang w:val="de-DE"/>
        </w:rPr>
        <w:t>Wenn einer dieser Artikel fehlt, wenden Sie sich sofort an Ihren Select BioProducts-Vertrieb.  Bewahren Sie die Originalverpackung auf, bis Sie sichergestellt haben, dass die Einheit einwandfrei funktioniert.</w:t>
      </w:r>
    </w:p>
    <w:p w:rsidR="00CF5CB4" w:rsidRPr="009A07FF" w:rsidRDefault="008B6583" w:rsidP="003C728F">
      <w:pPr>
        <w:autoSpaceDE w:val="0"/>
        <w:autoSpaceDN w:val="0"/>
        <w:adjustRightInd w:val="0"/>
        <w:spacing w:after="60" w:line="252" w:lineRule="atLeast"/>
        <w:jc w:val="both"/>
        <w:rPr>
          <w:rFonts w:ascii="Arial" w:hAnsi="Arial" w:cs="Arial"/>
          <w:sz w:val="20"/>
          <w:szCs w:val="20"/>
          <w:lang w:val="de-DE"/>
        </w:rPr>
      </w:pPr>
      <w:r>
        <w:rPr>
          <w:rFonts w:ascii="Arial" w:eastAsia="Arial" w:hAnsi="Arial" w:cs="Arial"/>
          <w:sz w:val="20"/>
          <w:szCs w:val="20"/>
          <w:bdr w:val="nil"/>
          <w:lang w:val="de-DE"/>
        </w:rPr>
        <w:t>Überprüfen Sie, ob die Einheit die Nennleistung für die richtige Spannung erfüllt, indem Sie das Etikett mit der elektrischen/Seriennummer auf der Rückseite kontrollieren.</w:t>
      </w:r>
    </w:p>
    <w:p w:rsidR="00CF5CB4" w:rsidRPr="009A07FF" w:rsidRDefault="008B6583" w:rsidP="003C728F">
      <w:pPr>
        <w:autoSpaceDE w:val="0"/>
        <w:autoSpaceDN w:val="0"/>
        <w:adjustRightInd w:val="0"/>
        <w:spacing w:line="252" w:lineRule="atLeast"/>
        <w:jc w:val="both"/>
        <w:rPr>
          <w:rFonts w:ascii="Arial" w:hAnsi="Arial" w:cs="Arial"/>
          <w:sz w:val="20"/>
          <w:szCs w:val="20"/>
          <w:lang w:val="de-DE"/>
        </w:rPr>
      </w:pPr>
      <w:r>
        <w:rPr>
          <w:rFonts w:ascii="Arial" w:eastAsia="Arial" w:hAnsi="Arial" w:cs="Arial"/>
          <w:b/>
          <w:bCs/>
          <w:sz w:val="20"/>
          <w:szCs w:val="20"/>
          <w:bdr w:val="nil"/>
          <w:lang w:val="de-DE"/>
        </w:rPr>
        <w:t>Installation</w:t>
      </w:r>
    </w:p>
    <w:p w:rsidR="00CF5CB4" w:rsidRPr="009A07FF" w:rsidRDefault="008B6583" w:rsidP="00CF5CB4">
      <w:pPr>
        <w:autoSpaceDE w:val="0"/>
        <w:autoSpaceDN w:val="0"/>
        <w:adjustRightInd w:val="0"/>
        <w:spacing w:after="58" w:line="252" w:lineRule="atLeast"/>
        <w:jc w:val="both"/>
        <w:rPr>
          <w:rFonts w:ascii="Arial" w:hAnsi="Arial" w:cs="Arial"/>
          <w:sz w:val="20"/>
          <w:szCs w:val="20"/>
          <w:lang w:val="de-DE"/>
        </w:rPr>
      </w:pPr>
      <w:r>
        <w:rPr>
          <w:rFonts w:ascii="Arial" w:eastAsia="Arial" w:hAnsi="Arial" w:cs="Arial"/>
          <w:sz w:val="20"/>
          <w:szCs w:val="20"/>
          <w:bdr w:val="nil"/>
          <w:lang w:val="de-DE"/>
        </w:rPr>
        <w:t xml:space="preserve">Stellen Sie den Mischer auf eine ebene, stabile Oberfläche in der Nähe einer geerdeten Steckdose.  Die Oberfläche sollte sauber und staubfrei sein, um zu gewährleisten, dass die Füße fest auf der Oberfläche greifen.  Lassen Sie zu allen Seiten der Einheit ausreichend Abstand für eine angemessene Belüftung. </w:t>
      </w:r>
    </w:p>
    <w:p w:rsidR="00CF5CB4" w:rsidRPr="009A07FF" w:rsidRDefault="008B6583" w:rsidP="003C728F">
      <w:pPr>
        <w:autoSpaceDE w:val="0"/>
        <w:autoSpaceDN w:val="0"/>
        <w:adjustRightInd w:val="0"/>
        <w:spacing w:after="40" w:line="252" w:lineRule="atLeast"/>
        <w:jc w:val="both"/>
        <w:rPr>
          <w:rFonts w:ascii="Arial" w:hAnsi="Arial" w:cs="Arial"/>
          <w:sz w:val="21"/>
          <w:szCs w:val="21"/>
          <w:lang w:val="de-DE"/>
        </w:rPr>
      </w:pPr>
      <w:r>
        <w:rPr>
          <w:rFonts w:ascii="Arial" w:eastAsia="Arial" w:hAnsi="Arial" w:cs="Arial"/>
          <w:sz w:val="20"/>
          <w:szCs w:val="20"/>
          <w:bdr w:val="nil"/>
          <w:lang w:val="de-DE"/>
        </w:rPr>
        <w:t xml:space="preserve">Lassen Sie den Netzschalter in der Position AUS und stecken sie das Netzkabel in einen geerdeten Anschluss.  </w:t>
      </w:r>
    </w:p>
    <w:p w:rsidR="00CF5CB4" w:rsidRPr="009A07FF" w:rsidRDefault="008B6583" w:rsidP="003C728F">
      <w:pPr>
        <w:autoSpaceDE w:val="0"/>
        <w:autoSpaceDN w:val="0"/>
        <w:adjustRightInd w:val="0"/>
        <w:spacing w:after="40" w:line="252" w:lineRule="atLeast"/>
        <w:jc w:val="both"/>
        <w:rPr>
          <w:rFonts w:ascii="Arial" w:hAnsi="Arial" w:cs="Arial"/>
          <w:sz w:val="20"/>
          <w:szCs w:val="20"/>
          <w:lang w:val="de-DE"/>
        </w:rPr>
      </w:pPr>
      <w:r>
        <w:rPr>
          <w:rFonts w:ascii="Arial" w:eastAsia="Arial" w:hAnsi="Arial" w:cs="Arial"/>
          <w:b/>
          <w:bCs/>
          <w:sz w:val="20"/>
          <w:szCs w:val="20"/>
          <w:bdr w:val="nil"/>
          <w:lang w:val="de-DE"/>
        </w:rPr>
        <w:t>Bedienen des Vortexmischers</w:t>
      </w:r>
    </w:p>
    <w:p w:rsidR="00CF5CB4" w:rsidRPr="009A07FF" w:rsidRDefault="008B6583" w:rsidP="003C728F">
      <w:pPr>
        <w:autoSpaceDE w:val="0"/>
        <w:autoSpaceDN w:val="0"/>
        <w:adjustRightInd w:val="0"/>
        <w:spacing w:after="40" w:line="252" w:lineRule="atLeast"/>
        <w:jc w:val="both"/>
        <w:rPr>
          <w:rFonts w:ascii="Arial" w:hAnsi="Arial" w:cs="Arial"/>
          <w:sz w:val="20"/>
          <w:szCs w:val="20"/>
          <w:lang w:val="de-DE"/>
        </w:rPr>
      </w:pPr>
      <w:r>
        <w:rPr>
          <w:rFonts w:ascii="Arial" w:eastAsia="Arial" w:hAnsi="Arial" w:cs="Arial"/>
          <w:sz w:val="20"/>
          <w:szCs w:val="20"/>
          <w:bdr w:val="nil"/>
          <w:lang w:val="de-DE"/>
        </w:rPr>
        <w:t>Alle Bedienelemente befinden sich auf dem Bedienpanel.  Der Netzschalter, der sich auf der linken Seite des Panels befindet, besitzt drei Positionen – EIN, AUS und BERÜHRUNG.  In der BERÜHRUNGS-Position wird der Mischer aktiviert, indem der Mischaufsatz heruntergedrückt wird.  Wenn der Druck vom Mischaufsatz genommen wird, stoppt der Betrieb.  In der EIN-Position arbeitet der Mischer im Dauerbetrieb, bis der Schalter entweder in die Position AUS oder BERÜHRUNG bewegt wird.</w:t>
      </w:r>
    </w:p>
    <w:p w:rsidR="00CF5CB4" w:rsidRPr="009A07FF" w:rsidRDefault="008B6583" w:rsidP="00CF5CB4">
      <w:pPr>
        <w:autoSpaceDE w:val="0"/>
        <w:autoSpaceDN w:val="0"/>
        <w:adjustRightInd w:val="0"/>
        <w:spacing w:after="58" w:line="252" w:lineRule="atLeast"/>
        <w:jc w:val="both"/>
        <w:rPr>
          <w:rFonts w:ascii="Arial" w:hAnsi="Arial" w:cs="Arial"/>
          <w:sz w:val="20"/>
          <w:szCs w:val="20"/>
          <w:lang w:val="de-DE"/>
        </w:rPr>
      </w:pPr>
      <w:r>
        <w:rPr>
          <w:rFonts w:ascii="Arial" w:eastAsia="Arial" w:hAnsi="Arial" w:cs="Arial"/>
          <w:sz w:val="20"/>
          <w:szCs w:val="20"/>
          <w:bdr w:val="nil"/>
          <w:lang w:val="de-DE"/>
        </w:rPr>
        <w:t xml:space="preserve">Der Geschwindigkeitsregler befindet sich auf der rechten Seite des Panels und ist stufenlos regelbar.  </w:t>
      </w:r>
      <w:r>
        <w:rPr>
          <w:rFonts w:ascii="Arial" w:eastAsia="Arial" w:hAnsi="Arial" w:cs="Arial"/>
          <w:b/>
          <w:bCs/>
          <w:sz w:val="20"/>
          <w:szCs w:val="20"/>
          <w:bdr w:val="nil"/>
          <w:lang w:val="de-DE"/>
        </w:rPr>
        <w:t>Die Oszillationsgeschwindigkeit nimmt in ungleichmäßiger</w:t>
      </w:r>
      <w:r>
        <w:rPr>
          <w:rFonts w:ascii="Arial" w:eastAsia="Arial" w:hAnsi="Arial" w:cs="Arial"/>
          <w:sz w:val="20"/>
          <w:szCs w:val="20"/>
          <w:bdr w:val="nil"/>
          <w:lang w:val="de-DE"/>
        </w:rPr>
        <w:t xml:space="preserve"> </w:t>
      </w:r>
      <w:r>
        <w:rPr>
          <w:rFonts w:ascii="Arial" w:eastAsia="Arial" w:hAnsi="Arial" w:cs="Arial"/>
          <w:b/>
          <w:bCs/>
          <w:sz w:val="20"/>
          <w:szCs w:val="20"/>
          <w:bdr w:val="nil"/>
          <w:lang w:val="de-DE"/>
        </w:rPr>
        <w:t>Geschwindigkeit</w:t>
      </w:r>
      <w:r>
        <w:rPr>
          <w:rFonts w:ascii="Arial" w:eastAsia="Arial" w:hAnsi="Arial" w:cs="Arial"/>
          <w:sz w:val="20"/>
          <w:szCs w:val="20"/>
          <w:bdr w:val="nil"/>
          <w:lang w:val="de-DE"/>
        </w:rPr>
        <w:t xml:space="preserve"> bis auf maximal 3.400 rpm zu, wenn der Knopf im Uhrzeigersinn gedreht wird.  Stellen Sie den Geschwindigkeitsregler auf den kleinsten Wert, bevor Sie den Mischer einschalten.</w:t>
      </w:r>
    </w:p>
    <w:p w:rsidR="00CF5CB4" w:rsidRPr="009A07FF" w:rsidRDefault="008B6583" w:rsidP="003C728F">
      <w:pPr>
        <w:autoSpaceDE w:val="0"/>
        <w:autoSpaceDN w:val="0"/>
        <w:adjustRightInd w:val="0"/>
        <w:spacing w:line="252" w:lineRule="atLeast"/>
        <w:jc w:val="both"/>
        <w:rPr>
          <w:rFonts w:ascii="Arial" w:hAnsi="Arial" w:cs="Arial"/>
          <w:sz w:val="20"/>
          <w:szCs w:val="20"/>
          <w:lang w:val="de-DE"/>
        </w:rPr>
      </w:pPr>
      <w:r>
        <w:rPr>
          <w:rFonts w:ascii="Arial" w:eastAsia="Arial" w:hAnsi="Arial" w:cs="Arial"/>
          <w:sz w:val="20"/>
          <w:szCs w:val="20"/>
          <w:bdr w:val="nil"/>
          <w:lang w:val="de-DE"/>
        </w:rPr>
        <w:lastRenderedPageBreak/>
        <w:t>Um den Betrieb zu starten, bewegen Sie den Netzschalter in die Position BERÜHRUNG oder EIN und drehen Sie die Geschwindigkeitskontrolle auf die gewünschte Einstellung.  Wenn der Netzschalter auf der Position EIN steht, beginnt der Schüttelaufsatz sofort, sich zu bewegen.  Wenn der Netzschalter auf der Position BERÜHRUNG steht, beginnt der Betrieb, wenn ein Objekt auf dem Schüttelaufsatz platziert und leichter Druck ausgeübt wird, um den Aufsatz herunterzudrücken.  Das Schütteln hört auf, wenn das Objekt entfernt wird und der Druck nachlässt.</w:t>
      </w:r>
    </w:p>
    <w:p w:rsidR="00CF5CB4" w:rsidRPr="003C728F" w:rsidRDefault="003C728F" w:rsidP="003C728F">
      <w:pPr>
        <w:autoSpaceDE w:val="0"/>
        <w:autoSpaceDN w:val="0"/>
        <w:adjustRightInd w:val="0"/>
        <w:spacing w:line="252" w:lineRule="atLeast"/>
        <w:jc w:val="both"/>
        <w:rPr>
          <w:rFonts w:ascii="Arial" w:hAnsi="Arial" w:cs="Arial"/>
          <w:b/>
          <w:bCs/>
          <w:sz w:val="2"/>
          <w:szCs w:val="2"/>
          <w:lang w:val="de-DE"/>
        </w:rPr>
      </w:pPr>
    </w:p>
    <w:p w:rsidR="00CF5CB4" w:rsidRPr="009A07FF" w:rsidRDefault="008B6583" w:rsidP="00CF5CB4">
      <w:pPr>
        <w:autoSpaceDE w:val="0"/>
        <w:autoSpaceDN w:val="0"/>
        <w:adjustRightInd w:val="0"/>
        <w:spacing w:after="58" w:line="252" w:lineRule="atLeast"/>
        <w:jc w:val="both"/>
        <w:rPr>
          <w:rFonts w:ascii="Arial" w:hAnsi="Arial" w:cs="Arial"/>
          <w:sz w:val="20"/>
          <w:szCs w:val="20"/>
          <w:lang w:val="de-DE"/>
        </w:rPr>
      </w:pPr>
      <w:r>
        <w:rPr>
          <w:rFonts w:ascii="Arial" w:eastAsia="Arial" w:hAnsi="Arial" w:cs="Arial"/>
          <w:b/>
          <w:bCs/>
          <w:sz w:val="20"/>
          <w:szCs w:val="20"/>
          <w:bdr w:val="nil"/>
          <w:lang w:val="de-DE"/>
        </w:rPr>
        <w:t>Sicherheitsvorkehrungen</w:t>
      </w:r>
    </w:p>
    <w:p w:rsidR="00CF5CB4" w:rsidRPr="009A07FF" w:rsidRDefault="008B6583" w:rsidP="00CF5CB4">
      <w:pPr>
        <w:autoSpaceDE w:val="0"/>
        <w:autoSpaceDN w:val="0"/>
        <w:adjustRightInd w:val="0"/>
        <w:spacing w:after="58" w:line="252" w:lineRule="atLeast"/>
        <w:jc w:val="both"/>
        <w:rPr>
          <w:rFonts w:ascii="Arial" w:hAnsi="Arial" w:cs="Arial"/>
          <w:sz w:val="20"/>
          <w:szCs w:val="20"/>
          <w:lang w:val="de-DE"/>
        </w:rPr>
      </w:pPr>
      <w:r>
        <w:rPr>
          <w:rFonts w:ascii="Arial" w:eastAsia="Arial" w:hAnsi="Arial" w:cs="Arial"/>
          <w:sz w:val="20"/>
          <w:szCs w:val="20"/>
          <w:bdr w:val="nil"/>
          <w:lang w:val="de-DE"/>
        </w:rPr>
        <w:t>Die folgenden Vorkehrungen sollten getroffen werden, wenn der Vortexmischer bedient oder in seiner Nähe gearbeitet wird:</w:t>
      </w:r>
    </w:p>
    <w:p w:rsidR="00406239" w:rsidRDefault="008B6583" w:rsidP="00CF5CB4">
      <w:pPr>
        <w:autoSpaceDE w:val="0"/>
        <w:autoSpaceDN w:val="0"/>
        <w:adjustRightInd w:val="0"/>
        <w:spacing w:after="58" w:line="252" w:lineRule="atLeast"/>
        <w:jc w:val="both"/>
        <w:rPr>
          <w:rFonts w:ascii="Arial" w:hAnsi="Arial" w:cs="Arial"/>
          <w:sz w:val="20"/>
          <w:szCs w:val="20"/>
        </w:rPr>
      </w:pPr>
      <w:r>
        <w:rPr>
          <w:noProof/>
          <w:sz w:val="20"/>
          <w:szCs w:val="20"/>
          <w:lang w:eastAsia="zh-TW"/>
        </w:rPr>
        <w:drawing>
          <wp:inline distT="0" distB="0" distL="0" distR="0">
            <wp:extent cx="643255" cy="532765"/>
            <wp:effectExtent l="0" t="0" r="444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43255" cy="532765"/>
                    </a:xfrm>
                    <a:prstGeom prst="rect">
                      <a:avLst/>
                    </a:prstGeom>
                    <a:noFill/>
                    <a:ln>
                      <a:noFill/>
                    </a:ln>
                  </pic:spPr>
                </pic:pic>
              </a:graphicData>
            </a:graphic>
          </wp:inline>
        </w:drawing>
      </w:r>
    </w:p>
    <w:p w:rsidR="00406239" w:rsidRPr="009A07FF" w:rsidRDefault="008B6583" w:rsidP="00406239">
      <w:pPr>
        <w:tabs>
          <w:tab w:val="left" w:pos="585"/>
        </w:tabs>
        <w:autoSpaceDE w:val="0"/>
        <w:autoSpaceDN w:val="0"/>
        <w:adjustRightInd w:val="0"/>
        <w:spacing w:after="29" w:line="252" w:lineRule="atLeast"/>
        <w:jc w:val="both"/>
        <w:rPr>
          <w:rFonts w:ascii="Arial" w:hAnsi="Arial" w:cs="Arial"/>
          <w:b/>
          <w:bCs/>
          <w:spacing w:val="-15"/>
          <w:sz w:val="22"/>
          <w:szCs w:val="22"/>
          <w:lang w:val="de-DE"/>
        </w:rPr>
      </w:pPr>
      <w:r>
        <w:rPr>
          <w:rFonts w:ascii="Arial" w:eastAsia="Arial" w:hAnsi="Arial" w:cs="Arial"/>
          <w:spacing w:val="-15"/>
          <w:sz w:val="22"/>
          <w:szCs w:val="22"/>
          <w:bdr w:val="nil"/>
          <w:lang w:val="de-DE"/>
        </w:rPr>
        <w:t xml:space="preserve">• </w:t>
      </w:r>
      <w:r>
        <w:rPr>
          <w:rFonts w:ascii="Arial" w:eastAsia="Arial" w:hAnsi="Arial" w:cs="Arial"/>
          <w:b/>
          <w:bCs/>
          <w:spacing w:val="-15"/>
          <w:sz w:val="22"/>
          <w:szCs w:val="22"/>
          <w:bdr w:val="nil"/>
          <w:lang w:val="de-DE"/>
        </w:rPr>
        <w:t>VORSICHT: ZWISCHEN DEM MISCHAUFSATZ UND DEM GEHÄUSE GIBT ES EINEN QUETSCHUNGSBEREICH.</w:t>
      </w:r>
    </w:p>
    <w:p w:rsidR="00406239" w:rsidRPr="009A07FF" w:rsidRDefault="008B6583" w:rsidP="00406239">
      <w:pPr>
        <w:tabs>
          <w:tab w:val="left" w:pos="585"/>
        </w:tabs>
        <w:autoSpaceDE w:val="0"/>
        <w:autoSpaceDN w:val="0"/>
        <w:adjustRightInd w:val="0"/>
        <w:spacing w:after="29" w:line="252" w:lineRule="atLeast"/>
        <w:jc w:val="both"/>
        <w:rPr>
          <w:rFonts w:ascii="Arial" w:hAnsi="Arial" w:cs="Arial"/>
          <w:b/>
          <w:bCs/>
          <w:spacing w:val="-15"/>
          <w:sz w:val="22"/>
          <w:szCs w:val="22"/>
          <w:lang w:val="de-DE"/>
        </w:rPr>
      </w:pPr>
      <w:r>
        <w:rPr>
          <w:rFonts w:ascii="Arial" w:eastAsia="Arial" w:hAnsi="Arial" w:cs="Arial"/>
          <w:spacing w:val="-15"/>
          <w:sz w:val="22"/>
          <w:szCs w:val="22"/>
          <w:bdr w:val="nil"/>
          <w:lang w:val="de-DE"/>
        </w:rPr>
        <w:t xml:space="preserve">• </w:t>
      </w:r>
      <w:r>
        <w:rPr>
          <w:rFonts w:ascii="Arial" w:eastAsia="Arial" w:hAnsi="Arial" w:cs="Arial"/>
          <w:b/>
          <w:bCs/>
          <w:spacing w:val="-15"/>
          <w:sz w:val="22"/>
          <w:szCs w:val="22"/>
          <w:bdr w:val="nil"/>
          <w:lang w:val="de-DE"/>
        </w:rPr>
        <w:t>Bedienen Sie die Einheit niemals ohne sicher angebrachten Schüttelaufsatz.</w:t>
      </w:r>
    </w:p>
    <w:p w:rsidR="00406239" w:rsidRPr="009A07FF" w:rsidRDefault="008B6583" w:rsidP="00406239">
      <w:pPr>
        <w:tabs>
          <w:tab w:val="left" w:pos="585"/>
        </w:tabs>
        <w:autoSpaceDE w:val="0"/>
        <w:autoSpaceDN w:val="0"/>
        <w:adjustRightInd w:val="0"/>
        <w:spacing w:after="29" w:line="252" w:lineRule="atLeast"/>
        <w:jc w:val="both"/>
        <w:rPr>
          <w:rFonts w:ascii="Arial" w:hAnsi="Arial" w:cs="Arial"/>
          <w:b/>
          <w:bCs/>
          <w:spacing w:val="-15"/>
          <w:sz w:val="22"/>
          <w:szCs w:val="22"/>
          <w:lang w:val="de-DE"/>
        </w:rPr>
      </w:pPr>
      <w:r>
        <w:rPr>
          <w:rFonts w:ascii="Arial" w:eastAsia="Arial" w:hAnsi="Arial" w:cs="Arial"/>
          <w:b/>
          <w:bCs/>
          <w:spacing w:val="-15"/>
          <w:sz w:val="22"/>
          <w:szCs w:val="22"/>
          <w:bdr w:val="nil"/>
          <w:lang w:val="de-DE"/>
        </w:rPr>
        <w:t>• Tragen Sie immer einen bruchsicheren Augenschutz.</w:t>
      </w:r>
    </w:p>
    <w:p w:rsidR="00406239" w:rsidRPr="009A07FF" w:rsidRDefault="008B6583" w:rsidP="00406239">
      <w:pPr>
        <w:tabs>
          <w:tab w:val="left" w:pos="585"/>
        </w:tabs>
        <w:autoSpaceDE w:val="0"/>
        <w:autoSpaceDN w:val="0"/>
        <w:adjustRightInd w:val="0"/>
        <w:spacing w:after="29"/>
        <w:jc w:val="both"/>
        <w:rPr>
          <w:rFonts w:ascii="Arial" w:hAnsi="Arial" w:cs="Arial"/>
          <w:b/>
          <w:bCs/>
          <w:spacing w:val="-15"/>
          <w:sz w:val="22"/>
          <w:szCs w:val="22"/>
          <w:lang w:val="de-DE"/>
        </w:rPr>
      </w:pPr>
      <w:r>
        <w:rPr>
          <w:rFonts w:ascii="Arial" w:eastAsia="Arial" w:hAnsi="Arial" w:cs="Arial"/>
          <w:b/>
          <w:bCs/>
          <w:spacing w:val="-15"/>
          <w:sz w:val="22"/>
          <w:szCs w:val="22"/>
          <w:bdr w:val="nil"/>
          <w:lang w:val="de-DE"/>
        </w:rPr>
        <w:t>• Mischen Sie keine Lösungsmittel und brennbare Substanzen auf oder neben dem Mischer.</w:t>
      </w:r>
    </w:p>
    <w:p w:rsidR="00406239" w:rsidRPr="009A07FF" w:rsidRDefault="008B6583" w:rsidP="00406239">
      <w:pPr>
        <w:tabs>
          <w:tab w:val="left" w:pos="585"/>
        </w:tabs>
        <w:autoSpaceDE w:val="0"/>
        <w:autoSpaceDN w:val="0"/>
        <w:adjustRightInd w:val="0"/>
        <w:spacing w:after="29"/>
        <w:jc w:val="both"/>
        <w:rPr>
          <w:rFonts w:ascii="Arial" w:hAnsi="Arial" w:cs="Arial"/>
          <w:b/>
          <w:bCs/>
          <w:spacing w:val="-15"/>
          <w:sz w:val="22"/>
          <w:szCs w:val="22"/>
          <w:lang w:val="de-DE"/>
        </w:rPr>
      </w:pPr>
      <w:r>
        <w:rPr>
          <w:rFonts w:ascii="Arial" w:eastAsia="Arial" w:hAnsi="Arial" w:cs="Arial"/>
          <w:b/>
          <w:bCs/>
          <w:spacing w:val="-15"/>
          <w:sz w:val="22"/>
          <w:szCs w:val="22"/>
          <w:bdr w:val="nil"/>
          <w:lang w:val="de-DE"/>
        </w:rPr>
        <w:t>• Gefährliche Proben sollten nur in entsprechenden Sicherheitsbehältern gemischt werden.</w:t>
      </w:r>
    </w:p>
    <w:p w:rsidR="00406239" w:rsidRPr="009A07FF" w:rsidRDefault="008B6583" w:rsidP="00406239">
      <w:pPr>
        <w:tabs>
          <w:tab w:val="left" w:pos="585"/>
        </w:tabs>
        <w:autoSpaceDE w:val="0"/>
        <w:autoSpaceDN w:val="0"/>
        <w:adjustRightInd w:val="0"/>
        <w:spacing w:line="220" w:lineRule="atLeast"/>
        <w:jc w:val="both"/>
        <w:rPr>
          <w:rFonts w:ascii="Arial" w:hAnsi="Arial" w:cs="Arial"/>
          <w:b/>
          <w:bCs/>
          <w:spacing w:val="-15"/>
          <w:sz w:val="22"/>
          <w:szCs w:val="22"/>
          <w:lang w:val="de-DE"/>
        </w:rPr>
      </w:pPr>
      <w:r>
        <w:rPr>
          <w:rFonts w:ascii="Arial" w:eastAsia="Arial" w:hAnsi="Arial" w:cs="Arial"/>
          <w:b/>
          <w:bCs/>
          <w:spacing w:val="-15"/>
          <w:sz w:val="22"/>
          <w:szCs w:val="22"/>
          <w:bdr w:val="nil"/>
          <w:lang w:val="de-DE"/>
        </w:rPr>
        <w:t>• Reparaturen sollten nur von qualifizierten Personen durchgeführt werden</w:t>
      </w:r>
    </w:p>
    <w:p w:rsidR="00406239" w:rsidRPr="009A07FF" w:rsidRDefault="009A07FF" w:rsidP="003C728F">
      <w:pPr>
        <w:tabs>
          <w:tab w:val="left" w:pos="585"/>
        </w:tabs>
        <w:autoSpaceDE w:val="0"/>
        <w:autoSpaceDN w:val="0"/>
        <w:adjustRightInd w:val="0"/>
        <w:spacing w:line="220" w:lineRule="atLeast"/>
        <w:jc w:val="both"/>
        <w:rPr>
          <w:rFonts w:ascii="Arial" w:hAnsi="Arial" w:cs="Arial"/>
          <w:b/>
          <w:bCs/>
          <w:spacing w:val="-15"/>
          <w:sz w:val="22"/>
          <w:szCs w:val="22"/>
          <w:lang w:val="de-DE"/>
        </w:rPr>
      </w:pPr>
      <w:r>
        <w:rPr>
          <w:rFonts w:ascii="Arial" w:eastAsia="Arial" w:hAnsi="Arial" w:cs="Arial"/>
          <w:b/>
          <w:bCs/>
          <w:spacing w:val="-15"/>
          <w:sz w:val="22"/>
          <w:szCs w:val="22"/>
          <w:bdr w:val="nil"/>
          <w:lang w:val="de-DE"/>
        </w:rPr>
        <w:t xml:space="preserve">• Bei </w:t>
      </w:r>
      <w:r w:rsidR="008B6583">
        <w:rPr>
          <w:rFonts w:ascii="Arial" w:eastAsia="Arial" w:hAnsi="Arial" w:cs="Arial"/>
          <w:b/>
          <w:bCs/>
          <w:spacing w:val="-15"/>
          <w:sz w:val="22"/>
          <w:szCs w:val="22"/>
          <w:bdr w:val="nil"/>
          <w:lang w:val="de-DE"/>
        </w:rPr>
        <w:t>Verwendung auf eine nicht vom Hersteller angegebene Weise können die Schutzvorrichtungen gestört werden.</w:t>
      </w:r>
    </w:p>
    <w:p w:rsidR="00CF5CB4" w:rsidRPr="003C728F" w:rsidRDefault="003C728F" w:rsidP="003C728F">
      <w:pPr>
        <w:autoSpaceDE w:val="0"/>
        <w:autoSpaceDN w:val="0"/>
        <w:adjustRightInd w:val="0"/>
        <w:spacing w:line="252" w:lineRule="atLeast"/>
        <w:jc w:val="both"/>
        <w:rPr>
          <w:rFonts w:ascii="Arial" w:hAnsi="Arial" w:cs="Arial"/>
          <w:b/>
          <w:bCs/>
          <w:sz w:val="2"/>
          <w:szCs w:val="2"/>
          <w:lang w:val="de-DE"/>
        </w:rPr>
      </w:pPr>
    </w:p>
    <w:p w:rsidR="00CF5CB4" w:rsidRPr="009A07FF" w:rsidRDefault="008B6583" w:rsidP="00CF5CB4">
      <w:pPr>
        <w:autoSpaceDE w:val="0"/>
        <w:autoSpaceDN w:val="0"/>
        <w:adjustRightInd w:val="0"/>
        <w:spacing w:after="58" w:line="252" w:lineRule="atLeast"/>
        <w:jc w:val="both"/>
        <w:rPr>
          <w:rFonts w:ascii="Arial" w:hAnsi="Arial" w:cs="Arial"/>
          <w:b/>
          <w:bCs/>
          <w:sz w:val="20"/>
          <w:szCs w:val="20"/>
          <w:lang w:val="de-DE"/>
        </w:rPr>
      </w:pPr>
      <w:r>
        <w:rPr>
          <w:rFonts w:ascii="Arial" w:eastAsia="Arial" w:hAnsi="Arial" w:cs="Arial"/>
          <w:b/>
          <w:bCs/>
          <w:sz w:val="20"/>
          <w:szCs w:val="20"/>
          <w:bdr w:val="nil"/>
          <w:lang w:val="de-DE"/>
        </w:rPr>
        <w:t>Zubehör</w:t>
      </w:r>
    </w:p>
    <w:p w:rsidR="00CF5CB4" w:rsidRPr="009A07FF" w:rsidRDefault="008B6583" w:rsidP="003C728F">
      <w:pPr>
        <w:autoSpaceDE w:val="0"/>
        <w:autoSpaceDN w:val="0"/>
        <w:adjustRightInd w:val="0"/>
        <w:spacing w:line="252" w:lineRule="atLeast"/>
        <w:jc w:val="both"/>
        <w:rPr>
          <w:rFonts w:ascii="Arial" w:hAnsi="Arial" w:cs="Arial"/>
          <w:b/>
          <w:bCs/>
          <w:sz w:val="20"/>
          <w:szCs w:val="20"/>
          <w:lang w:val="de-DE"/>
        </w:rPr>
      </w:pPr>
      <w:r>
        <w:rPr>
          <w:rFonts w:ascii="Arial" w:eastAsia="Arial" w:hAnsi="Arial" w:cs="Arial"/>
          <w:sz w:val="20"/>
          <w:szCs w:val="20"/>
          <w:bdr w:val="nil"/>
          <w:lang w:val="de-DE"/>
        </w:rPr>
        <w:t xml:space="preserve">Für den Vortexmischer sind mehrere zusätzliche Schüttelaufsätze erhältlich.  Um die Aufsätze auszutauschen, entfernen Sie den Schüttelaufsatz, indem Sie das Gehäuse sicher festhalten, während Sie am Aufsatz ziehen.  Ein optionaler Aufsatz kann dann auf dem Antriebsstab platziert und gesichert werden, indem fest auf den Aufsatz gedrückt wird.  </w:t>
      </w:r>
      <w:r>
        <w:rPr>
          <w:rFonts w:ascii="Arial" w:eastAsia="Arial" w:hAnsi="Arial" w:cs="Arial"/>
          <w:b/>
          <w:bCs/>
          <w:sz w:val="20"/>
          <w:szCs w:val="20"/>
          <w:bdr w:val="nil"/>
          <w:lang w:val="de-DE"/>
        </w:rPr>
        <w:t xml:space="preserve">Wenn der Zubehöraufsatz entfernt wird, ziehen Sie nur den schwarzen Kunststoffstecker nach oben.  </w:t>
      </w:r>
      <w:r>
        <w:rPr>
          <w:rFonts w:ascii="Arial" w:eastAsia="Arial" w:hAnsi="Arial" w:cs="Arial"/>
          <w:sz w:val="20"/>
          <w:szCs w:val="20"/>
          <w:bdr w:val="nil"/>
          <w:lang w:val="de-DE"/>
        </w:rPr>
        <w:t xml:space="preserve">Wenn Sie den Schaumstoff oder die Metallplatte nach oben ziehen, kann der Zubehöraufsatz beschädigt werden.     </w:t>
      </w:r>
    </w:p>
    <w:p w:rsidR="00CF5CB4" w:rsidRPr="003C728F" w:rsidRDefault="003C728F" w:rsidP="00CF5CB4">
      <w:pPr>
        <w:rPr>
          <w:sz w:val="6"/>
          <w:szCs w:val="6"/>
          <w:lang w:val="de-DE"/>
        </w:rPr>
      </w:pPr>
    </w:p>
    <w:p w:rsidR="00CF5CB4" w:rsidRPr="003C728F" w:rsidRDefault="003C728F" w:rsidP="00CF5CB4">
      <w:pPr>
        <w:rPr>
          <w:sz w:val="6"/>
          <w:szCs w:val="6"/>
          <w:lang w:val="de-DE"/>
        </w:rPr>
      </w:pPr>
    </w:p>
    <w:p w:rsidR="00CF5CB4" w:rsidRPr="009A07FF" w:rsidRDefault="008B6583" w:rsidP="003C728F">
      <w:pPr>
        <w:tabs>
          <w:tab w:val="left" w:pos="585"/>
        </w:tabs>
        <w:autoSpaceDE w:val="0"/>
        <w:autoSpaceDN w:val="0"/>
        <w:adjustRightInd w:val="0"/>
        <w:spacing w:line="252" w:lineRule="atLeast"/>
        <w:jc w:val="both"/>
        <w:rPr>
          <w:rFonts w:ascii="Arial" w:hAnsi="Arial" w:cs="Arial"/>
          <w:sz w:val="20"/>
          <w:szCs w:val="20"/>
          <w:lang w:val="de-DE"/>
        </w:rPr>
      </w:pPr>
      <w:r>
        <w:rPr>
          <w:rFonts w:ascii="Arial" w:eastAsia="Arial" w:hAnsi="Arial" w:cs="Arial"/>
          <w:b/>
          <w:bCs/>
          <w:spacing w:val="-15"/>
          <w:sz w:val="20"/>
          <w:szCs w:val="20"/>
          <w:bdr w:val="nil"/>
          <w:lang w:val="de-DE"/>
        </w:rPr>
        <w:t>Überschreiten Sie nicht die Geschwindigkeitseinstellung „Zubehör Max“, wenn Sie Zubehöraufsätze verwenden.  Dadurch kann der Vortexmischer beschädigt werden.</w:t>
      </w:r>
    </w:p>
    <w:p w:rsidR="00CF5CB4" w:rsidRPr="003C728F" w:rsidRDefault="003C728F" w:rsidP="003C728F">
      <w:pPr>
        <w:autoSpaceDE w:val="0"/>
        <w:autoSpaceDN w:val="0"/>
        <w:adjustRightInd w:val="0"/>
        <w:spacing w:line="252" w:lineRule="atLeast"/>
        <w:jc w:val="both"/>
        <w:rPr>
          <w:rFonts w:ascii="Arial" w:hAnsi="Arial" w:cs="Arial"/>
          <w:sz w:val="2"/>
          <w:szCs w:val="2"/>
          <w:lang w:val="de-DE"/>
        </w:rPr>
      </w:pPr>
    </w:p>
    <w:p w:rsidR="00CF5CB4" w:rsidRPr="009A07FF" w:rsidRDefault="008B6583" w:rsidP="003C728F">
      <w:pPr>
        <w:autoSpaceDE w:val="0"/>
        <w:autoSpaceDN w:val="0"/>
        <w:adjustRightInd w:val="0"/>
        <w:spacing w:line="252" w:lineRule="atLeast"/>
        <w:jc w:val="both"/>
        <w:rPr>
          <w:rFonts w:ascii="Arial" w:hAnsi="Arial" w:cs="Arial"/>
          <w:sz w:val="20"/>
          <w:szCs w:val="20"/>
          <w:lang w:val="de-DE"/>
        </w:rPr>
      </w:pPr>
      <w:r>
        <w:rPr>
          <w:rFonts w:ascii="Arial" w:eastAsia="Arial" w:hAnsi="Arial" w:cs="Arial"/>
          <w:sz w:val="20"/>
          <w:szCs w:val="20"/>
          <w:bdr w:val="nil"/>
          <w:lang w:val="de-DE"/>
        </w:rPr>
        <w:t>Optionale Schüttelaufsätze sind:</w:t>
      </w:r>
    </w:p>
    <w:p w:rsidR="00CF5CB4" w:rsidRPr="003C728F" w:rsidRDefault="003C728F" w:rsidP="002A02B7">
      <w:pPr>
        <w:autoSpaceDE w:val="0"/>
        <w:autoSpaceDN w:val="0"/>
        <w:adjustRightInd w:val="0"/>
        <w:ind w:left="720"/>
        <w:jc w:val="both"/>
        <w:rPr>
          <w:rFonts w:ascii="Arial" w:hAnsi="Arial" w:cs="Arial"/>
          <w:sz w:val="4"/>
          <w:szCs w:val="4"/>
          <w:lang w:val="de-DE"/>
        </w:rPr>
      </w:pPr>
    </w:p>
    <w:p w:rsidR="00CF5CB4" w:rsidRPr="009A07FF" w:rsidRDefault="008B6583" w:rsidP="002A02B7">
      <w:pPr>
        <w:autoSpaceDE w:val="0"/>
        <w:autoSpaceDN w:val="0"/>
        <w:adjustRightInd w:val="0"/>
        <w:spacing w:line="360" w:lineRule="auto"/>
        <w:ind w:left="720"/>
        <w:jc w:val="both"/>
        <w:rPr>
          <w:rFonts w:ascii="Arial" w:hAnsi="Arial" w:cs="Arial"/>
          <w:sz w:val="20"/>
          <w:szCs w:val="20"/>
          <w:lang w:val="de-DE"/>
        </w:rPr>
      </w:pPr>
      <w:r>
        <w:rPr>
          <w:rFonts w:ascii="Arial" w:eastAsia="Arial" w:hAnsi="Arial" w:cs="Arial"/>
          <w:sz w:val="20"/>
          <w:szCs w:val="20"/>
          <w:bdr w:val="nil"/>
          <w:lang w:val="de-DE"/>
        </w:rPr>
        <w:t>SBS100-21</w:t>
      </w:r>
      <w:r>
        <w:rPr>
          <w:rFonts w:ascii="Arial" w:eastAsia="Arial" w:hAnsi="Arial" w:cs="Arial"/>
          <w:sz w:val="20"/>
          <w:szCs w:val="20"/>
          <w:bdr w:val="nil"/>
          <w:lang w:val="de-DE"/>
        </w:rPr>
        <w:tab/>
        <w:t>Mikroröhrchenaufsatz, Schaum, für 80 Röhrchen</w:t>
      </w:r>
    </w:p>
    <w:p w:rsidR="00CF5CB4" w:rsidRPr="009A07FF" w:rsidRDefault="008B6583" w:rsidP="009A07FF">
      <w:pPr>
        <w:autoSpaceDE w:val="0"/>
        <w:autoSpaceDN w:val="0"/>
        <w:adjustRightInd w:val="0"/>
        <w:spacing w:after="58" w:line="360" w:lineRule="auto"/>
        <w:ind w:left="2160" w:hanging="1440"/>
        <w:jc w:val="both"/>
        <w:rPr>
          <w:rFonts w:ascii="Arial" w:hAnsi="Arial" w:cs="Arial"/>
          <w:sz w:val="20"/>
          <w:szCs w:val="20"/>
          <w:lang w:val="de-DE"/>
        </w:rPr>
      </w:pPr>
      <w:r>
        <w:rPr>
          <w:rFonts w:ascii="Arial" w:eastAsia="Arial" w:hAnsi="Arial" w:cs="Arial"/>
          <w:sz w:val="20"/>
          <w:szCs w:val="20"/>
          <w:bdr w:val="nil"/>
          <w:lang w:val="de-DE"/>
        </w:rPr>
        <w:t>SBS100-22</w:t>
      </w:r>
      <w:r>
        <w:rPr>
          <w:rFonts w:ascii="Arial" w:eastAsia="Arial" w:hAnsi="Arial" w:cs="Arial"/>
          <w:sz w:val="20"/>
          <w:szCs w:val="20"/>
          <w:bdr w:val="nil"/>
          <w:lang w:val="de-DE"/>
        </w:rPr>
        <w:tab/>
        <w:t>Mikroplattenaufsatz, Schaum, für 1 Mikroplatte oder 64 x 0,2-ml-Röhrchen</w:t>
      </w:r>
    </w:p>
    <w:p w:rsidR="00CF5CB4" w:rsidRPr="009A07FF" w:rsidRDefault="008B6583" w:rsidP="002A02B7">
      <w:pPr>
        <w:autoSpaceDE w:val="0"/>
        <w:autoSpaceDN w:val="0"/>
        <w:adjustRightInd w:val="0"/>
        <w:spacing w:after="58" w:line="360" w:lineRule="auto"/>
        <w:ind w:left="720"/>
        <w:jc w:val="both"/>
        <w:rPr>
          <w:rFonts w:ascii="Arial" w:hAnsi="Arial" w:cs="Arial"/>
          <w:sz w:val="20"/>
          <w:szCs w:val="20"/>
          <w:lang w:val="de-DE"/>
        </w:rPr>
      </w:pPr>
      <w:r>
        <w:rPr>
          <w:rFonts w:ascii="Arial" w:eastAsia="Arial" w:hAnsi="Arial" w:cs="Arial"/>
          <w:sz w:val="20"/>
          <w:szCs w:val="20"/>
          <w:bdr w:val="nil"/>
          <w:lang w:val="de-DE"/>
        </w:rPr>
        <w:t>SBS100-23</w:t>
      </w:r>
      <w:r>
        <w:rPr>
          <w:rFonts w:ascii="Arial" w:eastAsia="Arial" w:hAnsi="Arial" w:cs="Arial"/>
          <w:sz w:val="20"/>
          <w:szCs w:val="20"/>
          <w:bdr w:val="nil"/>
          <w:lang w:val="de-DE"/>
        </w:rPr>
        <w:tab/>
        <w:t>10–13 mm und 15-ml-Röhrchen-Aufsatz, für 16 Röhrchen</w:t>
      </w:r>
    </w:p>
    <w:p w:rsidR="00CF5CB4" w:rsidRPr="009A07FF" w:rsidRDefault="008B6583" w:rsidP="002A02B7">
      <w:pPr>
        <w:autoSpaceDE w:val="0"/>
        <w:autoSpaceDN w:val="0"/>
        <w:adjustRightInd w:val="0"/>
        <w:spacing w:after="58" w:line="360" w:lineRule="auto"/>
        <w:ind w:left="720"/>
        <w:jc w:val="both"/>
        <w:rPr>
          <w:rFonts w:ascii="Arial" w:hAnsi="Arial" w:cs="Arial"/>
          <w:sz w:val="20"/>
          <w:szCs w:val="20"/>
          <w:lang w:val="de-DE"/>
        </w:rPr>
      </w:pPr>
      <w:r>
        <w:rPr>
          <w:rFonts w:ascii="Arial" w:eastAsia="Arial" w:hAnsi="Arial" w:cs="Arial"/>
          <w:sz w:val="20"/>
          <w:szCs w:val="20"/>
          <w:bdr w:val="nil"/>
          <w:lang w:val="de-DE"/>
        </w:rPr>
        <w:t>SBS100-24</w:t>
      </w:r>
      <w:r>
        <w:rPr>
          <w:rFonts w:ascii="Arial" w:eastAsia="Arial" w:hAnsi="Arial" w:cs="Arial"/>
          <w:sz w:val="20"/>
          <w:szCs w:val="20"/>
          <w:bdr w:val="nil"/>
          <w:lang w:val="de-DE"/>
        </w:rPr>
        <w:tab/>
        <w:t>50-ml-Röhrchen-Aufsatz, für 6 Röhrchen</w:t>
      </w:r>
    </w:p>
    <w:p w:rsidR="00CF5CB4" w:rsidRPr="009A07FF" w:rsidRDefault="008B6583" w:rsidP="002A02B7">
      <w:pPr>
        <w:autoSpaceDE w:val="0"/>
        <w:autoSpaceDN w:val="0"/>
        <w:adjustRightInd w:val="0"/>
        <w:spacing w:after="58" w:line="360" w:lineRule="auto"/>
        <w:ind w:left="720"/>
        <w:jc w:val="both"/>
        <w:rPr>
          <w:rFonts w:ascii="Arial" w:hAnsi="Arial" w:cs="Arial"/>
          <w:sz w:val="20"/>
          <w:szCs w:val="20"/>
          <w:lang w:val="de-DE"/>
        </w:rPr>
      </w:pPr>
      <w:r>
        <w:rPr>
          <w:rFonts w:ascii="Arial" w:eastAsia="Arial" w:hAnsi="Arial" w:cs="Arial"/>
          <w:sz w:val="20"/>
          <w:szCs w:val="20"/>
          <w:bdr w:val="nil"/>
          <w:lang w:val="de-DE"/>
        </w:rPr>
        <w:t>SBS100-25</w:t>
      </w:r>
      <w:r>
        <w:rPr>
          <w:rFonts w:ascii="Arial" w:eastAsia="Arial" w:hAnsi="Arial" w:cs="Arial"/>
          <w:sz w:val="20"/>
          <w:szCs w:val="20"/>
          <w:bdr w:val="nil"/>
          <w:lang w:val="de-DE"/>
        </w:rPr>
        <w:tab/>
        <w:t>Aufsatz für 12 x 1,5-ml-Röhrchen, horizontal gehalten</w:t>
      </w:r>
    </w:p>
    <w:p w:rsidR="00CF5CB4" w:rsidRPr="009A07FF" w:rsidRDefault="008B6583" w:rsidP="002A02B7">
      <w:pPr>
        <w:autoSpaceDE w:val="0"/>
        <w:autoSpaceDN w:val="0"/>
        <w:adjustRightInd w:val="0"/>
        <w:spacing w:after="58" w:line="360" w:lineRule="auto"/>
        <w:ind w:left="720"/>
        <w:jc w:val="both"/>
        <w:rPr>
          <w:rFonts w:ascii="Arial" w:hAnsi="Arial" w:cs="Arial"/>
          <w:sz w:val="20"/>
          <w:szCs w:val="20"/>
          <w:lang w:val="de-DE"/>
        </w:rPr>
      </w:pPr>
      <w:r>
        <w:rPr>
          <w:rFonts w:ascii="Arial" w:eastAsia="Arial" w:hAnsi="Arial" w:cs="Arial"/>
          <w:sz w:val="20"/>
          <w:szCs w:val="20"/>
          <w:bdr w:val="nil"/>
          <w:lang w:val="de-DE"/>
        </w:rPr>
        <w:t>SBS100-26</w:t>
      </w:r>
      <w:r>
        <w:rPr>
          <w:rFonts w:ascii="Arial" w:eastAsia="Arial" w:hAnsi="Arial" w:cs="Arial"/>
          <w:sz w:val="20"/>
          <w:szCs w:val="20"/>
          <w:bdr w:val="nil"/>
          <w:lang w:val="de-DE"/>
        </w:rPr>
        <w:tab/>
        <w:t>Aufsatz für 4 x 15-ml-Röhrchen, horizontal gehalten</w:t>
      </w:r>
    </w:p>
    <w:p w:rsidR="00CF5CB4" w:rsidRPr="009A07FF" w:rsidRDefault="008B6583" w:rsidP="002A02B7">
      <w:pPr>
        <w:autoSpaceDE w:val="0"/>
        <w:autoSpaceDN w:val="0"/>
        <w:adjustRightInd w:val="0"/>
        <w:spacing w:after="58" w:line="360" w:lineRule="auto"/>
        <w:ind w:left="720"/>
        <w:jc w:val="both"/>
        <w:rPr>
          <w:rFonts w:ascii="Arial" w:hAnsi="Arial" w:cs="Arial"/>
          <w:sz w:val="20"/>
          <w:szCs w:val="20"/>
          <w:lang w:val="de-DE"/>
        </w:rPr>
      </w:pPr>
      <w:r>
        <w:rPr>
          <w:rFonts w:ascii="Arial" w:eastAsia="Arial" w:hAnsi="Arial" w:cs="Arial"/>
          <w:sz w:val="20"/>
          <w:szCs w:val="20"/>
          <w:bdr w:val="nil"/>
          <w:lang w:val="de-DE"/>
        </w:rPr>
        <w:t>SBS100-27</w:t>
      </w:r>
      <w:r>
        <w:rPr>
          <w:rFonts w:ascii="Arial" w:eastAsia="Arial" w:hAnsi="Arial" w:cs="Arial"/>
          <w:sz w:val="20"/>
          <w:szCs w:val="20"/>
          <w:bdr w:val="nil"/>
          <w:lang w:val="de-DE"/>
        </w:rPr>
        <w:tab/>
        <w:t>Aufsatz für 2 x 50 ml-Röhrchen, horizontal gehalten</w:t>
      </w:r>
    </w:p>
    <w:p w:rsidR="00CF5CB4" w:rsidRPr="009A07FF" w:rsidRDefault="008B6583" w:rsidP="00CF5CB4">
      <w:pPr>
        <w:autoSpaceDE w:val="0"/>
        <w:autoSpaceDN w:val="0"/>
        <w:adjustRightInd w:val="0"/>
        <w:spacing w:after="115" w:line="252" w:lineRule="atLeast"/>
        <w:jc w:val="both"/>
        <w:rPr>
          <w:rFonts w:ascii="Arial" w:hAnsi="Arial" w:cs="Arial"/>
          <w:b/>
          <w:bCs/>
          <w:sz w:val="20"/>
          <w:szCs w:val="20"/>
          <w:lang w:val="de-DE"/>
        </w:rPr>
      </w:pPr>
      <w:r>
        <w:rPr>
          <w:rFonts w:ascii="Arial" w:eastAsia="Arial" w:hAnsi="Arial" w:cs="Arial"/>
          <w:sz w:val="20"/>
          <w:szCs w:val="20"/>
          <w:bdr w:val="nil"/>
          <w:lang w:val="de-DE"/>
        </w:rPr>
        <w:t>Wenden Sie sich an Ihren Select BioProducts-Vertrieb, um Informationen zur Bestellung zusätzlicher Aufsätze zu erhalten</w:t>
      </w:r>
    </w:p>
    <w:p w:rsidR="00CF5CB4" w:rsidRPr="009A07FF" w:rsidRDefault="008B6583" w:rsidP="00CF5CB4">
      <w:pPr>
        <w:autoSpaceDE w:val="0"/>
        <w:autoSpaceDN w:val="0"/>
        <w:adjustRightInd w:val="0"/>
        <w:spacing w:after="58" w:line="252" w:lineRule="atLeast"/>
        <w:jc w:val="both"/>
        <w:rPr>
          <w:rFonts w:ascii="Arial" w:hAnsi="Arial" w:cs="Arial"/>
          <w:sz w:val="20"/>
          <w:szCs w:val="20"/>
          <w:lang w:val="de-DE"/>
        </w:rPr>
      </w:pPr>
      <w:r>
        <w:rPr>
          <w:rFonts w:ascii="Arial" w:eastAsia="Arial" w:hAnsi="Arial" w:cs="Arial"/>
          <w:b/>
          <w:bCs/>
          <w:sz w:val="20"/>
          <w:szCs w:val="20"/>
          <w:bdr w:val="nil"/>
          <w:lang w:val="de-DE"/>
        </w:rPr>
        <w:lastRenderedPageBreak/>
        <w:t>Pflege und Wartung</w:t>
      </w:r>
    </w:p>
    <w:p w:rsidR="00CF5CB4" w:rsidRPr="009A07FF" w:rsidRDefault="008B6583" w:rsidP="00CF5CB4">
      <w:pPr>
        <w:autoSpaceDE w:val="0"/>
        <w:autoSpaceDN w:val="0"/>
        <w:adjustRightInd w:val="0"/>
        <w:spacing w:after="58" w:line="252" w:lineRule="atLeast"/>
        <w:jc w:val="both"/>
        <w:rPr>
          <w:rFonts w:ascii="Arial" w:hAnsi="Arial" w:cs="Arial"/>
          <w:b/>
          <w:bCs/>
          <w:sz w:val="20"/>
          <w:szCs w:val="20"/>
          <w:lang w:val="de-DE"/>
        </w:rPr>
      </w:pPr>
      <w:r>
        <w:rPr>
          <w:noProof/>
          <w:lang w:eastAsia="zh-TW"/>
        </w:rPr>
        <w:drawing>
          <wp:anchor distT="0" distB="0" distL="114300" distR="114300" simplePos="0" relativeHeight="251665408" behindDoc="0" locked="0" layoutInCell="1" allowOverlap="1">
            <wp:simplePos x="0" y="0"/>
            <wp:positionH relativeFrom="column">
              <wp:posOffset>65405</wp:posOffset>
            </wp:positionH>
            <wp:positionV relativeFrom="paragraph">
              <wp:posOffset>96520</wp:posOffset>
            </wp:positionV>
            <wp:extent cx="643255" cy="552450"/>
            <wp:effectExtent l="0" t="0" r="4445" b="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43255" cy="552450"/>
                    </a:xfrm>
                    <a:prstGeom prst="rect">
                      <a:avLst/>
                    </a:prstGeom>
                    <a:noFill/>
                    <a:ln>
                      <a:noFill/>
                    </a:ln>
                  </pic:spPr>
                </pic:pic>
              </a:graphicData>
            </a:graphic>
          </wp:anchor>
        </w:drawing>
      </w:r>
    </w:p>
    <w:p w:rsidR="00CF5CB4" w:rsidRPr="009A07FF" w:rsidRDefault="008B6583" w:rsidP="00CF5CB4">
      <w:pPr>
        <w:autoSpaceDE w:val="0"/>
        <w:autoSpaceDN w:val="0"/>
        <w:adjustRightInd w:val="0"/>
        <w:spacing w:after="58" w:line="252" w:lineRule="atLeast"/>
        <w:jc w:val="both"/>
        <w:rPr>
          <w:rFonts w:ascii="Arial" w:hAnsi="Arial" w:cs="Arial"/>
          <w:b/>
          <w:bCs/>
          <w:sz w:val="20"/>
          <w:szCs w:val="20"/>
          <w:lang w:val="de-DE"/>
        </w:rPr>
      </w:pPr>
      <w:r>
        <w:rPr>
          <w:rFonts w:ascii="Arial" w:eastAsia="Arial" w:hAnsi="Arial" w:cs="Arial"/>
          <w:b/>
          <w:bCs/>
          <w:sz w:val="20"/>
          <w:szCs w:val="20"/>
          <w:bdr w:val="nil"/>
          <w:lang w:val="de-DE"/>
        </w:rPr>
        <w:t xml:space="preserve">Warnung:  Nehmen Sie den Vortexer vor Reinigungs- oder Wartungsverfahren von der Stromquelle.  </w:t>
      </w:r>
    </w:p>
    <w:p w:rsidR="00CF5CB4" w:rsidRPr="009A07FF" w:rsidRDefault="003C728F" w:rsidP="00CF5CB4">
      <w:pPr>
        <w:autoSpaceDE w:val="0"/>
        <w:autoSpaceDN w:val="0"/>
        <w:adjustRightInd w:val="0"/>
        <w:spacing w:after="58" w:line="252" w:lineRule="atLeast"/>
        <w:jc w:val="both"/>
        <w:rPr>
          <w:rFonts w:ascii="Arial" w:hAnsi="Arial" w:cs="Arial"/>
          <w:sz w:val="20"/>
          <w:szCs w:val="20"/>
          <w:lang w:val="de-DE"/>
        </w:rPr>
      </w:pPr>
    </w:p>
    <w:p w:rsidR="00CF5CB4" w:rsidRPr="009A07FF" w:rsidRDefault="008B6583" w:rsidP="00CF5CB4">
      <w:pPr>
        <w:autoSpaceDE w:val="0"/>
        <w:autoSpaceDN w:val="0"/>
        <w:adjustRightInd w:val="0"/>
        <w:spacing w:after="58" w:line="252" w:lineRule="atLeast"/>
        <w:jc w:val="both"/>
        <w:rPr>
          <w:rFonts w:ascii="Arial" w:hAnsi="Arial" w:cs="Arial"/>
          <w:sz w:val="20"/>
          <w:szCs w:val="20"/>
          <w:lang w:val="de-DE"/>
        </w:rPr>
      </w:pPr>
      <w:r>
        <w:rPr>
          <w:rFonts w:ascii="Arial" w:eastAsia="Arial" w:hAnsi="Arial" w:cs="Arial"/>
          <w:sz w:val="20"/>
          <w:szCs w:val="20"/>
          <w:bdr w:val="nil"/>
          <w:lang w:val="de-DE"/>
        </w:rPr>
        <w:t>Wischen Sie den Mischer nach jedem Gebrauch mit einem weichen Tuch ab.  Die Einheit nicht untertauchen oder Flüssigkeiten darüber gießen, da es zu einem Stromschlag kommen kann.  Wischen Sie Spritzer sofort unter den entsprechenden Vorkehrungen ab.  Falls erforderlich, kann der Schüttelaufsatz entfernt werden.  Nehmen Sie zuerst den Vortexer von der Stromquelle, entnehmen Sie dann den Kombischüttelaufsatz, indem Sie das Gehäuse sicher festhalten, während Sie den Aufsatz nach oben ziehen.  Der Aufsatz kann dann mit einem milden Reinigungsmittel gesäubert werden.  Vergewissern Sie sich, dass der Aufsatz ganz trocken ist, bevor Sie ihn wieder auf die Einheit aufsetzen.</w:t>
      </w:r>
    </w:p>
    <w:p w:rsidR="00CF5CB4" w:rsidRPr="009A07FF" w:rsidRDefault="008B6583" w:rsidP="00CF5CB4">
      <w:pPr>
        <w:autoSpaceDE w:val="0"/>
        <w:autoSpaceDN w:val="0"/>
        <w:adjustRightInd w:val="0"/>
        <w:spacing w:after="115" w:line="252" w:lineRule="atLeast"/>
        <w:jc w:val="both"/>
        <w:rPr>
          <w:rFonts w:ascii="Arial" w:hAnsi="Arial" w:cs="Arial"/>
          <w:sz w:val="20"/>
          <w:szCs w:val="20"/>
          <w:lang w:val="de-DE"/>
        </w:rPr>
      </w:pPr>
      <w:r>
        <w:rPr>
          <w:rFonts w:ascii="Arial" w:eastAsia="Arial" w:hAnsi="Arial" w:cs="Arial"/>
          <w:sz w:val="20"/>
          <w:szCs w:val="20"/>
          <w:bdr w:val="nil"/>
          <w:lang w:val="de-DE"/>
        </w:rPr>
        <w:t>Der Motor und der Schüttelmechanismus im Vortexmischer benötigen keine Routinewartung oder Schmierung.</w:t>
      </w:r>
    </w:p>
    <w:p w:rsidR="00CF5CB4" w:rsidRPr="009A07FF" w:rsidRDefault="003C728F" w:rsidP="00CF5CB4">
      <w:pPr>
        <w:autoSpaceDE w:val="0"/>
        <w:autoSpaceDN w:val="0"/>
        <w:adjustRightInd w:val="0"/>
        <w:spacing w:after="58" w:line="252" w:lineRule="atLeast"/>
        <w:jc w:val="both"/>
        <w:rPr>
          <w:rFonts w:ascii="Arial" w:hAnsi="Arial" w:cs="Arial"/>
          <w:b/>
          <w:bCs/>
          <w:sz w:val="20"/>
          <w:szCs w:val="20"/>
          <w:lang w:val="de-DE"/>
        </w:rPr>
      </w:pPr>
    </w:p>
    <w:p w:rsidR="00CF5CB4" w:rsidRPr="009A07FF" w:rsidRDefault="008B6583" w:rsidP="00CF5CB4">
      <w:pPr>
        <w:autoSpaceDE w:val="0"/>
        <w:autoSpaceDN w:val="0"/>
        <w:adjustRightInd w:val="0"/>
        <w:spacing w:after="58" w:line="252" w:lineRule="atLeast"/>
        <w:jc w:val="both"/>
        <w:rPr>
          <w:rFonts w:ascii="Arial" w:hAnsi="Arial" w:cs="Arial"/>
          <w:sz w:val="20"/>
          <w:szCs w:val="20"/>
          <w:lang w:val="de-DE"/>
        </w:rPr>
      </w:pPr>
      <w:r>
        <w:rPr>
          <w:rFonts w:ascii="Arial" w:eastAsia="Arial" w:hAnsi="Arial" w:cs="Arial"/>
          <w:b/>
          <w:bCs/>
          <w:sz w:val="20"/>
          <w:szCs w:val="20"/>
          <w:bdr w:val="nil"/>
          <w:lang w:val="de-DE"/>
        </w:rPr>
        <w:t>Service</w:t>
      </w:r>
    </w:p>
    <w:p w:rsidR="00CF5CB4" w:rsidRPr="009A07FF" w:rsidRDefault="008B6583" w:rsidP="00CF5CB4">
      <w:pPr>
        <w:autoSpaceDE w:val="0"/>
        <w:autoSpaceDN w:val="0"/>
        <w:adjustRightInd w:val="0"/>
        <w:spacing w:after="58" w:line="252" w:lineRule="atLeast"/>
        <w:jc w:val="both"/>
        <w:rPr>
          <w:rFonts w:ascii="Arial" w:hAnsi="Arial" w:cs="Arial"/>
          <w:sz w:val="20"/>
          <w:szCs w:val="20"/>
          <w:lang w:val="de-DE"/>
        </w:rPr>
      </w:pPr>
      <w:r>
        <w:rPr>
          <w:rFonts w:ascii="Arial" w:eastAsia="Arial" w:hAnsi="Arial" w:cs="Arial"/>
          <w:sz w:val="20"/>
          <w:szCs w:val="20"/>
          <w:bdr w:val="nil"/>
          <w:lang w:val="de-DE"/>
        </w:rPr>
        <w:t>Wenn Sie eine Frage über den Vortexmischer haben, wenden Sie sich an Ihren Select BioProducts-Vertrieb.</w:t>
      </w:r>
    </w:p>
    <w:p w:rsidR="00CF5CB4" w:rsidRPr="009A07FF" w:rsidRDefault="003C728F" w:rsidP="00CF5CB4">
      <w:pPr>
        <w:autoSpaceDE w:val="0"/>
        <w:autoSpaceDN w:val="0"/>
        <w:adjustRightInd w:val="0"/>
        <w:spacing w:after="58" w:line="252" w:lineRule="atLeast"/>
        <w:jc w:val="both"/>
        <w:rPr>
          <w:rFonts w:ascii="Arial" w:hAnsi="Arial" w:cs="Arial"/>
          <w:sz w:val="20"/>
          <w:szCs w:val="20"/>
          <w:lang w:val="de-DE"/>
        </w:rPr>
      </w:pPr>
    </w:p>
    <w:p w:rsidR="00CF5CB4" w:rsidRPr="009A07FF" w:rsidRDefault="008B6583" w:rsidP="00CF5CB4">
      <w:pPr>
        <w:rPr>
          <w:lang w:val="de-DE"/>
        </w:rPr>
      </w:pPr>
      <w:r>
        <w:rPr>
          <w:rFonts w:ascii="Arial" w:eastAsia="Arial" w:hAnsi="Arial" w:cs="Arial"/>
          <w:sz w:val="20"/>
          <w:szCs w:val="20"/>
          <w:bdr w:val="nil"/>
          <w:lang w:val="de-DE"/>
        </w:rPr>
        <w:t>Serviceanfragen richten Sie an Ihren Select BioProducts-Vertrieb.  Bevor Sie eine Einheit zu Wartungszwecken zurückschicken, müssen Sie zuerst eine Rückgabeautorisierungsnummer (RA) einholen.  Geräte, die ohne vorherige Autorisierung übersendet werden, werden auf Kosten des Kunden zurückgeschickt.  Wenn eine Einheit zu Wartungszwecken an Select BioProducts zurückgegeben wird, sollte sie in der Originalverpackung gesendet werden.  Sollte das nicht möglich sein, achten Sie darauf, dass die Einheit ausreichend verpackt ist.  Für jegliche Schäden, die durch eine falsche Verpackung zustande kommen, ist der Kunde verantwortlich.  Der Einheit sollte eine schriftliche Erklärung sowie die RA-Nummer beigelegt werden.</w:t>
      </w:r>
    </w:p>
    <w:p w:rsidR="00CF5CB4" w:rsidRPr="009A07FF" w:rsidRDefault="003C728F" w:rsidP="00CF5CB4">
      <w:pPr>
        <w:autoSpaceDE w:val="0"/>
        <w:autoSpaceDN w:val="0"/>
        <w:adjustRightInd w:val="0"/>
        <w:spacing w:after="58" w:line="252" w:lineRule="atLeast"/>
        <w:jc w:val="both"/>
        <w:rPr>
          <w:rFonts w:ascii="Arial" w:hAnsi="Arial" w:cs="Arial"/>
          <w:sz w:val="20"/>
          <w:szCs w:val="20"/>
          <w:lang w:val="de-DE"/>
        </w:rPr>
      </w:pPr>
    </w:p>
    <w:p w:rsidR="00D427DE" w:rsidRPr="009A07FF" w:rsidRDefault="003C728F" w:rsidP="00D427DE">
      <w:pPr>
        <w:tabs>
          <w:tab w:val="left" w:pos="1440"/>
        </w:tabs>
        <w:autoSpaceDE w:val="0"/>
        <w:autoSpaceDN w:val="0"/>
        <w:adjustRightInd w:val="0"/>
        <w:spacing w:line="210" w:lineRule="atLeast"/>
        <w:rPr>
          <w:rFonts w:ascii="Arial" w:eastAsia="MS Mincho" w:hAnsi="Arial" w:cs="Arial"/>
          <w:b/>
          <w:bCs/>
          <w:sz w:val="22"/>
          <w:szCs w:val="22"/>
          <w:lang w:val="de-DE" w:eastAsia="ja-JP"/>
        </w:rPr>
      </w:pPr>
    </w:p>
    <w:p w:rsidR="00D427DE" w:rsidRPr="009A07FF" w:rsidRDefault="008B6583" w:rsidP="00F43EA6">
      <w:pPr>
        <w:autoSpaceDE w:val="0"/>
        <w:autoSpaceDN w:val="0"/>
        <w:adjustRightInd w:val="0"/>
        <w:spacing w:line="210" w:lineRule="atLeast"/>
        <w:rPr>
          <w:rFonts w:ascii="Arial" w:eastAsia="MS Mincho" w:hAnsi="Arial" w:cs="Arial"/>
          <w:b/>
          <w:bCs/>
          <w:sz w:val="20"/>
          <w:szCs w:val="20"/>
          <w:lang w:val="de-DE" w:eastAsia="ja-JP"/>
        </w:rPr>
      </w:pPr>
      <w:r>
        <w:rPr>
          <w:rFonts w:ascii="Arial" w:eastAsia="Arial" w:hAnsi="Arial" w:cs="Arial"/>
          <w:b/>
          <w:bCs/>
          <w:sz w:val="20"/>
          <w:szCs w:val="20"/>
          <w:bdr w:val="nil"/>
          <w:lang w:val="de-DE" w:eastAsia="ja-JP"/>
        </w:rPr>
        <w:t>SYMBOLE UND KONVENTIONEN</w:t>
      </w:r>
    </w:p>
    <w:p w:rsidR="00F50E54" w:rsidRPr="009A07FF" w:rsidRDefault="003C728F" w:rsidP="00F43EA6">
      <w:pPr>
        <w:autoSpaceDE w:val="0"/>
        <w:autoSpaceDN w:val="0"/>
        <w:adjustRightInd w:val="0"/>
        <w:spacing w:line="210" w:lineRule="atLeast"/>
        <w:rPr>
          <w:rFonts w:ascii="Arial" w:eastAsia="MS Mincho" w:hAnsi="Arial" w:cs="Arial"/>
          <w:b/>
          <w:bCs/>
          <w:sz w:val="20"/>
          <w:szCs w:val="20"/>
          <w:lang w:val="de-DE" w:eastAsia="ja-JP"/>
        </w:rPr>
      </w:pPr>
    </w:p>
    <w:p w:rsidR="00D427DE" w:rsidRPr="009A07FF" w:rsidRDefault="008B6583" w:rsidP="00D427DE">
      <w:pPr>
        <w:rPr>
          <w:rFonts w:ascii="Arial" w:hAnsi="Arial" w:cs="Arial"/>
          <w:b/>
          <w:sz w:val="20"/>
          <w:szCs w:val="20"/>
          <w:lang w:val="de-DE"/>
        </w:rPr>
      </w:pPr>
      <w:r>
        <w:rPr>
          <w:rFonts w:eastAsia="Times New Roman"/>
          <w:sz w:val="20"/>
          <w:szCs w:val="20"/>
          <w:bdr w:val="nil"/>
          <w:lang w:val="de-DE"/>
        </w:rPr>
        <w:tab/>
      </w:r>
      <w:r>
        <w:rPr>
          <w:rFonts w:ascii="Arial" w:eastAsia="Arial" w:hAnsi="Arial" w:cs="Arial"/>
          <w:sz w:val="20"/>
          <w:szCs w:val="20"/>
          <w:bdr w:val="nil"/>
          <w:lang w:val="de-DE"/>
        </w:rPr>
        <w:t xml:space="preserve">Die folgende Grafik ist ein illustriertes Glossar der Symbole, die in diesem </w:t>
      </w:r>
      <w:r>
        <w:rPr>
          <w:rFonts w:ascii="Arial" w:eastAsia="Arial" w:hAnsi="Arial" w:cs="Arial"/>
          <w:sz w:val="20"/>
          <w:szCs w:val="20"/>
          <w:bdr w:val="nil"/>
          <w:lang w:val="de-DE"/>
        </w:rPr>
        <w:tab/>
        <w:t>Handbuch oder auf dem Produkt verwendet werden können</w:t>
      </w:r>
      <w:r>
        <w:rPr>
          <w:rFonts w:ascii="Arial" w:eastAsia="Arial" w:hAnsi="Arial" w:cs="Arial"/>
          <w:b/>
          <w:bCs/>
          <w:sz w:val="20"/>
          <w:szCs w:val="20"/>
          <w:bdr w:val="nil"/>
          <w:lang w:val="de-DE"/>
        </w:rPr>
        <w:t>.</w:t>
      </w:r>
    </w:p>
    <w:p w:rsidR="00D427DE" w:rsidRPr="009A07FF" w:rsidRDefault="003C728F" w:rsidP="00D427DE">
      <w:pPr>
        <w:rPr>
          <w:b/>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7620"/>
      </w:tblGrid>
      <w:tr w:rsidR="00BA3544" w:rsidRPr="003C728F" w:rsidTr="000716C1">
        <w:tc>
          <w:tcPr>
            <w:tcW w:w="1188" w:type="dxa"/>
            <w:shd w:val="clear" w:color="auto" w:fill="auto"/>
          </w:tcPr>
          <w:p w:rsidR="00D427DE" w:rsidRPr="000716C1" w:rsidRDefault="008B6583" w:rsidP="000716C1">
            <w:pPr>
              <w:jc w:val="right"/>
              <w:rPr>
                <w:sz w:val="20"/>
                <w:szCs w:val="20"/>
              </w:rPr>
            </w:pPr>
            <w:r>
              <w:rPr>
                <w:noProof/>
                <w:sz w:val="20"/>
                <w:szCs w:val="20"/>
                <w:lang w:eastAsia="zh-TW"/>
              </w:rPr>
              <w:drawing>
                <wp:inline distT="0" distB="0" distL="0" distR="0">
                  <wp:extent cx="643255" cy="552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43255" cy="552450"/>
                          </a:xfrm>
                          <a:prstGeom prst="rect">
                            <a:avLst/>
                          </a:prstGeom>
                          <a:noFill/>
                          <a:ln>
                            <a:noFill/>
                          </a:ln>
                        </pic:spPr>
                      </pic:pic>
                    </a:graphicData>
                  </a:graphic>
                </wp:inline>
              </w:drawing>
            </w:r>
          </w:p>
        </w:tc>
        <w:tc>
          <w:tcPr>
            <w:tcW w:w="7668" w:type="dxa"/>
            <w:shd w:val="clear" w:color="auto" w:fill="auto"/>
            <w:vAlign w:val="center"/>
          </w:tcPr>
          <w:p w:rsidR="00D427DE" w:rsidRPr="009A07FF" w:rsidRDefault="008B6583" w:rsidP="000716C1">
            <w:pPr>
              <w:autoSpaceDE w:val="0"/>
              <w:autoSpaceDN w:val="0"/>
              <w:adjustRightInd w:val="0"/>
              <w:rPr>
                <w:rFonts w:ascii="Arial" w:hAnsi="Arial" w:cs="Arial"/>
                <w:sz w:val="20"/>
                <w:szCs w:val="20"/>
                <w:lang w:val="de-DE"/>
              </w:rPr>
            </w:pPr>
            <w:r>
              <w:rPr>
                <w:rFonts w:ascii="Arial" w:eastAsia="Arial" w:hAnsi="Arial" w:cs="Arial"/>
                <w:sz w:val="20"/>
                <w:szCs w:val="20"/>
                <w:bdr w:val="nil"/>
                <w:lang w:val="de-DE"/>
              </w:rPr>
              <w:t>Das elektrische Warnzeichen bedeutet das Vorliegen einer potenziellen Gefahr, die zu einem Stromschlag führen könnte.</w:t>
            </w:r>
          </w:p>
        </w:tc>
      </w:tr>
      <w:tr w:rsidR="00BA3544" w:rsidRPr="003C728F" w:rsidTr="000716C1">
        <w:trPr>
          <w:trHeight w:val="1088"/>
        </w:trPr>
        <w:tc>
          <w:tcPr>
            <w:tcW w:w="1188" w:type="dxa"/>
            <w:shd w:val="clear" w:color="auto" w:fill="auto"/>
          </w:tcPr>
          <w:p w:rsidR="00D427DE" w:rsidRPr="000716C1" w:rsidRDefault="008B6583" w:rsidP="000716C1">
            <w:pPr>
              <w:jc w:val="right"/>
              <w:rPr>
                <w:sz w:val="20"/>
                <w:szCs w:val="20"/>
              </w:rPr>
            </w:pPr>
            <w:r>
              <w:rPr>
                <w:noProof/>
                <w:sz w:val="20"/>
                <w:szCs w:val="20"/>
                <w:lang w:eastAsia="zh-TW"/>
              </w:rPr>
              <w:drawing>
                <wp:inline distT="0" distB="0" distL="0" distR="0">
                  <wp:extent cx="643255" cy="53276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43255" cy="532765"/>
                          </a:xfrm>
                          <a:prstGeom prst="rect">
                            <a:avLst/>
                          </a:prstGeom>
                          <a:noFill/>
                          <a:ln>
                            <a:noFill/>
                          </a:ln>
                        </pic:spPr>
                      </pic:pic>
                    </a:graphicData>
                  </a:graphic>
                </wp:inline>
              </w:drawing>
            </w:r>
          </w:p>
        </w:tc>
        <w:tc>
          <w:tcPr>
            <w:tcW w:w="7668" w:type="dxa"/>
            <w:shd w:val="clear" w:color="auto" w:fill="auto"/>
            <w:vAlign w:val="center"/>
          </w:tcPr>
          <w:p w:rsidR="00D427DE" w:rsidRPr="009A07FF" w:rsidRDefault="008B6583" w:rsidP="00671DA8">
            <w:pPr>
              <w:rPr>
                <w:rFonts w:ascii="Arial" w:hAnsi="Arial" w:cs="Arial"/>
                <w:sz w:val="20"/>
                <w:szCs w:val="20"/>
                <w:lang w:val="de-DE"/>
              </w:rPr>
            </w:pPr>
            <w:r>
              <w:rPr>
                <w:rFonts w:ascii="Arial" w:eastAsia="Arial" w:hAnsi="Arial" w:cs="Arial"/>
                <w:b/>
                <w:bCs/>
                <w:sz w:val="20"/>
                <w:szCs w:val="20"/>
                <w:bdr w:val="nil"/>
                <w:lang w:val="de-DE"/>
              </w:rPr>
              <w:t>VORSICHT</w:t>
            </w:r>
            <w:r>
              <w:rPr>
                <w:rFonts w:ascii="Arial" w:eastAsia="Arial" w:hAnsi="Arial" w:cs="Arial"/>
                <w:sz w:val="20"/>
                <w:szCs w:val="20"/>
                <w:bdr w:val="nil"/>
                <w:lang w:val="de-DE"/>
              </w:rPr>
              <w:t xml:space="preserve"> Dieses Symbol verweist Sie auf wichtige Bedien- und Wartungsanweisungen (Service) in der Gebrauchsanweisung des Produkts. Wenn diese Informationen nicht beachtet werden, kann dies ein Risiko für Personenschäden oder Schäden an der Ausrüstung darstellen.</w:t>
            </w:r>
          </w:p>
        </w:tc>
      </w:tr>
      <w:tr w:rsidR="00BA3544" w:rsidRPr="003C728F" w:rsidTr="000716C1">
        <w:trPr>
          <w:trHeight w:val="890"/>
        </w:trPr>
        <w:tc>
          <w:tcPr>
            <w:tcW w:w="1188" w:type="dxa"/>
            <w:shd w:val="clear" w:color="auto" w:fill="auto"/>
          </w:tcPr>
          <w:p w:rsidR="00D427DE" w:rsidRPr="000716C1" w:rsidRDefault="008B6583" w:rsidP="000716C1">
            <w:pPr>
              <w:jc w:val="center"/>
              <w:rPr>
                <w:sz w:val="20"/>
                <w:szCs w:val="20"/>
              </w:rPr>
            </w:pPr>
            <w:r>
              <w:rPr>
                <w:noProof/>
                <w:sz w:val="20"/>
                <w:szCs w:val="20"/>
                <w:lang w:eastAsia="zh-TW"/>
              </w:rPr>
              <w:drawing>
                <wp:inline distT="0" distB="0" distL="0" distR="0">
                  <wp:extent cx="452120" cy="4419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52120" cy="441960"/>
                          </a:xfrm>
                          <a:prstGeom prst="rect">
                            <a:avLst/>
                          </a:prstGeom>
                          <a:noFill/>
                          <a:ln>
                            <a:noFill/>
                          </a:ln>
                        </pic:spPr>
                      </pic:pic>
                    </a:graphicData>
                  </a:graphic>
                </wp:inline>
              </w:drawing>
            </w:r>
          </w:p>
        </w:tc>
        <w:tc>
          <w:tcPr>
            <w:tcW w:w="7668" w:type="dxa"/>
            <w:shd w:val="clear" w:color="auto" w:fill="auto"/>
            <w:vAlign w:val="center"/>
          </w:tcPr>
          <w:p w:rsidR="00D427DE" w:rsidRPr="009A07FF" w:rsidRDefault="008B6583" w:rsidP="00671DA8">
            <w:pPr>
              <w:rPr>
                <w:rFonts w:ascii="Arial" w:hAnsi="Arial" w:cs="Arial"/>
                <w:sz w:val="20"/>
                <w:szCs w:val="20"/>
                <w:lang w:val="de-DE"/>
              </w:rPr>
            </w:pPr>
            <w:r>
              <w:rPr>
                <w:rFonts w:ascii="Arial" w:eastAsia="Arial" w:hAnsi="Arial" w:cs="Arial"/>
                <w:sz w:val="20"/>
                <w:szCs w:val="20"/>
                <w:bdr w:val="nil"/>
                <w:lang w:val="de-DE"/>
              </w:rPr>
              <w:t>Dieses Symbol macht einen Schutzleiteranschluss kenntlich, der für den Anschluss des Versorgungsnetz-Schutzleiters (grün oder grün/gelb) geliefert wird.</w:t>
            </w:r>
          </w:p>
        </w:tc>
      </w:tr>
    </w:tbl>
    <w:p w:rsidR="00AF7239" w:rsidRPr="009A07FF" w:rsidRDefault="003C728F" w:rsidP="00030C4B">
      <w:pPr>
        <w:jc w:val="center"/>
        <w:rPr>
          <w:lang w:val="de-DE"/>
        </w:rPr>
      </w:pPr>
    </w:p>
    <w:p w:rsidR="00F50E54" w:rsidRPr="009A07FF" w:rsidRDefault="003C728F" w:rsidP="00030C4B">
      <w:pPr>
        <w:jc w:val="center"/>
        <w:rPr>
          <w:rFonts w:ascii="Arial" w:hAnsi="Arial" w:cs="Arial"/>
          <w:b/>
          <w:lang w:val="de-DE"/>
        </w:rPr>
      </w:pPr>
    </w:p>
    <w:p w:rsidR="00F50E54" w:rsidRPr="009A07FF" w:rsidRDefault="003C728F" w:rsidP="00030C4B">
      <w:pPr>
        <w:jc w:val="center"/>
        <w:rPr>
          <w:rFonts w:ascii="Arial" w:hAnsi="Arial" w:cs="Arial"/>
          <w:b/>
          <w:lang w:val="de-DE"/>
        </w:rPr>
      </w:pPr>
    </w:p>
    <w:p w:rsidR="00F50E54" w:rsidRPr="009A07FF" w:rsidRDefault="003C728F" w:rsidP="00030C4B">
      <w:pPr>
        <w:jc w:val="center"/>
        <w:rPr>
          <w:rFonts w:ascii="Arial" w:hAnsi="Arial" w:cs="Arial"/>
          <w:b/>
          <w:lang w:val="de-DE"/>
        </w:rPr>
      </w:pPr>
    </w:p>
    <w:p w:rsidR="00F50E54" w:rsidRPr="009A07FF" w:rsidRDefault="003C728F" w:rsidP="00030C4B">
      <w:pPr>
        <w:jc w:val="center"/>
        <w:rPr>
          <w:rFonts w:ascii="Arial" w:hAnsi="Arial" w:cs="Arial"/>
          <w:b/>
          <w:lang w:val="de-DE"/>
        </w:rPr>
      </w:pPr>
    </w:p>
    <w:p w:rsidR="00F50E54" w:rsidRPr="009A07FF" w:rsidRDefault="003C728F" w:rsidP="00030C4B">
      <w:pPr>
        <w:jc w:val="center"/>
        <w:rPr>
          <w:rFonts w:ascii="Arial" w:hAnsi="Arial" w:cs="Arial"/>
          <w:b/>
          <w:lang w:val="de-DE"/>
        </w:rPr>
      </w:pPr>
    </w:p>
    <w:p w:rsidR="00030985" w:rsidRDefault="008B6583" w:rsidP="00030985">
      <w:pPr>
        <w:autoSpaceDE w:val="0"/>
        <w:autoSpaceDN w:val="0"/>
        <w:adjustRightInd w:val="0"/>
        <w:rPr>
          <w:rFonts w:ascii="Arial" w:hAnsi="Arial" w:cs="Arial"/>
          <w:b/>
          <w:sz w:val="22"/>
          <w:szCs w:val="22"/>
        </w:rPr>
      </w:pPr>
      <w:r>
        <w:rPr>
          <w:rFonts w:ascii="Arial" w:eastAsia="Arial" w:hAnsi="Arial" w:cs="Arial"/>
          <w:b/>
          <w:bCs/>
          <w:sz w:val="22"/>
          <w:szCs w:val="22"/>
          <w:bdr w:val="nil"/>
          <w:lang w:val="de-DE"/>
        </w:rPr>
        <w:t>ENTSORGUNG DER GERÄTE – EUROPÄISCHE VORSCHRIFTEN</w:t>
      </w:r>
    </w:p>
    <w:p w:rsidR="00594D87" w:rsidRPr="00BA6D20" w:rsidRDefault="003C728F" w:rsidP="00030985">
      <w:pPr>
        <w:autoSpaceDE w:val="0"/>
        <w:autoSpaceDN w:val="0"/>
        <w:adjustRightInd w:val="0"/>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480"/>
      </w:tblGrid>
      <w:tr w:rsidR="00BA3544" w:rsidRPr="003C728F" w:rsidTr="00FF73E6">
        <w:tc>
          <w:tcPr>
            <w:tcW w:w="2178" w:type="dxa"/>
          </w:tcPr>
          <w:p w:rsidR="00FF73E6" w:rsidRDefault="008B6583" w:rsidP="00030985">
            <w:pPr>
              <w:autoSpaceDE w:val="0"/>
              <w:autoSpaceDN w:val="0"/>
              <w:adjustRightInd w:val="0"/>
              <w:rPr>
                <w:rFonts w:ascii="Arial" w:hAnsi="Arial" w:cs="Arial"/>
                <w:sz w:val="22"/>
                <w:szCs w:val="22"/>
              </w:rPr>
            </w:pPr>
            <w:r w:rsidRPr="00FF73E6">
              <w:rPr>
                <w:rFonts w:ascii="Arial" w:hAnsi="Arial" w:cs="Arial"/>
                <w:noProof/>
                <w:sz w:val="22"/>
                <w:szCs w:val="22"/>
                <w:lang w:eastAsia="zh-TW"/>
              </w:rPr>
              <w:drawing>
                <wp:inline distT="0" distB="0" distL="0" distR="0">
                  <wp:extent cx="1343025" cy="1911985"/>
                  <wp:effectExtent l="19050" t="0" r="9525"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343025" cy="1911985"/>
                          </a:xfrm>
                          <a:prstGeom prst="rect">
                            <a:avLst/>
                          </a:prstGeom>
                          <a:noFill/>
                          <a:ln>
                            <a:noFill/>
                          </a:ln>
                        </pic:spPr>
                      </pic:pic>
                    </a:graphicData>
                  </a:graphic>
                </wp:inline>
              </w:drawing>
            </w:r>
          </w:p>
        </w:tc>
        <w:tc>
          <w:tcPr>
            <w:tcW w:w="6678" w:type="dxa"/>
          </w:tcPr>
          <w:p w:rsidR="00FF73E6" w:rsidRPr="009A07FF" w:rsidRDefault="008B6583" w:rsidP="00FF73E6">
            <w:pPr>
              <w:jc w:val="both"/>
              <w:rPr>
                <w:rFonts w:ascii="Arial" w:hAnsi="Arial" w:cs="Arial"/>
                <w:i/>
                <w:iCs/>
                <w:lang w:val="de-DE"/>
              </w:rPr>
            </w:pPr>
            <w:r>
              <w:rPr>
                <w:rFonts w:ascii="Arial" w:eastAsia="Arial" w:hAnsi="Arial" w:cs="Arial"/>
                <w:i/>
                <w:iCs/>
                <w:bdr w:val="nil"/>
                <w:lang w:val="de-DE"/>
              </w:rPr>
              <w:t xml:space="preserve">Gemäß Richtlinie 2012/19/EU des Europäischen Parlaments und des Europäischen Rates vom 4. Juli 2012 zur Entsorgung elektrischer und elektronischer Geräte (WEEE) ist der Select-Vortexer mit dem Symbol einer durchgestrichenen Abfalltonne auf Rädern gekennzeichnet und darf nicht mit dem Hausmüll entsorgt werden. </w:t>
            </w:r>
          </w:p>
          <w:p w:rsidR="00FF73E6" w:rsidRPr="009A07FF" w:rsidRDefault="003C728F" w:rsidP="00FF73E6">
            <w:pPr>
              <w:jc w:val="both"/>
              <w:rPr>
                <w:rFonts w:ascii="Arial" w:hAnsi="Arial" w:cs="Arial"/>
                <w:i/>
                <w:iCs/>
                <w:lang w:val="de-DE"/>
              </w:rPr>
            </w:pPr>
          </w:p>
          <w:p w:rsidR="00FF73E6" w:rsidRPr="009A07FF" w:rsidRDefault="008B6583" w:rsidP="00FF73E6">
            <w:pPr>
              <w:autoSpaceDE w:val="0"/>
              <w:autoSpaceDN w:val="0"/>
              <w:jc w:val="both"/>
              <w:rPr>
                <w:rFonts w:ascii="Arial" w:hAnsi="Arial" w:cs="Arial"/>
                <w:i/>
                <w:iCs/>
                <w:lang w:val="de-DE"/>
              </w:rPr>
            </w:pPr>
            <w:r>
              <w:rPr>
                <w:rFonts w:ascii="Arial" w:eastAsia="Arial" w:hAnsi="Arial" w:cs="Arial"/>
                <w:i/>
                <w:iCs/>
                <w:bdr w:val="nil"/>
                <w:lang w:val="de-DE"/>
              </w:rPr>
              <w:t xml:space="preserve">Folglich muss der Käufer die Anweisungen zur Wiederverwendung und Wiederverwertung von elektrischen und elektronischen Geräten (WEEE) befolgen, die mit den Produkten geliefert werden und unter dem folgenden Link zur Verfügung stehen: </w:t>
            </w:r>
            <w:hyperlink r:id="rId19" w:history="1">
              <w:r>
                <w:rPr>
                  <w:rFonts w:ascii="Arial" w:eastAsia="Arial" w:hAnsi="Arial" w:cs="Arial"/>
                  <w:i/>
                  <w:iCs/>
                  <w:color w:val="0000FF"/>
                  <w:u w:val="single"/>
                  <w:bdr w:val="nil"/>
                  <w:lang w:val="de-DE"/>
                </w:rPr>
                <w:t>www.corning.com/weee</w:t>
              </w:r>
            </w:hyperlink>
          </w:p>
          <w:p w:rsidR="00FF73E6" w:rsidRPr="009A07FF" w:rsidRDefault="003C728F" w:rsidP="00030985">
            <w:pPr>
              <w:autoSpaceDE w:val="0"/>
              <w:autoSpaceDN w:val="0"/>
              <w:adjustRightInd w:val="0"/>
              <w:rPr>
                <w:rFonts w:ascii="Arial" w:hAnsi="Arial" w:cs="Arial"/>
                <w:sz w:val="22"/>
                <w:szCs w:val="22"/>
                <w:lang w:val="de-DE"/>
              </w:rPr>
            </w:pPr>
          </w:p>
        </w:tc>
      </w:tr>
    </w:tbl>
    <w:p w:rsidR="00030985" w:rsidRPr="009A07FF" w:rsidRDefault="003C728F" w:rsidP="00030985">
      <w:pPr>
        <w:autoSpaceDE w:val="0"/>
        <w:autoSpaceDN w:val="0"/>
        <w:adjustRightInd w:val="0"/>
        <w:rPr>
          <w:rFonts w:ascii="Arial" w:hAnsi="Arial" w:cs="Arial"/>
          <w:sz w:val="22"/>
          <w:szCs w:val="22"/>
          <w:lang w:val="de-DE"/>
        </w:rPr>
      </w:pPr>
    </w:p>
    <w:p w:rsidR="00F50E54" w:rsidRPr="009A07FF" w:rsidRDefault="003C728F" w:rsidP="00030C4B">
      <w:pPr>
        <w:jc w:val="center"/>
        <w:rPr>
          <w:rFonts w:ascii="Arial" w:hAnsi="Arial" w:cs="Arial"/>
          <w:b/>
          <w:lang w:val="de-DE"/>
        </w:rPr>
      </w:pPr>
    </w:p>
    <w:p w:rsidR="00F50E54" w:rsidRPr="009A07FF" w:rsidRDefault="003C728F" w:rsidP="00030C4B">
      <w:pPr>
        <w:jc w:val="center"/>
        <w:rPr>
          <w:rFonts w:ascii="Arial" w:hAnsi="Arial" w:cs="Arial"/>
          <w:b/>
          <w:lang w:val="de-DE"/>
        </w:rPr>
      </w:pPr>
    </w:p>
    <w:p w:rsidR="00F50E54" w:rsidRPr="009A07FF" w:rsidRDefault="003C728F" w:rsidP="00030C4B">
      <w:pPr>
        <w:jc w:val="center"/>
        <w:rPr>
          <w:rFonts w:ascii="Arial" w:hAnsi="Arial" w:cs="Arial"/>
          <w:b/>
          <w:lang w:val="de-DE"/>
        </w:rPr>
      </w:pPr>
    </w:p>
    <w:p w:rsidR="00F50E54" w:rsidRPr="009A07FF" w:rsidRDefault="003C728F" w:rsidP="00030C4B">
      <w:pPr>
        <w:jc w:val="center"/>
        <w:rPr>
          <w:rFonts w:ascii="Arial" w:hAnsi="Arial" w:cs="Arial"/>
          <w:b/>
          <w:lang w:val="de-DE"/>
        </w:rPr>
      </w:pPr>
    </w:p>
    <w:p w:rsidR="006E154E" w:rsidRPr="009A07FF" w:rsidRDefault="003C728F" w:rsidP="00D427DE">
      <w:pPr>
        <w:autoSpaceDE w:val="0"/>
        <w:autoSpaceDN w:val="0"/>
        <w:adjustRightInd w:val="0"/>
        <w:jc w:val="center"/>
        <w:rPr>
          <w:rFonts w:eastAsia="Times New Roman"/>
          <w:b/>
          <w:sz w:val="36"/>
          <w:lang w:val="de-DE" w:eastAsia="en-US"/>
        </w:rPr>
      </w:pPr>
    </w:p>
    <w:p w:rsidR="006E154E" w:rsidRDefault="003C728F" w:rsidP="00D427DE">
      <w:pPr>
        <w:autoSpaceDE w:val="0"/>
        <w:autoSpaceDN w:val="0"/>
        <w:adjustRightInd w:val="0"/>
        <w:jc w:val="center"/>
        <w:rPr>
          <w:rFonts w:eastAsia="Times New Roman"/>
          <w:b/>
          <w:sz w:val="36"/>
          <w:lang w:val="de-DE" w:eastAsia="en-US"/>
        </w:rPr>
      </w:pPr>
    </w:p>
    <w:p w:rsidR="003C728F" w:rsidRDefault="003C728F" w:rsidP="00D427DE">
      <w:pPr>
        <w:autoSpaceDE w:val="0"/>
        <w:autoSpaceDN w:val="0"/>
        <w:adjustRightInd w:val="0"/>
        <w:jc w:val="center"/>
        <w:rPr>
          <w:rFonts w:eastAsia="Times New Roman"/>
          <w:b/>
          <w:sz w:val="36"/>
          <w:lang w:val="de-DE" w:eastAsia="en-US"/>
        </w:rPr>
      </w:pPr>
    </w:p>
    <w:p w:rsidR="003C728F" w:rsidRDefault="003C728F" w:rsidP="00D427DE">
      <w:pPr>
        <w:autoSpaceDE w:val="0"/>
        <w:autoSpaceDN w:val="0"/>
        <w:adjustRightInd w:val="0"/>
        <w:jc w:val="center"/>
        <w:rPr>
          <w:rFonts w:eastAsia="Times New Roman"/>
          <w:b/>
          <w:sz w:val="36"/>
          <w:lang w:val="de-DE" w:eastAsia="en-US"/>
        </w:rPr>
      </w:pPr>
    </w:p>
    <w:p w:rsidR="003C728F" w:rsidRDefault="003C728F" w:rsidP="00D427DE">
      <w:pPr>
        <w:autoSpaceDE w:val="0"/>
        <w:autoSpaceDN w:val="0"/>
        <w:adjustRightInd w:val="0"/>
        <w:jc w:val="center"/>
        <w:rPr>
          <w:rFonts w:eastAsia="Times New Roman"/>
          <w:b/>
          <w:sz w:val="36"/>
          <w:lang w:val="de-DE" w:eastAsia="en-US"/>
        </w:rPr>
      </w:pPr>
    </w:p>
    <w:p w:rsidR="003C728F" w:rsidRDefault="003C728F" w:rsidP="00D427DE">
      <w:pPr>
        <w:autoSpaceDE w:val="0"/>
        <w:autoSpaceDN w:val="0"/>
        <w:adjustRightInd w:val="0"/>
        <w:jc w:val="center"/>
        <w:rPr>
          <w:rFonts w:eastAsia="Times New Roman"/>
          <w:b/>
          <w:sz w:val="36"/>
          <w:lang w:val="de-DE" w:eastAsia="en-US"/>
        </w:rPr>
      </w:pPr>
    </w:p>
    <w:p w:rsidR="003C728F" w:rsidRDefault="003C728F" w:rsidP="00D427DE">
      <w:pPr>
        <w:autoSpaceDE w:val="0"/>
        <w:autoSpaceDN w:val="0"/>
        <w:adjustRightInd w:val="0"/>
        <w:jc w:val="center"/>
        <w:rPr>
          <w:rFonts w:eastAsia="Times New Roman"/>
          <w:b/>
          <w:sz w:val="36"/>
          <w:lang w:val="de-DE" w:eastAsia="en-US"/>
        </w:rPr>
      </w:pPr>
    </w:p>
    <w:p w:rsidR="003C728F" w:rsidRDefault="003C728F" w:rsidP="00D427DE">
      <w:pPr>
        <w:autoSpaceDE w:val="0"/>
        <w:autoSpaceDN w:val="0"/>
        <w:adjustRightInd w:val="0"/>
        <w:jc w:val="center"/>
        <w:rPr>
          <w:rFonts w:eastAsia="Times New Roman"/>
          <w:b/>
          <w:sz w:val="36"/>
          <w:lang w:val="de-DE" w:eastAsia="en-US"/>
        </w:rPr>
      </w:pPr>
    </w:p>
    <w:p w:rsidR="003C728F" w:rsidRDefault="003C728F" w:rsidP="00D427DE">
      <w:pPr>
        <w:autoSpaceDE w:val="0"/>
        <w:autoSpaceDN w:val="0"/>
        <w:adjustRightInd w:val="0"/>
        <w:jc w:val="center"/>
        <w:rPr>
          <w:rFonts w:eastAsia="Times New Roman"/>
          <w:b/>
          <w:sz w:val="36"/>
          <w:lang w:val="de-DE" w:eastAsia="en-US"/>
        </w:rPr>
      </w:pPr>
    </w:p>
    <w:p w:rsidR="003C728F" w:rsidRDefault="003C728F" w:rsidP="00D427DE">
      <w:pPr>
        <w:autoSpaceDE w:val="0"/>
        <w:autoSpaceDN w:val="0"/>
        <w:adjustRightInd w:val="0"/>
        <w:jc w:val="center"/>
        <w:rPr>
          <w:rFonts w:eastAsia="Times New Roman"/>
          <w:b/>
          <w:sz w:val="36"/>
          <w:lang w:val="de-DE" w:eastAsia="en-US"/>
        </w:rPr>
      </w:pPr>
    </w:p>
    <w:p w:rsidR="003C728F" w:rsidRDefault="003C728F" w:rsidP="00D427DE">
      <w:pPr>
        <w:autoSpaceDE w:val="0"/>
        <w:autoSpaceDN w:val="0"/>
        <w:adjustRightInd w:val="0"/>
        <w:jc w:val="center"/>
        <w:rPr>
          <w:rFonts w:eastAsia="Times New Roman"/>
          <w:b/>
          <w:sz w:val="36"/>
          <w:lang w:val="de-DE" w:eastAsia="en-US"/>
        </w:rPr>
      </w:pPr>
    </w:p>
    <w:p w:rsidR="003C728F" w:rsidRDefault="003C728F" w:rsidP="00D427DE">
      <w:pPr>
        <w:autoSpaceDE w:val="0"/>
        <w:autoSpaceDN w:val="0"/>
        <w:adjustRightInd w:val="0"/>
        <w:jc w:val="center"/>
        <w:rPr>
          <w:rFonts w:eastAsia="Times New Roman"/>
          <w:b/>
          <w:sz w:val="36"/>
          <w:lang w:val="de-DE" w:eastAsia="en-US"/>
        </w:rPr>
      </w:pPr>
    </w:p>
    <w:p w:rsidR="003C728F" w:rsidRDefault="003C728F" w:rsidP="00D427DE">
      <w:pPr>
        <w:autoSpaceDE w:val="0"/>
        <w:autoSpaceDN w:val="0"/>
        <w:adjustRightInd w:val="0"/>
        <w:jc w:val="center"/>
        <w:rPr>
          <w:rFonts w:eastAsia="Times New Roman"/>
          <w:b/>
          <w:sz w:val="36"/>
          <w:lang w:val="de-DE" w:eastAsia="en-US"/>
        </w:rPr>
      </w:pPr>
    </w:p>
    <w:p w:rsidR="003C728F" w:rsidRPr="009A07FF" w:rsidRDefault="003C728F" w:rsidP="00D427DE">
      <w:pPr>
        <w:autoSpaceDE w:val="0"/>
        <w:autoSpaceDN w:val="0"/>
        <w:adjustRightInd w:val="0"/>
        <w:jc w:val="center"/>
        <w:rPr>
          <w:rFonts w:eastAsia="Times New Roman"/>
          <w:b/>
          <w:sz w:val="36"/>
          <w:lang w:val="de-DE" w:eastAsia="en-US"/>
        </w:rPr>
      </w:pPr>
    </w:p>
    <w:p w:rsidR="006E154E" w:rsidRPr="009A07FF" w:rsidRDefault="003C728F" w:rsidP="00D427DE">
      <w:pPr>
        <w:autoSpaceDE w:val="0"/>
        <w:autoSpaceDN w:val="0"/>
        <w:adjustRightInd w:val="0"/>
        <w:jc w:val="center"/>
        <w:rPr>
          <w:rFonts w:eastAsia="Times New Roman"/>
          <w:b/>
          <w:sz w:val="36"/>
          <w:lang w:val="de-DE" w:eastAsia="en-US"/>
        </w:rPr>
      </w:pPr>
    </w:p>
    <w:p w:rsidR="006E154E" w:rsidRPr="009A07FF" w:rsidRDefault="003C728F" w:rsidP="00D427DE">
      <w:pPr>
        <w:autoSpaceDE w:val="0"/>
        <w:autoSpaceDN w:val="0"/>
        <w:adjustRightInd w:val="0"/>
        <w:jc w:val="center"/>
        <w:rPr>
          <w:rFonts w:eastAsia="Times New Roman"/>
          <w:b/>
          <w:sz w:val="36"/>
          <w:lang w:val="de-DE" w:eastAsia="en-US"/>
        </w:rPr>
      </w:pPr>
    </w:p>
    <w:p w:rsidR="006E154E" w:rsidRPr="009A07FF" w:rsidRDefault="003C728F" w:rsidP="009A07FF">
      <w:pPr>
        <w:autoSpaceDE w:val="0"/>
        <w:autoSpaceDN w:val="0"/>
        <w:adjustRightInd w:val="0"/>
        <w:rPr>
          <w:rFonts w:eastAsia="Times New Roman"/>
          <w:b/>
          <w:sz w:val="36"/>
          <w:lang w:val="de-DE" w:eastAsia="en-US"/>
        </w:rPr>
      </w:pPr>
    </w:p>
    <w:p w:rsidR="00D427DE" w:rsidRPr="009A07FF" w:rsidRDefault="008B6583" w:rsidP="00D427DE">
      <w:pPr>
        <w:autoSpaceDE w:val="0"/>
        <w:autoSpaceDN w:val="0"/>
        <w:adjustRightInd w:val="0"/>
        <w:jc w:val="center"/>
        <w:rPr>
          <w:rFonts w:eastAsia="Times New Roman"/>
          <w:b/>
          <w:sz w:val="36"/>
          <w:lang w:val="de-DE" w:eastAsia="en-US"/>
        </w:rPr>
      </w:pPr>
      <w:r>
        <w:rPr>
          <w:rFonts w:eastAsia="Times New Roman"/>
          <w:b/>
          <w:bCs/>
          <w:sz w:val="36"/>
          <w:szCs w:val="36"/>
          <w:bdr w:val="nil"/>
          <w:lang w:val="de-DE" w:eastAsia="en-US"/>
        </w:rPr>
        <w:lastRenderedPageBreak/>
        <w:t>Eingeschränkte Garantie</w:t>
      </w:r>
    </w:p>
    <w:p w:rsidR="00D427DE" w:rsidRPr="003C728F" w:rsidRDefault="003C728F" w:rsidP="00D427DE">
      <w:pPr>
        <w:autoSpaceDE w:val="0"/>
        <w:autoSpaceDN w:val="0"/>
        <w:adjustRightInd w:val="0"/>
        <w:jc w:val="both"/>
        <w:rPr>
          <w:sz w:val="30"/>
          <w:szCs w:val="18"/>
          <w:lang w:val="de-DE"/>
        </w:rPr>
      </w:pPr>
    </w:p>
    <w:p w:rsidR="000556B1" w:rsidRPr="009A07FF" w:rsidRDefault="008B6583" w:rsidP="005D7DF8">
      <w:pPr>
        <w:jc w:val="both"/>
        <w:rPr>
          <w:rFonts w:ascii="Arial" w:hAnsi="Arial" w:cs="Arial"/>
          <w:noProof/>
          <w:sz w:val="22"/>
          <w:szCs w:val="16"/>
          <w:lang w:val="de-DE"/>
        </w:rPr>
      </w:pPr>
      <w:r>
        <w:rPr>
          <w:rFonts w:ascii="Arial" w:eastAsia="Arial" w:hAnsi="Arial" w:cs="Arial"/>
          <w:noProof/>
          <w:sz w:val="22"/>
          <w:szCs w:val="22"/>
          <w:bdr w:val="nil"/>
          <w:lang w:val="de-DE"/>
        </w:rPr>
        <w:t>Select BioProducts garantiert, dass dieses Produkt für einen Zeitraum von zwei (2) Jahren ab dem Kaufdatum frei von Material- und Verarbeitungsfehlern ist.  Diese Garantie ist nur gültig, wenn das Produkt für den vorgesehenen Zweck und im Rahmen der im gelieferten Handbuch spezifizierten Leitlinien eingesetzt wird.</w:t>
      </w:r>
    </w:p>
    <w:p w:rsidR="000556B1" w:rsidRPr="003C728F" w:rsidRDefault="003C728F" w:rsidP="005D7DF8">
      <w:pPr>
        <w:jc w:val="both"/>
        <w:rPr>
          <w:rFonts w:ascii="Arial" w:hAnsi="Arial" w:cs="Arial"/>
          <w:noProof/>
          <w:sz w:val="16"/>
          <w:szCs w:val="10"/>
          <w:lang w:val="de-DE"/>
        </w:rPr>
      </w:pPr>
    </w:p>
    <w:p w:rsidR="000556B1" w:rsidRPr="003C728F" w:rsidRDefault="003C728F" w:rsidP="005D7DF8">
      <w:pPr>
        <w:jc w:val="both"/>
        <w:rPr>
          <w:rFonts w:ascii="Arial" w:hAnsi="Arial" w:cs="Arial"/>
          <w:noProof/>
          <w:sz w:val="16"/>
          <w:szCs w:val="10"/>
          <w:lang w:val="de-DE"/>
        </w:rPr>
      </w:pPr>
    </w:p>
    <w:p w:rsidR="000556B1" w:rsidRPr="009A07FF" w:rsidRDefault="008B6583" w:rsidP="005D7DF8">
      <w:pPr>
        <w:jc w:val="both"/>
        <w:rPr>
          <w:rFonts w:ascii="Arial" w:hAnsi="Arial" w:cs="Arial"/>
          <w:noProof/>
          <w:sz w:val="22"/>
          <w:szCs w:val="16"/>
          <w:lang w:val="de-DE"/>
        </w:rPr>
      </w:pPr>
      <w:r>
        <w:rPr>
          <w:rFonts w:ascii="Arial" w:eastAsia="Arial" w:hAnsi="Arial" w:cs="Arial"/>
          <w:noProof/>
          <w:sz w:val="22"/>
          <w:szCs w:val="22"/>
          <w:bdr w:val="nil"/>
          <w:lang w:val="de-DE"/>
        </w:rPr>
        <w:t>Sollte dieses Produkt gewartet werden müssen, wenden Sie sich an die Serviceabteilung von Select BioProducts unter +1 732-417-0700, um eine Rücksendungs-Autorisierungsnummer und Versandanweisungen zu erhalten.  Produkte, die ohne korrekte Autorisierung eingehen, werden zurückgeschickt.  Alle zu Wartungszwecken zurückgegebenen Teile sollten vorab freigemacht und in der Originalverpackung oder einem anderen geeigneten Behälter versendet werden, der zur Vermeidung von Schäden gepolstert ist.  Select BioProducts übernimmt keine Verantwortung für Schäden, die durch unsachgemäße Verpackung entstanden sind.  Möglicherweise führt Select BioProducts bei größeren Geräten die Wartung vor Ort durch.</w:t>
      </w:r>
    </w:p>
    <w:p w:rsidR="000556B1" w:rsidRPr="003C728F" w:rsidRDefault="003C728F" w:rsidP="005D7DF8">
      <w:pPr>
        <w:jc w:val="both"/>
        <w:rPr>
          <w:rFonts w:ascii="Arial" w:hAnsi="Arial" w:cs="Arial"/>
          <w:noProof/>
          <w:sz w:val="16"/>
          <w:szCs w:val="10"/>
          <w:lang w:val="de-DE"/>
        </w:rPr>
      </w:pPr>
    </w:p>
    <w:p w:rsidR="000556B1" w:rsidRPr="009A07FF" w:rsidRDefault="008B6583" w:rsidP="005D7DF8">
      <w:pPr>
        <w:jc w:val="both"/>
        <w:rPr>
          <w:rFonts w:ascii="Arial" w:hAnsi="Arial" w:cs="Arial"/>
          <w:noProof/>
          <w:sz w:val="22"/>
          <w:szCs w:val="16"/>
          <w:lang w:val="de-DE"/>
        </w:rPr>
      </w:pPr>
      <w:r>
        <w:rPr>
          <w:rFonts w:ascii="Arial" w:eastAsia="Arial" w:hAnsi="Arial" w:cs="Arial"/>
          <w:noProof/>
          <w:sz w:val="22"/>
          <w:szCs w:val="22"/>
          <w:bdr w:val="nil"/>
          <w:lang w:val="de-DE"/>
        </w:rPr>
        <w:t>Diese Garantie deckt keine Schäden ab, die durch Unfall, Nachlässigkeit, Fehlanwendung, unsachgemäße Wartung, Naturgewalten oder andere Ursachen verursacht werden, die nicht durch Fehler am Originalmaterial oder Verarbeitungsfehler hervorgerufen wurden.  Diese Garantie deckt keine Motorbürsten, Sicherungen, Glühlampen, Batterien sowie Farb- oder Lackschäden ab.  Ansprüche wegen Transportschäden sind beim Spediteur einzureichen.</w:t>
      </w:r>
    </w:p>
    <w:p w:rsidR="000556B1" w:rsidRPr="003C728F" w:rsidRDefault="003C728F" w:rsidP="005D7DF8">
      <w:pPr>
        <w:jc w:val="both"/>
        <w:rPr>
          <w:rFonts w:ascii="Arial" w:hAnsi="Arial" w:cs="Arial"/>
          <w:noProof/>
          <w:sz w:val="16"/>
          <w:szCs w:val="10"/>
          <w:lang w:val="de-DE"/>
        </w:rPr>
      </w:pPr>
    </w:p>
    <w:p w:rsidR="000556B1" w:rsidRPr="009A07FF" w:rsidRDefault="008B6583" w:rsidP="005D7DF8">
      <w:pPr>
        <w:jc w:val="both"/>
        <w:rPr>
          <w:rFonts w:ascii="Arial" w:hAnsi="Arial" w:cs="Arial"/>
          <w:noProof/>
          <w:sz w:val="22"/>
          <w:szCs w:val="16"/>
          <w:lang w:val="de-DE"/>
        </w:rPr>
      </w:pPr>
      <w:r>
        <w:rPr>
          <w:rFonts w:ascii="Arial" w:eastAsia="Arial" w:hAnsi="Arial" w:cs="Arial"/>
          <w:noProof/>
          <w:sz w:val="22"/>
          <w:szCs w:val="22"/>
          <w:bdr w:val="nil"/>
          <w:lang w:val="de-DE"/>
        </w:rPr>
        <w:t>ALLE GARANTIEN, EINSCHLIESSLICH DER IMPLIZIERTEN GARANTIE DER MARKTGÄNGIGKEIT UND DER EIGNUNG FÜR EINEN BESTIMMTEN ZWECK SIND AUF DIE DAUER VON 24 MONATEN AB DEM URSPRÜNGLICHEN KAUFDATUM DES KAUFS BEGRENZT.</w:t>
      </w:r>
    </w:p>
    <w:p w:rsidR="000556B1" w:rsidRPr="003C728F" w:rsidRDefault="003C728F" w:rsidP="005D7DF8">
      <w:pPr>
        <w:jc w:val="both"/>
        <w:rPr>
          <w:rFonts w:ascii="Arial" w:hAnsi="Arial" w:cs="Arial"/>
          <w:noProof/>
          <w:sz w:val="16"/>
          <w:szCs w:val="10"/>
          <w:lang w:val="de-DE"/>
        </w:rPr>
      </w:pPr>
    </w:p>
    <w:p w:rsidR="000556B1" w:rsidRPr="009A07FF" w:rsidRDefault="008B6583" w:rsidP="005D7DF8">
      <w:pPr>
        <w:jc w:val="both"/>
        <w:rPr>
          <w:rFonts w:ascii="Arial" w:hAnsi="Arial" w:cs="Arial"/>
          <w:noProof/>
          <w:sz w:val="22"/>
          <w:szCs w:val="16"/>
          <w:lang w:val="de-DE"/>
        </w:rPr>
      </w:pPr>
      <w:r>
        <w:rPr>
          <w:rFonts w:ascii="Arial" w:eastAsia="Arial" w:hAnsi="Arial" w:cs="Arial"/>
          <w:noProof/>
          <w:sz w:val="22"/>
          <w:szCs w:val="22"/>
          <w:bdr w:val="nil"/>
          <w:lang w:val="de-DE"/>
        </w:rPr>
        <w:t>SELECT BIOPRODUCTS VERPFLICHTUNG IM RAHMEN DIESER GARANTIE BESCHRÄNKT SICH AUF DIE REPARATUR ODER DEN ERSATZ EINES DEFEKTEN PRODUKTS NACH ERMESSEN VON SELECT BIOPRODUCTS.  SELECT BIOPRODUCTS HAFTET NICHT FÜR ZUFÄLLIGE SCHÄDEN ODER FOLGESCHÄDEN, KOMMERZIELLE VERLUSTE ODER JEGLICHE ANDERE SCHÄDEN, DIE DURCH DIE VERWENDUNG DIESES PRODUKTS ENTSTEHEN.</w:t>
      </w:r>
    </w:p>
    <w:p w:rsidR="000556B1" w:rsidRPr="003C728F" w:rsidRDefault="003C728F" w:rsidP="005D7DF8">
      <w:pPr>
        <w:jc w:val="both"/>
        <w:rPr>
          <w:rFonts w:ascii="Arial" w:hAnsi="Arial" w:cs="Arial"/>
          <w:noProof/>
          <w:sz w:val="16"/>
          <w:szCs w:val="10"/>
          <w:lang w:val="de-DE"/>
        </w:rPr>
      </w:pPr>
    </w:p>
    <w:p w:rsidR="000556B1" w:rsidRPr="009A07FF" w:rsidRDefault="008B6583" w:rsidP="005D7DF8">
      <w:pPr>
        <w:jc w:val="both"/>
        <w:rPr>
          <w:rFonts w:ascii="Arial" w:hAnsi="Arial" w:cs="Arial"/>
          <w:noProof/>
          <w:sz w:val="22"/>
          <w:szCs w:val="16"/>
          <w:lang w:val="de-DE"/>
        </w:rPr>
      </w:pPr>
      <w:r>
        <w:rPr>
          <w:rFonts w:ascii="Arial" w:eastAsia="Arial" w:hAnsi="Arial" w:cs="Arial"/>
          <w:noProof/>
          <w:sz w:val="22"/>
          <w:szCs w:val="22"/>
          <w:bdr w:val="nil"/>
          <w:lang w:val="de-DE"/>
        </w:rPr>
        <w:t>Einige Länder lassen keine Beschränkung in Bezug auf die Dauer einer indirekten Garantie oder den Ausschluss oder die Beschränkung von zufälligen Schäden oder Folgeschäden zu.  Diese Garantie gibt Ihnen bestimmte Rechte.  Möglicherweise haben Sie weitere Rechte, die von Land zu Land variieren.</w:t>
      </w:r>
    </w:p>
    <w:p w:rsidR="000556B1" w:rsidRPr="003C728F" w:rsidRDefault="003C728F" w:rsidP="005D7DF8">
      <w:pPr>
        <w:jc w:val="both"/>
        <w:rPr>
          <w:rFonts w:ascii="Arial" w:hAnsi="Arial" w:cs="Arial"/>
          <w:noProof/>
          <w:sz w:val="16"/>
          <w:szCs w:val="10"/>
          <w:lang w:val="de-DE"/>
        </w:rPr>
      </w:pPr>
    </w:p>
    <w:p w:rsidR="000556B1" w:rsidRPr="009A07FF" w:rsidRDefault="008B6583" w:rsidP="005D7DF8">
      <w:pPr>
        <w:jc w:val="both"/>
        <w:rPr>
          <w:rFonts w:ascii="Arial" w:hAnsi="Arial" w:cs="Arial"/>
          <w:noProof/>
          <w:sz w:val="22"/>
          <w:szCs w:val="16"/>
          <w:lang w:val="de-DE"/>
        </w:rPr>
      </w:pPr>
      <w:r>
        <w:rPr>
          <w:rFonts w:ascii="Arial" w:eastAsia="Arial" w:hAnsi="Arial" w:cs="Arial"/>
          <w:noProof/>
          <w:sz w:val="22"/>
          <w:szCs w:val="22"/>
          <w:bdr w:val="nil"/>
          <w:lang w:val="de-DE"/>
        </w:rPr>
        <w:t xml:space="preserve">Keine Person kann für oder im Auftrag von Select BioProducts eine sonstige Haftungsverpflichtung übernehmen oder die Dauer dieser Garantie verlängern. </w:t>
      </w:r>
    </w:p>
    <w:p w:rsidR="000556B1" w:rsidRPr="003C728F" w:rsidRDefault="003C728F" w:rsidP="005D7DF8">
      <w:pPr>
        <w:ind w:firstLine="90"/>
        <w:rPr>
          <w:rFonts w:ascii="Arial" w:hAnsi="Arial" w:cs="Arial"/>
          <w:noProof/>
          <w:sz w:val="12"/>
          <w:szCs w:val="7"/>
          <w:lang w:val="de-DE"/>
        </w:rPr>
      </w:pPr>
    </w:p>
    <w:tbl>
      <w:tblPr>
        <w:tblStyle w:val="TableGrid"/>
        <w:tblW w:w="0" w:type="auto"/>
        <w:jc w:val="center"/>
        <w:tblLook w:val="04A0"/>
      </w:tblPr>
      <w:tblGrid>
        <w:gridCol w:w="5711"/>
      </w:tblGrid>
      <w:tr w:rsidR="00BA3544" w:rsidTr="009A07FF">
        <w:trPr>
          <w:trHeight w:val="629"/>
          <w:jc w:val="center"/>
        </w:trPr>
        <w:tc>
          <w:tcPr>
            <w:tcW w:w="5711" w:type="dxa"/>
          </w:tcPr>
          <w:p w:rsidR="00594D87" w:rsidRPr="009A07FF" w:rsidRDefault="008B6583" w:rsidP="00594D87">
            <w:pPr>
              <w:ind w:firstLine="36"/>
              <w:jc w:val="center"/>
              <w:rPr>
                <w:rFonts w:ascii="Arial" w:hAnsi="Arial" w:cs="Arial"/>
                <w:b/>
                <w:i/>
                <w:lang w:val="de-DE"/>
              </w:rPr>
            </w:pPr>
            <w:r>
              <w:rPr>
                <w:rFonts w:ascii="Arial" w:eastAsia="Arial" w:hAnsi="Arial" w:cs="Arial"/>
                <w:b/>
                <w:bCs/>
                <w:i/>
                <w:iCs/>
                <w:bdr w:val="nil"/>
                <w:lang w:val="de-DE"/>
              </w:rPr>
              <w:t>Bitte registrieren Sie Ihr Produkt online unter:</w:t>
            </w:r>
          </w:p>
          <w:p w:rsidR="00594D87" w:rsidRPr="00594D87" w:rsidRDefault="008B6583" w:rsidP="00594D87">
            <w:pPr>
              <w:ind w:firstLine="36"/>
              <w:jc w:val="center"/>
              <w:rPr>
                <w:rFonts w:ascii="Arial" w:hAnsi="Arial" w:cs="Arial"/>
                <w:b/>
                <w:i/>
              </w:rPr>
            </w:pPr>
            <w:r>
              <w:rPr>
                <w:rFonts w:ascii="Arial" w:eastAsia="Arial" w:hAnsi="Arial" w:cs="Arial"/>
                <w:b/>
                <w:bCs/>
                <w:i/>
                <w:iCs/>
                <w:bdr w:val="nil"/>
                <w:lang w:val="de-DE"/>
              </w:rPr>
              <w:t>www.selectbioproducts.com</w:t>
            </w:r>
          </w:p>
        </w:tc>
      </w:tr>
    </w:tbl>
    <w:p w:rsidR="00030985" w:rsidRPr="003C728F" w:rsidRDefault="003C728F" w:rsidP="00030985">
      <w:pPr>
        <w:jc w:val="center"/>
        <w:rPr>
          <w:rFonts w:ascii="Arial" w:hAnsi="Arial" w:cs="Arial"/>
          <w:sz w:val="12"/>
          <w:szCs w:val="12"/>
        </w:rPr>
      </w:pPr>
      <w:bookmarkStart w:id="0" w:name="_GoBack"/>
      <w:bookmarkEnd w:id="0"/>
    </w:p>
    <w:p w:rsidR="00030985" w:rsidRPr="009A07FF" w:rsidRDefault="008B6583" w:rsidP="00030985">
      <w:pPr>
        <w:tabs>
          <w:tab w:val="left" w:pos="2430"/>
        </w:tabs>
        <w:ind w:right="-1440"/>
        <w:rPr>
          <w:rFonts w:ascii="Arial" w:hAnsi="Arial" w:cs="Arial"/>
          <w:sz w:val="16"/>
          <w:szCs w:val="16"/>
          <w:lang w:val="de-DE"/>
        </w:rPr>
      </w:pPr>
      <w:r>
        <w:rPr>
          <w:rFonts w:ascii="Arial" w:eastAsia="Arial" w:hAnsi="Arial" w:cs="Arial"/>
          <w:b/>
          <w:bCs/>
          <w:sz w:val="20"/>
          <w:szCs w:val="20"/>
          <w:bdr w:val="nil"/>
          <w:lang w:val="de-DE"/>
        </w:rPr>
        <w:t>Garantie/Haftungsausschluss:</w:t>
      </w:r>
      <w:r>
        <w:rPr>
          <w:rFonts w:ascii="Arial" w:eastAsia="Arial" w:hAnsi="Arial" w:cs="Arial"/>
          <w:sz w:val="20"/>
          <w:szCs w:val="20"/>
          <w:bdr w:val="nil"/>
          <w:lang w:val="de-DE"/>
        </w:rPr>
        <w:t xml:space="preserve"> Sofern nicht anders angegeben, dürfen alle Produkte nur zu Forschungszwecken eingesetzt werden. Nicht zur Verwendung im Rahmen von diagnostischen oder therapeutischen Verfahren vorgesehen. Select BioProducts erhebt keinen Anspruch bezüglich der Leistung dieser Produkte in klinischen oder diagnostischen Anwendungen.</w:t>
      </w:r>
    </w:p>
    <w:p w:rsidR="00BB4042" w:rsidRPr="009A07FF" w:rsidRDefault="008B6583">
      <w:pPr>
        <w:rPr>
          <w:rFonts w:ascii="Arial" w:hAnsi="Arial" w:cs="Arial"/>
          <w:b/>
          <w:lang w:val="de-DE"/>
        </w:rPr>
      </w:pPr>
      <w:r w:rsidRPr="009A07FF">
        <w:rPr>
          <w:rFonts w:ascii="Arial" w:hAnsi="Arial" w:cs="Arial"/>
          <w:b/>
          <w:lang w:val="de-DE"/>
        </w:rPr>
        <w:br w:type="page"/>
      </w:r>
    </w:p>
    <w:p w:rsidR="000556B1" w:rsidRPr="009A07FF" w:rsidRDefault="003C728F" w:rsidP="000556B1">
      <w:pPr>
        <w:ind w:firstLine="90"/>
        <w:rPr>
          <w:rFonts w:ascii="Arial" w:hAnsi="Arial" w:cs="Arial"/>
          <w:b/>
          <w:lang w:val="de-DE"/>
        </w:rPr>
      </w:pPr>
    </w:p>
    <w:p w:rsidR="00D427DE"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594D87" w:rsidRPr="009A07FF" w:rsidRDefault="003C728F" w:rsidP="00D427DE">
      <w:pPr>
        <w:jc w:val="center"/>
        <w:rPr>
          <w:rFonts w:ascii="Arial" w:hAnsi="Arial" w:cs="Arial"/>
          <w:sz w:val="18"/>
          <w:szCs w:val="18"/>
          <w:lang w:val="de-DE"/>
        </w:rPr>
      </w:pPr>
    </w:p>
    <w:p w:rsidR="00D427DE" w:rsidRPr="009A07FF" w:rsidRDefault="003C728F" w:rsidP="00D427DE">
      <w:pPr>
        <w:jc w:val="center"/>
        <w:rPr>
          <w:rFonts w:ascii="Arial" w:hAnsi="Arial" w:cs="Arial"/>
          <w:sz w:val="18"/>
          <w:szCs w:val="18"/>
          <w:lang w:val="de-DE"/>
        </w:rPr>
      </w:pPr>
    </w:p>
    <w:p w:rsidR="00A05DF3" w:rsidRPr="009A07FF" w:rsidRDefault="003C728F" w:rsidP="00D427DE">
      <w:pPr>
        <w:jc w:val="center"/>
        <w:rPr>
          <w:rFonts w:ascii="Arial" w:hAnsi="Arial" w:cs="Arial"/>
          <w:sz w:val="18"/>
          <w:szCs w:val="18"/>
          <w:lang w:val="de-DE"/>
        </w:rPr>
      </w:pPr>
    </w:p>
    <w:p w:rsidR="00D427DE" w:rsidRPr="009A07FF" w:rsidRDefault="003C728F" w:rsidP="00D427DE">
      <w:pPr>
        <w:jc w:val="center"/>
        <w:rPr>
          <w:rFonts w:ascii="Arial" w:hAnsi="Arial" w:cs="Arial"/>
          <w:sz w:val="18"/>
          <w:szCs w:val="18"/>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56"/>
        <w:gridCol w:w="2922"/>
        <w:gridCol w:w="2178"/>
      </w:tblGrid>
      <w:tr w:rsidR="00BA3544" w:rsidTr="00594D87">
        <w:tc>
          <w:tcPr>
            <w:tcW w:w="3756" w:type="dxa"/>
          </w:tcPr>
          <w:p w:rsidR="00594D87" w:rsidRDefault="008B6583" w:rsidP="00D0695B">
            <w:pPr>
              <w:rPr>
                <w:rFonts w:ascii="Arial" w:hAnsi="Arial" w:cs="Arial"/>
                <w:sz w:val="16"/>
                <w:szCs w:val="16"/>
              </w:rPr>
            </w:pPr>
            <w:r w:rsidRPr="00594D87">
              <w:rPr>
                <w:rFonts w:ascii="Arial" w:hAnsi="Arial" w:cs="Arial"/>
                <w:noProof/>
                <w:sz w:val="16"/>
                <w:szCs w:val="16"/>
                <w:lang w:eastAsia="zh-TW"/>
              </w:rPr>
              <w:drawing>
                <wp:inline distT="0" distB="0" distL="0" distR="0">
                  <wp:extent cx="2226945" cy="897255"/>
                  <wp:effectExtent l="19050" t="0" r="1905" b="0"/>
                  <wp:docPr id="6" name="Picture 69"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electBio Logo copy"/>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226945" cy="897255"/>
                          </a:xfrm>
                          <a:prstGeom prst="rect">
                            <a:avLst/>
                          </a:prstGeom>
                          <a:noFill/>
                          <a:ln>
                            <a:noFill/>
                          </a:ln>
                        </pic:spPr>
                      </pic:pic>
                    </a:graphicData>
                  </a:graphic>
                </wp:inline>
              </w:drawing>
            </w:r>
          </w:p>
        </w:tc>
        <w:tc>
          <w:tcPr>
            <w:tcW w:w="2922" w:type="dxa"/>
          </w:tcPr>
          <w:p w:rsidR="00594D87" w:rsidRDefault="008B6583" w:rsidP="00594D87">
            <w:r w:rsidRPr="009A07FF">
              <w:rPr>
                <w:rFonts w:eastAsia="Times New Roman"/>
                <w:bdr w:val="nil"/>
              </w:rPr>
              <w:t>31 Mayfield Ave.</w:t>
            </w:r>
          </w:p>
          <w:p w:rsidR="00594D87" w:rsidRPr="00594D87" w:rsidRDefault="008B6583" w:rsidP="00594D87">
            <w:r w:rsidRPr="009A07FF">
              <w:rPr>
                <w:rFonts w:eastAsia="Times New Roman"/>
                <w:bdr w:val="nil"/>
              </w:rPr>
              <w:t>Edison, NJ  08837  USA</w:t>
            </w:r>
          </w:p>
        </w:tc>
        <w:tc>
          <w:tcPr>
            <w:tcW w:w="2178" w:type="dxa"/>
          </w:tcPr>
          <w:p w:rsidR="00594D87" w:rsidRDefault="003C728F" w:rsidP="00D0695B">
            <w:pPr>
              <w:rPr>
                <w:rFonts w:ascii="Arial" w:hAnsi="Arial" w:cs="Arial"/>
                <w:sz w:val="16"/>
                <w:szCs w:val="16"/>
              </w:rPr>
            </w:pPr>
          </w:p>
        </w:tc>
      </w:tr>
      <w:tr w:rsidR="00BA3544" w:rsidTr="00594D87">
        <w:tc>
          <w:tcPr>
            <w:tcW w:w="3756" w:type="dxa"/>
          </w:tcPr>
          <w:p w:rsidR="00594D87" w:rsidRDefault="003C728F" w:rsidP="00D0695B">
            <w:pPr>
              <w:rPr>
                <w:rFonts w:ascii="Arial" w:hAnsi="Arial" w:cs="Arial"/>
                <w:sz w:val="16"/>
                <w:szCs w:val="16"/>
              </w:rPr>
            </w:pPr>
          </w:p>
        </w:tc>
        <w:tc>
          <w:tcPr>
            <w:tcW w:w="2922" w:type="dxa"/>
          </w:tcPr>
          <w:p w:rsidR="00594D87" w:rsidRDefault="003C728F" w:rsidP="00D0695B">
            <w:pPr>
              <w:rPr>
                <w:rFonts w:ascii="Arial" w:hAnsi="Arial" w:cs="Arial"/>
                <w:sz w:val="16"/>
                <w:szCs w:val="16"/>
              </w:rPr>
            </w:pPr>
          </w:p>
        </w:tc>
        <w:tc>
          <w:tcPr>
            <w:tcW w:w="2178" w:type="dxa"/>
          </w:tcPr>
          <w:p w:rsidR="00594D87" w:rsidRPr="00594D87" w:rsidRDefault="008B6583" w:rsidP="00594D87">
            <w:pPr>
              <w:jc w:val="right"/>
              <w:rPr>
                <w:rFonts w:ascii="Arial" w:hAnsi="Arial" w:cs="Arial"/>
                <w:sz w:val="20"/>
              </w:rPr>
            </w:pPr>
            <w:r>
              <w:rPr>
                <w:rFonts w:ascii="Arial" w:eastAsia="Arial" w:hAnsi="Arial" w:cs="Arial"/>
                <w:sz w:val="20"/>
                <w:szCs w:val="20"/>
                <w:bdr w:val="nil"/>
                <w:lang w:val="de-DE"/>
              </w:rPr>
              <w:t>9299360000</w:t>
            </w:r>
          </w:p>
        </w:tc>
      </w:tr>
    </w:tbl>
    <w:p w:rsidR="00030C4B" w:rsidRPr="00C33B20" w:rsidRDefault="00D22ED5" w:rsidP="00D0695B">
      <w:pPr>
        <w:rPr>
          <w:rFonts w:ascii="Arial" w:hAnsi="Arial" w:cs="Arial"/>
          <w:sz w:val="16"/>
          <w:szCs w:val="16"/>
        </w:rPr>
      </w:pPr>
      <w:r w:rsidRPr="00D22ED5">
        <w:rPr>
          <w:noProof/>
          <w:sz w:val="22"/>
          <w:szCs w:val="22"/>
          <w:lang w:eastAsia="en-US"/>
        </w:rPr>
        <w:pict>
          <v:shapetype id="_x0000_t202" coordsize="21600,21600" o:spt="202" path="m,l,21600r21600,l21600,xe">
            <v:stroke joinstyle="miter"/>
            <v:path gradientshapeok="t" o:connecttype="rect"/>
          </v:shapetype>
          <v:shape id="Text Box 76" o:spid="_x0000_s1034" type="#_x0000_t202" style="position:absolute;margin-left:147.4pt;margin-top:557.6pt;width:2in;height:41.15pt;z-index:251664384;visibility:visible;mso-position-horizontal-relative:text;mso-position-vertical-relative:text" filled="f" stroked="f">
            <v:textbox>
              <w:txbxContent>
                <w:p w:rsidR="00D0695B" w:rsidRPr="00594D87" w:rsidRDefault="003C728F" w:rsidP="00594D87"/>
              </w:txbxContent>
            </v:textbox>
          </v:shape>
        </w:pict>
      </w:r>
      <w:r w:rsidRPr="00D22ED5">
        <w:rPr>
          <w:noProof/>
          <w:sz w:val="22"/>
          <w:szCs w:val="22"/>
          <w:lang w:eastAsia="en-US"/>
        </w:rPr>
        <w:pict>
          <v:shape id="Text Box 70" o:spid="_x0000_s1035" type="#_x0000_t202" style="position:absolute;margin-left:354.65pt;margin-top:607.85pt;width:78.35pt;height:25.3pt;z-index:251661312;visibility:visible;mso-position-horizontal-relative:text;mso-position-vertical-relative:text" stroked="f">
            <v:textbox>
              <w:txbxContent>
                <w:p w:rsidR="00C26C62" w:rsidRPr="00594D87" w:rsidRDefault="003C728F" w:rsidP="00594D87"/>
              </w:txbxContent>
            </v:textbox>
          </v:shape>
        </w:pict>
      </w:r>
    </w:p>
    <w:sectPr w:rsidR="00030C4B" w:rsidRPr="00C33B20" w:rsidSect="00CE6F5C">
      <w:footerReference w:type="first" r:id="rId21"/>
      <w:pgSz w:w="12240" w:h="15840"/>
      <w:pgMar w:top="1440" w:right="1800" w:bottom="99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6583" w:rsidRDefault="008B6583">
      <w:r>
        <w:separator/>
      </w:r>
    </w:p>
  </w:endnote>
  <w:endnote w:type="continuationSeparator" w:id="0">
    <w:p w:rsidR="008B6583" w:rsidRDefault="008B65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ningSans">
    <w:altName w:val="Corning Sans"/>
    <w:panose1 w:val="00000000000000000000"/>
    <w:charset w:val="4D"/>
    <w:family w:val="auto"/>
    <w:notTrueType/>
    <w:pitch w:val="default"/>
    <w:sig w:usb0="00000003" w:usb1="00000000" w:usb2="00000000" w:usb3="00000000" w:csb0="00000001" w:csb1="00000000"/>
  </w:font>
  <w:font w:name="Eurostile">
    <w:altName w:val="Segoe Script"/>
    <w:charset w:val="00"/>
    <w:family w:val="swiss"/>
    <w:pitch w:val="variable"/>
    <w:sig w:usb0="00000003" w:usb1="00000000" w:usb2="00000000" w:usb3="00000000" w:csb0="00000001" w:csb1="00000000"/>
  </w:font>
  <w:font w:name="Copperplate Gothic Light">
    <w:altName w:val="MV Boli"/>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F5C" w:rsidRPr="00D7436F" w:rsidRDefault="008B6583" w:rsidP="00CE6F5C">
    <w:pPr>
      <w:autoSpaceDE w:val="0"/>
      <w:autoSpaceDN w:val="0"/>
      <w:adjustRightInd w:val="0"/>
      <w:spacing w:line="210" w:lineRule="atLeast"/>
      <w:rPr>
        <w:rFonts w:ascii="Arial" w:eastAsia="MS Mincho" w:hAnsi="Arial" w:cs="Arial"/>
        <w:b/>
        <w:bCs/>
        <w:sz w:val="18"/>
        <w:szCs w:val="18"/>
        <w:lang w:eastAsia="ja-JP"/>
      </w:rPr>
    </w:pPr>
    <w:r>
      <w:rPr>
        <w:rFonts w:ascii="Arial" w:eastAsia="Arial" w:hAnsi="Arial" w:cs="Arial"/>
        <w:b/>
        <w:bCs/>
        <w:sz w:val="18"/>
        <w:szCs w:val="18"/>
        <w:bdr w:val="nil"/>
        <w:lang w:val="de-DE" w:eastAsia="ja-JP"/>
      </w:rPr>
      <w:t xml:space="preserve">Lit M00055  </w:t>
    </w:r>
    <w:r>
      <w:rPr>
        <w:rFonts w:ascii="Arial" w:eastAsia="Arial" w:hAnsi="Arial" w:cs="Arial"/>
        <w:b/>
        <w:bCs/>
        <w:sz w:val="18"/>
        <w:szCs w:val="18"/>
        <w:bdr w:val="nil"/>
        <w:lang w:val="de-DE" w:eastAsia="ja-JP"/>
      </w:rPr>
      <w:tab/>
    </w:r>
    <w:r>
      <w:rPr>
        <w:rFonts w:ascii="Arial" w:eastAsia="Arial" w:hAnsi="Arial" w:cs="Arial"/>
        <w:b/>
        <w:bCs/>
        <w:sz w:val="18"/>
        <w:szCs w:val="18"/>
        <w:bdr w:val="nil"/>
        <w:lang w:val="de-DE" w:eastAsia="ja-JP"/>
      </w:rPr>
      <w:tab/>
    </w:r>
    <w:r>
      <w:rPr>
        <w:rFonts w:ascii="Arial" w:eastAsia="Arial" w:hAnsi="Arial" w:cs="Arial"/>
        <w:b/>
        <w:bCs/>
        <w:sz w:val="18"/>
        <w:szCs w:val="18"/>
        <w:bdr w:val="nil"/>
        <w:lang w:val="de-DE" w:eastAsia="ja-JP"/>
      </w:rPr>
      <w:tab/>
    </w:r>
    <w:r>
      <w:rPr>
        <w:rFonts w:ascii="Arial" w:eastAsia="Arial" w:hAnsi="Arial" w:cs="Arial"/>
        <w:b/>
        <w:bCs/>
        <w:sz w:val="18"/>
        <w:szCs w:val="18"/>
        <w:bdr w:val="nil"/>
        <w:lang w:val="de-DE" w:eastAsia="ja-JP"/>
      </w:rPr>
      <w:tab/>
    </w:r>
    <w:r>
      <w:rPr>
        <w:rFonts w:ascii="Arial" w:eastAsia="Arial" w:hAnsi="Arial" w:cs="Arial"/>
        <w:b/>
        <w:bCs/>
        <w:sz w:val="18"/>
        <w:szCs w:val="18"/>
        <w:bdr w:val="nil"/>
        <w:lang w:val="de-DE" w:eastAsia="ja-JP"/>
      </w:rPr>
      <w:tab/>
    </w:r>
    <w:r>
      <w:rPr>
        <w:rFonts w:ascii="Arial" w:eastAsia="Arial" w:hAnsi="Arial" w:cs="Arial"/>
        <w:b/>
        <w:bCs/>
        <w:sz w:val="18"/>
        <w:szCs w:val="18"/>
        <w:bdr w:val="nil"/>
        <w:lang w:val="de-DE" w:eastAsia="ja-JP"/>
      </w:rPr>
      <w:tab/>
    </w:r>
    <w:r>
      <w:rPr>
        <w:rFonts w:ascii="Arial" w:eastAsia="Arial" w:hAnsi="Arial" w:cs="Arial"/>
        <w:b/>
        <w:bCs/>
        <w:sz w:val="18"/>
        <w:szCs w:val="18"/>
        <w:bdr w:val="nil"/>
        <w:lang w:val="de-DE" w:eastAsia="ja-JP"/>
      </w:rPr>
      <w:tab/>
    </w:r>
    <w:r>
      <w:rPr>
        <w:rFonts w:ascii="Arial" w:eastAsia="Arial" w:hAnsi="Arial" w:cs="Arial"/>
        <w:b/>
        <w:bCs/>
        <w:sz w:val="18"/>
        <w:szCs w:val="18"/>
        <w:bdr w:val="nil"/>
        <w:lang w:val="de-DE" w:eastAsia="ja-JP"/>
      </w:rPr>
      <w:tab/>
      <w:t>Rev. 3, Juli 2016</w:t>
    </w:r>
  </w:p>
  <w:p w:rsidR="00CE6F5C" w:rsidRDefault="003C72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6583" w:rsidRDefault="008B6583">
      <w:r>
        <w:separator/>
      </w:r>
    </w:p>
  </w:footnote>
  <w:footnote w:type="continuationSeparator" w:id="0">
    <w:p w:rsidR="008B6583" w:rsidRDefault="008B65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
  <w:rsids>
    <w:rsidRoot w:val="00BA3544"/>
    <w:rsid w:val="003C728F"/>
    <w:rsid w:val="008B6583"/>
    <w:rsid w:val="009A07FF"/>
    <w:rsid w:val="00BA3544"/>
    <w:rsid w:val="00D22ED5"/>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7DE"/>
    <w:rPr>
      <w:rFonts w:eastAsia="Batang"/>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427D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F7239"/>
    <w:pPr>
      <w:tabs>
        <w:tab w:val="center" w:pos="4320"/>
        <w:tab w:val="right" w:pos="8640"/>
      </w:tabs>
    </w:pPr>
  </w:style>
  <w:style w:type="paragraph" w:styleId="Footer">
    <w:name w:val="footer"/>
    <w:basedOn w:val="Normal"/>
    <w:rsid w:val="00AF7239"/>
    <w:pPr>
      <w:tabs>
        <w:tab w:val="center" w:pos="4320"/>
        <w:tab w:val="right" w:pos="8640"/>
      </w:tabs>
    </w:pPr>
  </w:style>
  <w:style w:type="character" w:styleId="Hyperlink">
    <w:name w:val="Hyperlink"/>
    <w:rsid w:val="00B37B06"/>
    <w:rPr>
      <w:color w:val="0000FF"/>
      <w:u w:val="single"/>
    </w:rPr>
  </w:style>
  <w:style w:type="paragraph" w:styleId="BalloonText">
    <w:name w:val="Balloon Text"/>
    <w:basedOn w:val="Normal"/>
    <w:link w:val="BalloonTextChar"/>
    <w:rsid w:val="00406239"/>
    <w:rPr>
      <w:rFonts w:ascii="Tahoma" w:hAnsi="Tahoma" w:cs="Tahoma"/>
      <w:sz w:val="16"/>
      <w:szCs w:val="16"/>
    </w:rPr>
  </w:style>
  <w:style w:type="character" w:customStyle="1" w:styleId="BalloonTextChar">
    <w:name w:val="Balloon Text Char"/>
    <w:link w:val="BalloonText"/>
    <w:rsid w:val="00406239"/>
    <w:rPr>
      <w:rFonts w:ascii="Tahoma" w:eastAsia="Batang" w:hAnsi="Tahoma" w:cs="Tahoma"/>
      <w:sz w:val="16"/>
      <w:szCs w:val="16"/>
      <w:lang w:eastAsia="ko-KR"/>
    </w:rPr>
  </w:style>
  <w:style w:type="paragraph" w:customStyle="1" w:styleId="AboutAHead">
    <w:name w:val="About.. A Head"/>
    <w:basedOn w:val="Normal"/>
    <w:uiPriority w:val="99"/>
    <w:rsid w:val="00030985"/>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lang w:eastAsia="en-US"/>
    </w:rPr>
  </w:style>
  <w:style w:type="paragraph" w:customStyle="1" w:styleId="Aboutbody">
    <w:name w:val="About.. body"/>
    <w:basedOn w:val="Normal"/>
    <w:uiPriority w:val="99"/>
    <w:rsid w:val="00030985"/>
    <w:pPr>
      <w:widowControl w:val="0"/>
      <w:autoSpaceDE w:val="0"/>
      <w:autoSpaceDN w:val="0"/>
      <w:adjustRightInd w:val="0"/>
      <w:spacing w:after="60" w:line="180" w:lineRule="atLeast"/>
    </w:pPr>
    <w:rPr>
      <w:rFonts w:ascii="CorningSans" w:eastAsia="Calibri" w:hAnsi="CorningSans" w:cs="CorningSans"/>
      <w:color w:val="000000"/>
      <w:sz w:val="15"/>
      <w:szCs w:val="15"/>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corning.com/wee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C5D8DE41E7A94699207848F9CE7680" ma:contentTypeVersion="" ma:contentTypeDescription="Create a new document." ma:contentTypeScope="" ma:versionID="fe93f9c86c0a8b9c6d0ce535375c4cf1">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A90542-0B72-41C7-8F7A-8EB9C974F4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384A64A-2ADC-4592-A4C0-3608037D5319}">
  <ds:schemaRefs>
    <ds:schemaRef ds:uri="http://schemas.microsoft.com/sharepoint/v3/contenttype/forms"/>
  </ds:schemaRefs>
</ds:datastoreItem>
</file>

<file path=customXml/itemProps3.xml><?xml version="1.0" encoding="utf-8"?>
<ds:datastoreItem xmlns:ds="http://schemas.openxmlformats.org/officeDocument/2006/customXml" ds:itemID="{EE978E9C-4035-4A85-9553-F2DBAEBABD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1592</Words>
  <Characters>10831</Characters>
  <Application>Microsoft Office Word</Application>
  <DocSecurity>0</DocSecurity>
  <Lines>90</Lines>
  <Paragraphs>24</Paragraphs>
  <ScaleCrop>false</ScaleCrop>
  <HeadingPairs>
    <vt:vector size="2" baseType="variant">
      <vt:variant>
        <vt:lpstr>Title</vt:lpstr>
      </vt:variant>
      <vt:variant>
        <vt:i4>1</vt:i4>
      </vt:variant>
    </vt:vector>
  </HeadingPairs>
  <TitlesOfParts>
    <vt:vector size="1" baseType="lpstr">
      <vt:lpstr>INSTRUCTION MANUAL – GYROMINI NUTATING MIXER</vt:lpstr>
    </vt:vector>
  </TitlesOfParts>
  <Company>Corning Incorporated</Company>
  <LinksUpToDate>false</LinksUpToDate>
  <CharactersWithSpaces>12399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MANUAL – GYROMINI NUTATING MIXER</dc:title>
  <dc:creator>pankowje</dc:creator>
  <cp:keywords>Non-Corning</cp:keywords>
  <cp:lastModifiedBy>nprutting</cp:lastModifiedBy>
  <cp:revision>14</cp:revision>
  <cp:lastPrinted>2016-07-18T15:05:00Z</cp:lastPrinted>
  <dcterms:created xsi:type="dcterms:W3CDTF">2016-08-09T16:36:00Z</dcterms:created>
  <dcterms:modified xsi:type="dcterms:W3CDTF">2016-10-27T18:48:00Z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102b0412-7390-4aa6-a475-50a5df4dcff6</vt:lpwstr>
  </property>
</Properties>
</file>