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271E" w:rsidRPr="00BA7135" w:rsidRDefault="00817918" w:rsidP="007D271E">
      <w:pPr>
        <w:autoSpaceDE w:val="0"/>
        <w:autoSpaceDN w:val="0"/>
        <w:adjustRightInd w:val="0"/>
        <w:rPr>
          <w:rFonts w:ascii="Eurostile" w:hAnsi="Eurostile"/>
          <w:b/>
          <w:sz w:val="52"/>
          <w:szCs w:val="52"/>
        </w:rPr>
      </w:pPr>
      <w:r w:rsidRPr="00817918">
        <w:rPr>
          <w:rFonts w:ascii="Eurostile" w:hAnsi="Eurostile"/>
          <w:b/>
          <w:noProof/>
          <w:sz w:val="48"/>
          <w:szCs w:val="48"/>
          <w:lang w:eastAsia="en-US"/>
        </w:rPr>
        <w:pict>
          <v:line id="Line 15" o:spid="_x0000_s1029" style="position:absolute;z-index:251659264;visibility:visible" from="-40.2pt,78.5pt" to="471.3pt,78.5pt" strokeweight="3pt"/>
        </w:pict>
      </w:r>
      <w:r w:rsidR="00465906">
        <w:rPr>
          <w:rFonts w:ascii="Eurostile" w:eastAsia="Eurostile" w:hAnsi="Eurostile" w:cs="Eurostile"/>
          <w:b/>
          <w:bCs/>
          <w:noProof/>
          <w:sz w:val="52"/>
          <w:szCs w:val="52"/>
          <w:bdr w:val="nil"/>
          <w:lang w:val="it-IT" w:eastAsia="en-US"/>
        </w:rPr>
        <w:t>SELECT BIOPRODUCTS MINI MIXER</w:t>
      </w:r>
    </w:p>
    <w:p w:rsidR="007D271E" w:rsidRPr="00106B13" w:rsidRDefault="00817918" w:rsidP="007D271E">
      <w:pPr>
        <w:autoSpaceDE w:val="0"/>
        <w:autoSpaceDN w:val="0"/>
        <w:adjustRightInd w:val="0"/>
        <w:rPr>
          <w:rFonts w:ascii="Arial" w:hAnsi="Arial" w:cs="Arial"/>
          <w:b/>
          <w:bCs/>
          <w:sz w:val="32"/>
          <w:szCs w:val="32"/>
        </w:rPr>
      </w:pPr>
      <w:r w:rsidRPr="00817918">
        <w:rPr>
          <w:rFonts w:ascii="Eurostile" w:hAnsi="Eurostile"/>
          <w:b/>
          <w:noProof/>
          <w:sz w:val="48"/>
          <w:szCs w:val="48"/>
          <w:lang w:eastAsia="en-US"/>
        </w:rPr>
        <w:pict>
          <v:line id="Line 16" o:spid="_x0000_s1026" style="position:absolute;z-index:251660288;visibility:visible" from="-40.95pt,4.3pt" to="470.55pt,4.3pt" strokecolor="#005a7c" strokeweight="3pt"/>
        </w:pict>
      </w:r>
      <w:r w:rsidR="00465906">
        <w:rPr>
          <w:rFonts w:ascii="Eurostile" w:eastAsia="Eurostile" w:hAnsi="Eurostile" w:cs="Eurostile"/>
          <w:b/>
          <w:bCs/>
          <w:noProof/>
          <w:sz w:val="48"/>
          <w:szCs w:val="48"/>
          <w:bdr w:val="nil"/>
          <w:lang w:val="it-IT" w:eastAsia="en-US"/>
        </w:rPr>
        <w:t>Manuale utente</w:t>
      </w:r>
    </w:p>
    <w:p w:rsidR="00972649" w:rsidRDefault="00733C46" w:rsidP="00972649">
      <w:pPr>
        <w:autoSpaceDE w:val="0"/>
        <w:autoSpaceDN w:val="0"/>
        <w:adjustRightInd w:val="0"/>
        <w:jc w:val="center"/>
        <w:rPr>
          <w:rFonts w:ascii="Times-Bold" w:hAnsi="Times-Bold" w:cs="Times-Bold"/>
          <w:b/>
          <w:bCs/>
          <w:sz w:val="36"/>
          <w:szCs w:val="36"/>
        </w:rPr>
      </w:pPr>
    </w:p>
    <w:p w:rsidR="007D271E" w:rsidRDefault="00733C46" w:rsidP="00972649">
      <w:pPr>
        <w:autoSpaceDE w:val="0"/>
        <w:autoSpaceDN w:val="0"/>
        <w:adjustRightInd w:val="0"/>
        <w:jc w:val="center"/>
        <w:rPr>
          <w:rFonts w:ascii="Times-Bold" w:hAnsi="Times-Bold" w:cs="Times-Bold"/>
          <w:b/>
          <w:bCs/>
          <w:sz w:val="36"/>
          <w:szCs w:val="36"/>
        </w:rPr>
      </w:pPr>
    </w:p>
    <w:p w:rsidR="007D271E" w:rsidRDefault="00733C46" w:rsidP="00972649">
      <w:pPr>
        <w:autoSpaceDE w:val="0"/>
        <w:autoSpaceDN w:val="0"/>
        <w:adjustRightInd w:val="0"/>
        <w:jc w:val="center"/>
        <w:rPr>
          <w:rFonts w:ascii="Times-Bold" w:hAnsi="Times-Bold" w:cs="Times-Bold"/>
          <w:b/>
          <w:bCs/>
          <w:sz w:val="36"/>
          <w:szCs w:val="36"/>
        </w:rPr>
      </w:pPr>
    </w:p>
    <w:p w:rsidR="007D271E" w:rsidRDefault="00733C46" w:rsidP="00972649">
      <w:pPr>
        <w:autoSpaceDE w:val="0"/>
        <w:autoSpaceDN w:val="0"/>
        <w:adjustRightInd w:val="0"/>
        <w:jc w:val="center"/>
        <w:rPr>
          <w:rFonts w:ascii="Times-Bold" w:hAnsi="Times-Bold" w:cs="Times-Bold"/>
          <w:b/>
          <w:bCs/>
          <w:sz w:val="36"/>
          <w:szCs w:val="36"/>
        </w:rPr>
      </w:pPr>
    </w:p>
    <w:p w:rsidR="007D271E" w:rsidRDefault="00465906" w:rsidP="00972649">
      <w:pPr>
        <w:autoSpaceDE w:val="0"/>
        <w:autoSpaceDN w:val="0"/>
        <w:adjustRightInd w:val="0"/>
        <w:jc w:val="center"/>
        <w:rPr>
          <w:rFonts w:ascii="Times-Bold" w:hAnsi="Times-Bold" w:cs="Times-Bold"/>
          <w:b/>
          <w:bCs/>
          <w:sz w:val="36"/>
          <w:szCs w:val="36"/>
        </w:rPr>
      </w:pPr>
      <w:r>
        <w:rPr>
          <w:noProof/>
          <w:lang w:eastAsia="zh-TW"/>
        </w:rPr>
        <w:drawing>
          <wp:anchor distT="0" distB="0" distL="114300" distR="114300" simplePos="0" relativeHeight="251658240" behindDoc="0" locked="0" layoutInCell="1" allowOverlap="1">
            <wp:simplePos x="0" y="0"/>
            <wp:positionH relativeFrom="column">
              <wp:posOffset>1266825</wp:posOffset>
            </wp:positionH>
            <wp:positionV relativeFrom="paragraph">
              <wp:posOffset>26670</wp:posOffset>
            </wp:positionV>
            <wp:extent cx="3448050" cy="3046095"/>
            <wp:effectExtent l="0" t="0" r="0" b="1905"/>
            <wp:wrapSquare wrapText="bothSides"/>
            <wp:docPr id="15" name="Picture 5" descr="SBP Mini Mix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BP Mini Mixer"/>
                    <pic:cNvPicPr>
                      <a:picLocks noChangeAspect="1" noChangeArrowheads="1"/>
                    </pic:cNvPicPr>
                  </pic:nvPicPr>
                  <pic:blipFill>
                    <a:blip r:embed="rId6" cstate="print">
                      <a:extLst>
                        <a:ext uri="{28A0092B-C50C-407E-A947-70E740481C1C}">
                          <a14:useLocalDpi xmlns="" xmlns:a14="http://schemas.microsoft.com/office/drawing/2010/main" xmlns:mc="http://schemas.openxmlformats.org/markup-compatibility/2006" xmlns:o="urn:schemas-microsoft-com:office:office" xmlns:v="urn:schemas-microsoft-com:vml" xmlns:w="http://schemas.openxmlformats.org/wordprocessingml/2006/main" xmlns:w10="urn:schemas-microsoft-com:office:word" xmlns:w14="http://schemas.microsoft.com/office/word/2010/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tretch>
                      <a:fillRect/>
                    </a:stretch>
                  </pic:blipFill>
                  <pic:spPr bwMode="auto">
                    <a:xfrm>
                      <a:off x="0" y="0"/>
                      <a:ext cx="3448050" cy="3046095"/>
                    </a:xfrm>
                    <a:prstGeom prst="rect">
                      <a:avLst/>
                    </a:prstGeom>
                    <a:noFill/>
                    <a:ln>
                      <a:noFill/>
                    </a:ln>
                  </pic:spPr>
                </pic:pic>
              </a:graphicData>
            </a:graphic>
          </wp:anchor>
        </w:drawing>
      </w:r>
    </w:p>
    <w:p w:rsidR="007D271E" w:rsidRDefault="00733C46" w:rsidP="00972649">
      <w:pPr>
        <w:autoSpaceDE w:val="0"/>
        <w:autoSpaceDN w:val="0"/>
        <w:adjustRightInd w:val="0"/>
        <w:jc w:val="center"/>
        <w:rPr>
          <w:rFonts w:ascii="Times-Bold" w:hAnsi="Times-Bold" w:cs="Times-Bold"/>
          <w:b/>
          <w:bCs/>
          <w:sz w:val="36"/>
          <w:szCs w:val="36"/>
        </w:rPr>
      </w:pPr>
    </w:p>
    <w:p w:rsidR="007D271E" w:rsidRDefault="00733C46" w:rsidP="00972649">
      <w:pPr>
        <w:autoSpaceDE w:val="0"/>
        <w:autoSpaceDN w:val="0"/>
        <w:adjustRightInd w:val="0"/>
        <w:jc w:val="center"/>
        <w:rPr>
          <w:rFonts w:ascii="Times-Bold" w:hAnsi="Times-Bold" w:cs="Times-Bold"/>
          <w:b/>
          <w:bCs/>
          <w:sz w:val="36"/>
          <w:szCs w:val="36"/>
        </w:rPr>
      </w:pPr>
    </w:p>
    <w:p w:rsidR="007D271E" w:rsidRDefault="00733C46" w:rsidP="00972649">
      <w:pPr>
        <w:autoSpaceDE w:val="0"/>
        <w:autoSpaceDN w:val="0"/>
        <w:adjustRightInd w:val="0"/>
        <w:jc w:val="center"/>
        <w:rPr>
          <w:rFonts w:ascii="Times-Bold" w:hAnsi="Times-Bold" w:cs="Times-Bold"/>
          <w:b/>
          <w:bCs/>
          <w:sz w:val="36"/>
          <w:szCs w:val="36"/>
        </w:rPr>
      </w:pPr>
    </w:p>
    <w:p w:rsidR="007D271E" w:rsidRDefault="00733C46" w:rsidP="00972649">
      <w:pPr>
        <w:autoSpaceDE w:val="0"/>
        <w:autoSpaceDN w:val="0"/>
        <w:adjustRightInd w:val="0"/>
        <w:jc w:val="center"/>
        <w:rPr>
          <w:rFonts w:ascii="Times-Bold" w:hAnsi="Times-Bold" w:cs="Times-Bold"/>
          <w:b/>
          <w:bCs/>
          <w:sz w:val="36"/>
          <w:szCs w:val="36"/>
        </w:rPr>
      </w:pPr>
    </w:p>
    <w:p w:rsidR="007D271E" w:rsidRDefault="00733C46" w:rsidP="00972649">
      <w:pPr>
        <w:autoSpaceDE w:val="0"/>
        <w:autoSpaceDN w:val="0"/>
        <w:adjustRightInd w:val="0"/>
        <w:jc w:val="center"/>
        <w:rPr>
          <w:rFonts w:ascii="Times-Bold" w:hAnsi="Times-Bold" w:cs="Times-Bold"/>
          <w:b/>
          <w:bCs/>
          <w:sz w:val="36"/>
          <w:szCs w:val="36"/>
        </w:rPr>
      </w:pPr>
    </w:p>
    <w:p w:rsidR="007D271E" w:rsidRDefault="00733C46" w:rsidP="00972649">
      <w:pPr>
        <w:autoSpaceDE w:val="0"/>
        <w:autoSpaceDN w:val="0"/>
        <w:adjustRightInd w:val="0"/>
        <w:jc w:val="center"/>
        <w:rPr>
          <w:rFonts w:ascii="Times-Bold" w:hAnsi="Times-Bold" w:cs="Times-Bold"/>
          <w:b/>
          <w:bCs/>
          <w:sz w:val="36"/>
          <w:szCs w:val="36"/>
        </w:rPr>
      </w:pPr>
    </w:p>
    <w:p w:rsidR="007D271E" w:rsidRDefault="00733C46" w:rsidP="00972649">
      <w:pPr>
        <w:autoSpaceDE w:val="0"/>
        <w:autoSpaceDN w:val="0"/>
        <w:adjustRightInd w:val="0"/>
        <w:jc w:val="center"/>
        <w:rPr>
          <w:rFonts w:ascii="Times-Bold" w:hAnsi="Times-Bold" w:cs="Times-Bold"/>
          <w:b/>
          <w:bCs/>
          <w:sz w:val="36"/>
          <w:szCs w:val="36"/>
        </w:rPr>
      </w:pPr>
    </w:p>
    <w:p w:rsidR="007D271E" w:rsidRDefault="00733C46" w:rsidP="00972649">
      <w:pPr>
        <w:autoSpaceDE w:val="0"/>
        <w:autoSpaceDN w:val="0"/>
        <w:adjustRightInd w:val="0"/>
        <w:jc w:val="center"/>
        <w:rPr>
          <w:rFonts w:ascii="Times-Bold" w:hAnsi="Times-Bold" w:cs="Times-Bold"/>
          <w:b/>
          <w:bCs/>
          <w:sz w:val="36"/>
          <w:szCs w:val="36"/>
        </w:rPr>
      </w:pPr>
    </w:p>
    <w:p w:rsidR="007D271E" w:rsidRDefault="00733C46" w:rsidP="00972649">
      <w:pPr>
        <w:autoSpaceDE w:val="0"/>
        <w:autoSpaceDN w:val="0"/>
        <w:adjustRightInd w:val="0"/>
        <w:jc w:val="center"/>
        <w:rPr>
          <w:rFonts w:ascii="Times-Bold" w:hAnsi="Times-Bold" w:cs="Times-Bold"/>
          <w:b/>
          <w:bCs/>
          <w:sz w:val="36"/>
          <w:szCs w:val="36"/>
        </w:rPr>
      </w:pPr>
    </w:p>
    <w:p w:rsidR="007D271E" w:rsidRDefault="00733C46" w:rsidP="00972649">
      <w:pPr>
        <w:autoSpaceDE w:val="0"/>
        <w:autoSpaceDN w:val="0"/>
        <w:adjustRightInd w:val="0"/>
        <w:jc w:val="center"/>
        <w:rPr>
          <w:rFonts w:ascii="Times-Bold" w:hAnsi="Times-Bold" w:cs="Times-Bold"/>
          <w:b/>
          <w:bCs/>
          <w:sz w:val="36"/>
          <w:szCs w:val="36"/>
        </w:rPr>
      </w:pPr>
    </w:p>
    <w:p w:rsidR="007D271E" w:rsidRDefault="00733C46" w:rsidP="00972649">
      <w:pPr>
        <w:autoSpaceDE w:val="0"/>
        <w:autoSpaceDN w:val="0"/>
        <w:adjustRightInd w:val="0"/>
        <w:jc w:val="center"/>
        <w:rPr>
          <w:rFonts w:ascii="Times-Bold" w:hAnsi="Times-Bold" w:cs="Times-Bold"/>
          <w:b/>
          <w:bCs/>
          <w:sz w:val="36"/>
          <w:szCs w:val="36"/>
        </w:rPr>
      </w:pPr>
    </w:p>
    <w:p w:rsidR="007D271E" w:rsidRDefault="00817918" w:rsidP="00972649">
      <w:pPr>
        <w:autoSpaceDE w:val="0"/>
        <w:autoSpaceDN w:val="0"/>
        <w:adjustRightInd w:val="0"/>
        <w:jc w:val="center"/>
        <w:rPr>
          <w:rFonts w:ascii="Times-Bold" w:hAnsi="Times-Bold" w:cs="Times-Bold"/>
          <w:b/>
          <w:bCs/>
          <w:sz w:val="36"/>
          <w:szCs w:val="36"/>
        </w:rPr>
      </w:pPr>
      <w:r w:rsidRPr="00817918">
        <w:rPr>
          <w:rFonts w:ascii="Arial" w:hAnsi="Arial" w:cs="Arial"/>
          <w:b/>
          <w:bCs/>
          <w:noProof/>
          <w:sz w:val="22"/>
          <w:szCs w:val="22"/>
          <w:lang w:eastAsia="en-US"/>
        </w:rPr>
        <w:pict>
          <v:shapetype id="_x0000_t202" coordsize="21600,21600" o:spt="202" path="m,l,21600r21600,l21600,xe">
            <v:stroke joinstyle="miter"/>
            <v:path gradientshapeok="t" o:connecttype="rect"/>
          </v:shapetype>
          <v:shape id="Text Box 17" o:spid="_x0000_s1027" type="#_x0000_t202" style="position:absolute;left:0;text-align:left;margin-left:101.95pt;margin-top:13.75pt;width:270.75pt;height:91.25pt;z-index:251661312;visibility:visible" stroked="f">
            <v:textbox>
              <w:txbxContent>
                <w:p w:rsidR="007D271E" w:rsidRDefault="00465906" w:rsidP="00F21CC4">
                  <w:pPr>
                    <w:autoSpaceDE w:val="0"/>
                    <w:autoSpaceDN w:val="0"/>
                    <w:adjustRightInd w:val="0"/>
                    <w:jc w:val="center"/>
                    <w:rPr>
                      <w:rFonts w:ascii="Arial" w:hAnsi="Arial" w:cs="Arial"/>
                      <w:b/>
                      <w:bCs/>
                      <w:sz w:val="32"/>
                      <w:szCs w:val="32"/>
                    </w:rPr>
                  </w:pPr>
                  <w:r>
                    <w:rPr>
                      <w:rFonts w:ascii="Arial" w:eastAsia="Arial" w:hAnsi="Arial" w:cs="Arial"/>
                      <w:b/>
                      <w:bCs/>
                      <w:sz w:val="32"/>
                      <w:szCs w:val="32"/>
                      <w:bdr w:val="nil"/>
                      <w:lang w:val="it-IT"/>
                    </w:rPr>
                    <w:t>SBS600</w:t>
                  </w:r>
                </w:p>
                <w:p w:rsidR="007D271E" w:rsidRDefault="00465906" w:rsidP="00F21CC4">
                  <w:pPr>
                    <w:autoSpaceDE w:val="0"/>
                    <w:autoSpaceDN w:val="0"/>
                    <w:adjustRightInd w:val="0"/>
                    <w:jc w:val="center"/>
                    <w:rPr>
                      <w:rFonts w:ascii="Arial" w:hAnsi="Arial" w:cs="Arial"/>
                      <w:b/>
                      <w:bCs/>
                      <w:sz w:val="32"/>
                      <w:szCs w:val="32"/>
                    </w:rPr>
                  </w:pPr>
                  <w:r>
                    <w:rPr>
                      <w:rFonts w:ascii="Arial" w:eastAsia="Arial" w:hAnsi="Arial" w:cs="Arial"/>
                      <w:b/>
                      <w:bCs/>
                      <w:sz w:val="32"/>
                      <w:szCs w:val="32"/>
                      <w:bdr w:val="nil"/>
                      <w:lang w:val="it-IT"/>
                    </w:rPr>
                    <w:t>SBS600-2</w:t>
                  </w:r>
                </w:p>
                <w:p w:rsidR="007D271E" w:rsidRPr="00CC1FE0" w:rsidRDefault="00465906" w:rsidP="00F21CC4">
                  <w:pPr>
                    <w:autoSpaceDE w:val="0"/>
                    <w:autoSpaceDN w:val="0"/>
                    <w:adjustRightInd w:val="0"/>
                    <w:jc w:val="center"/>
                    <w:rPr>
                      <w:rFonts w:ascii="Arial" w:hAnsi="Arial" w:cs="Arial"/>
                      <w:b/>
                      <w:bCs/>
                      <w:sz w:val="32"/>
                      <w:szCs w:val="32"/>
                    </w:rPr>
                  </w:pPr>
                  <w:r>
                    <w:rPr>
                      <w:rFonts w:ascii="Arial" w:eastAsia="Arial" w:hAnsi="Arial" w:cs="Arial"/>
                      <w:b/>
                      <w:bCs/>
                      <w:sz w:val="32"/>
                      <w:szCs w:val="32"/>
                      <w:bdr w:val="nil"/>
                      <w:lang w:val="it-IT"/>
                    </w:rPr>
                    <w:t>SBS600-3</w:t>
                  </w:r>
                </w:p>
                <w:p w:rsidR="007D271E" w:rsidRDefault="00733C46" w:rsidP="00F21CC4"/>
              </w:txbxContent>
            </v:textbox>
          </v:shape>
        </w:pict>
      </w:r>
    </w:p>
    <w:p w:rsidR="007D271E" w:rsidRDefault="00733C46" w:rsidP="00972649">
      <w:pPr>
        <w:autoSpaceDE w:val="0"/>
        <w:autoSpaceDN w:val="0"/>
        <w:adjustRightInd w:val="0"/>
        <w:jc w:val="center"/>
        <w:rPr>
          <w:rFonts w:ascii="Times-Bold" w:hAnsi="Times-Bold" w:cs="Times-Bold"/>
          <w:b/>
          <w:bCs/>
          <w:sz w:val="36"/>
          <w:szCs w:val="36"/>
        </w:rPr>
      </w:pPr>
    </w:p>
    <w:p w:rsidR="007D271E" w:rsidRDefault="00733C46" w:rsidP="00972649">
      <w:pPr>
        <w:autoSpaceDE w:val="0"/>
        <w:autoSpaceDN w:val="0"/>
        <w:adjustRightInd w:val="0"/>
        <w:jc w:val="center"/>
        <w:rPr>
          <w:rFonts w:ascii="Times-Bold" w:hAnsi="Times-Bold" w:cs="Times-Bold"/>
          <w:b/>
          <w:bCs/>
          <w:sz w:val="36"/>
          <w:szCs w:val="36"/>
        </w:rPr>
      </w:pPr>
    </w:p>
    <w:p w:rsidR="007D271E" w:rsidRDefault="00733C46" w:rsidP="00972649">
      <w:pPr>
        <w:autoSpaceDE w:val="0"/>
        <w:autoSpaceDN w:val="0"/>
        <w:adjustRightInd w:val="0"/>
        <w:jc w:val="center"/>
        <w:rPr>
          <w:rFonts w:ascii="Times-Bold" w:hAnsi="Times-Bold" w:cs="Times-Bold"/>
          <w:b/>
          <w:bCs/>
          <w:sz w:val="36"/>
          <w:szCs w:val="36"/>
        </w:rPr>
      </w:pPr>
    </w:p>
    <w:p w:rsidR="007D271E" w:rsidRDefault="00733C46" w:rsidP="00972649">
      <w:pPr>
        <w:autoSpaceDE w:val="0"/>
        <w:autoSpaceDN w:val="0"/>
        <w:adjustRightInd w:val="0"/>
        <w:jc w:val="center"/>
        <w:rPr>
          <w:rFonts w:ascii="Times-Bold" w:hAnsi="Times-Bold" w:cs="Times-Bold"/>
          <w:b/>
          <w:bCs/>
          <w:sz w:val="36"/>
          <w:szCs w:val="36"/>
        </w:rPr>
      </w:pPr>
    </w:p>
    <w:p w:rsidR="007D271E" w:rsidRDefault="00733C46" w:rsidP="00972649">
      <w:pPr>
        <w:autoSpaceDE w:val="0"/>
        <w:autoSpaceDN w:val="0"/>
        <w:adjustRightInd w:val="0"/>
        <w:jc w:val="center"/>
        <w:rPr>
          <w:rFonts w:ascii="Times-Bold" w:hAnsi="Times-Bold" w:cs="Times-Bold"/>
          <w:b/>
          <w:bCs/>
          <w:sz w:val="36"/>
          <w:szCs w:val="3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16"/>
        <w:gridCol w:w="4716"/>
      </w:tblGrid>
      <w:tr w:rsidR="0055120D" w:rsidTr="00DF6AD7">
        <w:tc>
          <w:tcPr>
            <w:tcW w:w="4716" w:type="dxa"/>
          </w:tcPr>
          <w:p w:rsidR="00DF6AD7" w:rsidRDefault="00465906" w:rsidP="00DF6AD7">
            <w:pPr>
              <w:autoSpaceDE w:val="0"/>
              <w:autoSpaceDN w:val="0"/>
              <w:adjustRightInd w:val="0"/>
              <w:rPr>
                <w:rFonts w:ascii="Times-Bold" w:hAnsi="Times-Bold" w:cs="Times-Bold"/>
                <w:b/>
                <w:bCs/>
                <w:sz w:val="36"/>
                <w:szCs w:val="36"/>
              </w:rPr>
            </w:pPr>
            <w:r>
              <w:rPr>
                <w:rFonts w:ascii="Times-Bold" w:hAnsi="Times-Bold" w:cs="Times-Bold"/>
                <w:b/>
                <w:bCs/>
                <w:noProof/>
                <w:sz w:val="36"/>
                <w:szCs w:val="36"/>
                <w:lang w:eastAsia="zh-TW"/>
              </w:rPr>
              <w:drawing>
                <wp:inline distT="0" distB="0" distL="0" distR="0">
                  <wp:extent cx="357505" cy="252730"/>
                  <wp:effectExtent l="19050" t="0" r="4445" b="0"/>
                  <wp:docPr id="21" name="Picture 35" desc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E"/>
                          <pic:cNvPicPr>
                            <a:picLocks noChangeAspect="1" noChangeArrowheads="1"/>
                          </pic:cNvPicPr>
                        </pic:nvPicPr>
                        <pic:blipFill>
                          <a:blip r:embed="rId7" cstate="print"/>
                          <a:stretch>
                            <a:fillRect/>
                          </a:stretch>
                        </pic:blipFill>
                        <pic:spPr bwMode="auto">
                          <a:xfrm>
                            <a:off x="0" y="0"/>
                            <a:ext cx="357505" cy="252730"/>
                          </a:xfrm>
                          <a:prstGeom prst="rect">
                            <a:avLst/>
                          </a:prstGeom>
                          <a:noFill/>
                        </pic:spPr>
                      </pic:pic>
                    </a:graphicData>
                  </a:graphic>
                </wp:inline>
              </w:drawing>
            </w:r>
            <w:r>
              <w:rPr>
                <w:rFonts w:ascii="Times-Bold" w:hAnsi="Times-Bold" w:cs="Times-Bold"/>
                <w:b/>
                <w:bCs/>
                <w:noProof/>
                <w:sz w:val="36"/>
                <w:szCs w:val="36"/>
                <w:lang w:eastAsia="zh-TW"/>
              </w:rPr>
              <w:drawing>
                <wp:inline distT="0" distB="0" distL="0" distR="0">
                  <wp:extent cx="261620" cy="245745"/>
                  <wp:effectExtent l="19050" t="0" r="5080" b="0"/>
                  <wp:docPr id="20" name="Picture 36" descr="RoHS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RoHS100"/>
                          <pic:cNvPicPr>
                            <a:picLocks noChangeAspect="1" noChangeArrowheads="1"/>
                          </pic:cNvPicPr>
                        </pic:nvPicPr>
                        <pic:blipFill>
                          <a:blip r:embed="rId8" cstate="print"/>
                          <a:stretch>
                            <a:fillRect/>
                          </a:stretch>
                        </pic:blipFill>
                        <pic:spPr bwMode="auto">
                          <a:xfrm>
                            <a:off x="0" y="0"/>
                            <a:ext cx="261620" cy="245745"/>
                          </a:xfrm>
                          <a:prstGeom prst="rect">
                            <a:avLst/>
                          </a:prstGeom>
                          <a:noFill/>
                        </pic:spPr>
                      </pic:pic>
                    </a:graphicData>
                  </a:graphic>
                </wp:inline>
              </w:drawing>
            </w:r>
            <w:r>
              <w:rPr>
                <w:rFonts w:ascii="Times-Bold" w:hAnsi="Times-Bold" w:cs="Times-Bold"/>
                <w:b/>
                <w:bCs/>
                <w:noProof/>
                <w:sz w:val="36"/>
                <w:szCs w:val="36"/>
                <w:lang w:eastAsia="zh-TW"/>
              </w:rPr>
              <w:drawing>
                <wp:inline distT="0" distB="0" distL="0" distR="0">
                  <wp:extent cx="403225" cy="403225"/>
                  <wp:effectExtent l="19050" t="0" r="0" b="0"/>
                  <wp:docPr id="19" name="Picture 39" descr="F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FCC"/>
                          <pic:cNvPicPr>
                            <a:picLocks noChangeAspect="1" noChangeArrowheads="1"/>
                          </pic:cNvPicPr>
                        </pic:nvPicPr>
                        <pic:blipFill>
                          <a:blip r:embed="rId9" cstate="print"/>
                          <a:stretch>
                            <a:fillRect/>
                          </a:stretch>
                        </pic:blipFill>
                        <pic:spPr bwMode="auto">
                          <a:xfrm>
                            <a:off x="0" y="0"/>
                            <a:ext cx="403225" cy="403225"/>
                          </a:xfrm>
                          <a:prstGeom prst="rect">
                            <a:avLst/>
                          </a:prstGeom>
                          <a:noFill/>
                        </pic:spPr>
                      </pic:pic>
                    </a:graphicData>
                  </a:graphic>
                </wp:inline>
              </w:drawing>
            </w:r>
            <w:r>
              <w:rPr>
                <w:rFonts w:ascii="Times-Bold" w:hAnsi="Times-Bold" w:cs="Times-Bold"/>
                <w:b/>
                <w:bCs/>
                <w:noProof/>
                <w:sz w:val="36"/>
                <w:szCs w:val="36"/>
                <w:lang w:eastAsia="zh-TW"/>
              </w:rPr>
              <w:drawing>
                <wp:inline distT="0" distB="0" distL="0" distR="0">
                  <wp:extent cx="500380" cy="500380"/>
                  <wp:effectExtent l="19050" t="0" r="0" b="0"/>
                  <wp:docPr id="18" name="Picture 38" descr="ETL 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ETL EU"/>
                          <pic:cNvPicPr>
                            <a:picLocks noChangeAspect="1" noChangeArrowheads="1"/>
                          </pic:cNvPicPr>
                        </pic:nvPicPr>
                        <pic:blipFill>
                          <a:blip r:embed="rId10" cstate="print"/>
                          <a:stretch>
                            <a:fillRect/>
                          </a:stretch>
                        </pic:blipFill>
                        <pic:spPr bwMode="auto">
                          <a:xfrm>
                            <a:off x="0" y="0"/>
                            <a:ext cx="500380" cy="500380"/>
                          </a:xfrm>
                          <a:prstGeom prst="rect">
                            <a:avLst/>
                          </a:prstGeom>
                          <a:noFill/>
                        </pic:spPr>
                      </pic:pic>
                    </a:graphicData>
                  </a:graphic>
                </wp:inline>
              </w:drawing>
            </w:r>
            <w:r>
              <w:rPr>
                <w:rFonts w:ascii="Times-Bold" w:hAnsi="Times-Bold" w:cs="Times-Bold"/>
                <w:b/>
                <w:bCs/>
                <w:noProof/>
                <w:sz w:val="36"/>
                <w:szCs w:val="36"/>
                <w:lang w:eastAsia="zh-TW"/>
              </w:rPr>
              <w:drawing>
                <wp:inline distT="0" distB="0" distL="0" distR="0">
                  <wp:extent cx="414655" cy="320675"/>
                  <wp:effectExtent l="19050" t="0" r="4445" b="0"/>
                  <wp:docPr id="17" name="Picture 37" descr="ET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ETL"/>
                          <pic:cNvPicPr>
                            <a:picLocks noChangeAspect="1" noChangeArrowheads="1"/>
                          </pic:cNvPicPr>
                        </pic:nvPicPr>
                        <pic:blipFill>
                          <a:blip r:embed="rId11" cstate="print"/>
                          <a:stretch>
                            <a:fillRect/>
                          </a:stretch>
                        </pic:blipFill>
                        <pic:spPr bwMode="auto">
                          <a:xfrm>
                            <a:off x="0" y="0"/>
                            <a:ext cx="414655" cy="320675"/>
                          </a:xfrm>
                          <a:prstGeom prst="rect">
                            <a:avLst/>
                          </a:prstGeom>
                          <a:noFill/>
                        </pic:spPr>
                      </pic:pic>
                    </a:graphicData>
                  </a:graphic>
                </wp:inline>
              </w:drawing>
            </w:r>
          </w:p>
        </w:tc>
        <w:tc>
          <w:tcPr>
            <w:tcW w:w="4716" w:type="dxa"/>
          </w:tcPr>
          <w:p w:rsidR="00DF6AD7" w:rsidRDefault="00465906" w:rsidP="00DF6AD7">
            <w:pPr>
              <w:autoSpaceDE w:val="0"/>
              <w:autoSpaceDN w:val="0"/>
              <w:adjustRightInd w:val="0"/>
              <w:jc w:val="right"/>
              <w:rPr>
                <w:rFonts w:ascii="Times-Bold" w:hAnsi="Times-Bold" w:cs="Times-Bold"/>
                <w:b/>
                <w:bCs/>
                <w:sz w:val="36"/>
                <w:szCs w:val="36"/>
              </w:rPr>
            </w:pPr>
            <w:r w:rsidRPr="00DF6AD7">
              <w:rPr>
                <w:rFonts w:ascii="Times-Bold" w:hAnsi="Times-Bold" w:cs="Times-Bold"/>
                <w:b/>
                <w:bCs/>
                <w:noProof/>
                <w:sz w:val="36"/>
                <w:szCs w:val="36"/>
                <w:lang w:eastAsia="zh-TW"/>
              </w:rPr>
              <w:drawing>
                <wp:inline distT="0" distB="0" distL="0" distR="0">
                  <wp:extent cx="1701800" cy="685800"/>
                  <wp:effectExtent l="19050" t="0" r="0" b="0"/>
                  <wp:docPr id="4" name="Picture 23" descr="SelectBio 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electBio Logo copy"/>
                          <pic:cNvPicPr>
                            <a:picLocks noChangeAspect="1" noChangeArrowheads="1"/>
                          </pic:cNvPicPr>
                        </pic:nvPicPr>
                        <pic:blipFill>
                          <a:blip r:embed="rId12" cstate="print">
                            <a:extLst>
                              <a:ext uri="{28A0092B-C50C-407E-A947-70E740481C1C}">
                                <a14:useLocalDpi xmlns="" xmlns:a14="http://schemas.microsoft.com/office/drawing/2010/main" xmlns:mc="http://schemas.openxmlformats.org/markup-compatibility/2006" xmlns:o="urn:schemas-microsoft-com:office:office" xmlns:v="urn:schemas-microsoft-com:vml" xmlns:w="http://schemas.openxmlformats.org/wordprocessingml/2006/main" xmlns:w10="urn:schemas-microsoft-com:office:word" xmlns:w14="http://schemas.microsoft.com/office/word/2010/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tretch>
                            <a:fillRect/>
                          </a:stretch>
                        </pic:blipFill>
                        <pic:spPr bwMode="auto">
                          <a:xfrm>
                            <a:off x="0" y="0"/>
                            <a:ext cx="1701800" cy="685800"/>
                          </a:xfrm>
                          <a:prstGeom prst="rect">
                            <a:avLst/>
                          </a:prstGeom>
                          <a:noFill/>
                          <a:ln>
                            <a:noFill/>
                          </a:ln>
                        </pic:spPr>
                      </pic:pic>
                    </a:graphicData>
                  </a:graphic>
                </wp:inline>
              </w:drawing>
            </w:r>
          </w:p>
        </w:tc>
      </w:tr>
    </w:tbl>
    <w:p w:rsidR="00DF6AD7" w:rsidRDefault="00733C46" w:rsidP="00972649">
      <w:pPr>
        <w:autoSpaceDE w:val="0"/>
        <w:autoSpaceDN w:val="0"/>
        <w:adjustRightInd w:val="0"/>
        <w:jc w:val="center"/>
        <w:rPr>
          <w:rFonts w:ascii="Times-Bold" w:hAnsi="Times-Bold" w:cs="Times-Bold"/>
          <w:b/>
          <w:bCs/>
          <w:sz w:val="36"/>
          <w:szCs w:val="36"/>
        </w:rPr>
      </w:pPr>
    </w:p>
    <w:p w:rsidR="00DF6AD7" w:rsidRDefault="00465906">
      <w:pPr>
        <w:rPr>
          <w:rFonts w:ascii="Times-Bold" w:hAnsi="Times-Bold" w:cs="Times-Bold"/>
          <w:b/>
          <w:bCs/>
          <w:sz w:val="36"/>
          <w:szCs w:val="36"/>
        </w:rPr>
      </w:pPr>
      <w:r>
        <w:rPr>
          <w:rFonts w:ascii="Times-Bold" w:hAnsi="Times-Bold" w:cs="Times-Bold"/>
          <w:b/>
          <w:bCs/>
          <w:sz w:val="36"/>
          <w:szCs w:val="36"/>
        </w:rPr>
        <w:br w:type="page"/>
      </w:r>
    </w:p>
    <w:tbl>
      <w:tblPr>
        <w:tblStyle w:val="TableGrid"/>
        <w:tblW w:w="0" w:type="auto"/>
        <w:tblLook w:val="04A0"/>
      </w:tblPr>
      <w:tblGrid>
        <w:gridCol w:w="9432"/>
      </w:tblGrid>
      <w:tr w:rsidR="0055120D" w:rsidRPr="00733C46" w:rsidTr="00DF6AD7">
        <w:tc>
          <w:tcPr>
            <w:tcW w:w="9432" w:type="dxa"/>
          </w:tcPr>
          <w:p w:rsidR="00DF6AD7" w:rsidRDefault="00465906" w:rsidP="00DF6AD7">
            <w:pPr>
              <w:pStyle w:val="AboutAHead"/>
              <w:rPr>
                <w:rFonts w:ascii="Arial" w:hAnsi="Arial" w:cs="Arial"/>
              </w:rPr>
            </w:pPr>
            <w:r>
              <w:rPr>
                <w:rFonts w:ascii="Arial" w:eastAsia="Arial" w:hAnsi="Arial" w:cs="Arial"/>
                <w:sz w:val="24"/>
                <w:szCs w:val="24"/>
                <w:bdr w:val="nil"/>
                <w:lang w:val="it-IT"/>
              </w:rPr>
              <w:lastRenderedPageBreak/>
              <w:t>Informazioni su questo manuale</w:t>
            </w:r>
          </w:p>
          <w:p w:rsidR="00DF6AD7" w:rsidRPr="00465906" w:rsidRDefault="00465906" w:rsidP="00DF6AD7">
            <w:pPr>
              <w:pStyle w:val="Aboutbody"/>
              <w:rPr>
                <w:rFonts w:ascii="Arial" w:hAnsi="Arial" w:cs="Arial"/>
                <w:sz w:val="22"/>
                <w:lang w:val="it-IT"/>
              </w:rPr>
            </w:pPr>
            <w:r>
              <w:rPr>
                <w:rFonts w:ascii="Arial" w:eastAsia="Arial" w:hAnsi="Arial" w:cs="Arial"/>
                <w:sz w:val="22"/>
                <w:szCs w:val="22"/>
                <w:bdr w:val="nil"/>
                <w:lang w:val="it-IT"/>
              </w:rPr>
              <w:t xml:space="preserve">Il presente manuale è pensato per aiutare l’utente ad utilizzare in modo ottimale il Mini Mixer di Select BioProducts. Il manuale è disponibile in inglese, francese, tedesco, italiano, portoghese e spagnolo sul nostro sito web all’indirizzo </w:t>
            </w:r>
            <w:r>
              <w:rPr>
                <w:rFonts w:ascii="Arial" w:eastAsia="Arial" w:hAnsi="Arial" w:cs="Arial"/>
                <w:b/>
                <w:bCs/>
                <w:sz w:val="22"/>
                <w:szCs w:val="22"/>
                <w:bdr w:val="nil"/>
                <w:lang w:val="it-IT"/>
              </w:rPr>
              <w:t>www.selectbioproducts.com</w:t>
            </w:r>
            <w:bookmarkStart w:id="0" w:name="_GoBack"/>
            <w:bookmarkEnd w:id="0"/>
          </w:p>
        </w:tc>
      </w:tr>
    </w:tbl>
    <w:p w:rsidR="00147FDF" w:rsidRPr="00733C46" w:rsidRDefault="00733C46" w:rsidP="00C5421E">
      <w:pPr>
        <w:autoSpaceDE w:val="0"/>
        <w:autoSpaceDN w:val="0"/>
        <w:adjustRightInd w:val="0"/>
        <w:rPr>
          <w:rFonts w:ascii="Arial" w:hAnsi="Arial" w:cs="Arial"/>
          <w:b/>
          <w:bCs/>
          <w:sz w:val="12"/>
          <w:szCs w:val="12"/>
          <w:lang w:val="it-IT"/>
        </w:rPr>
      </w:pPr>
    </w:p>
    <w:p w:rsidR="00C5421E" w:rsidRPr="00465906" w:rsidRDefault="00465906" w:rsidP="00C5421E">
      <w:pPr>
        <w:autoSpaceDE w:val="0"/>
        <w:autoSpaceDN w:val="0"/>
        <w:adjustRightInd w:val="0"/>
        <w:rPr>
          <w:rFonts w:ascii="Arial" w:hAnsi="Arial" w:cs="Arial"/>
          <w:b/>
          <w:bCs/>
          <w:sz w:val="22"/>
          <w:szCs w:val="22"/>
          <w:lang w:val="it-IT"/>
        </w:rPr>
      </w:pPr>
      <w:r>
        <w:rPr>
          <w:rFonts w:ascii="Arial" w:eastAsia="Arial" w:hAnsi="Arial" w:cs="Arial"/>
          <w:b/>
          <w:bCs/>
          <w:sz w:val="22"/>
          <w:szCs w:val="22"/>
          <w:bdr w:val="nil"/>
          <w:lang w:val="it-IT"/>
        </w:rPr>
        <w:t>INFORMAZIONI GENERALI</w:t>
      </w:r>
    </w:p>
    <w:p w:rsidR="006F1E3C" w:rsidRPr="00733C46" w:rsidRDefault="00733C46" w:rsidP="00C5421E">
      <w:pPr>
        <w:autoSpaceDE w:val="0"/>
        <w:autoSpaceDN w:val="0"/>
        <w:adjustRightInd w:val="0"/>
        <w:rPr>
          <w:rFonts w:ascii="Arial" w:hAnsi="Arial" w:cs="Arial"/>
          <w:b/>
          <w:bCs/>
          <w:sz w:val="8"/>
          <w:szCs w:val="8"/>
          <w:lang w:val="it-IT"/>
        </w:rPr>
      </w:pPr>
    </w:p>
    <w:p w:rsidR="00C5421E" w:rsidRPr="00465906" w:rsidRDefault="00465906" w:rsidP="00C5421E">
      <w:pPr>
        <w:autoSpaceDE w:val="0"/>
        <w:autoSpaceDN w:val="0"/>
        <w:adjustRightInd w:val="0"/>
        <w:rPr>
          <w:rFonts w:ascii="Arial" w:hAnsi="Arial" w:cs="Arial"/>
          <w:sz w:val="20"/>
          <w:szCs w:val="20"/>
          <w:lang w:val="it-IT"/>
        </w:rPr>
      </w:pPr>
      <w:r>
        <w:rPr>
          <w:rFonts w:ascii="Arial" w:eastAsia="Arial" w:hAnsi="Arial" w:cs="Arial"/>
          <w:sz w:val="20"/>
          <w:szCs w:val="20"/>
          <w:bdr w:val="nil"/>
          <w:lang w:val="it-IT"/>
        </w:rPr>
        <w:t xml:space="preserve">Il </w:t>
      </w:r>
      <w:r>
        <w:rPr>
          <w:rFonts w:ascii="Arial" w:eastAsia="Arial" w:hAnsi="Arial" w:cs="Arial"/>
          <w:b/>
          <w:bCs/>
          <w:sz w:val="20"/>
          <w:szCs w:val="20"/>
          <w:bdr w:val="nil"/>
          <w:lang w:val="it-IT"/>
        </w:rPr>
        <w:t>Mini Mixer di</w:t>
      </w:r>
      <w:r>
        <w:rPr>
          <w:rFonts w:ascii="Arial" w:eastAsia="Arial" w:hAnsi="Arial" w:cs="Arial"/>
          <w:sz w:val="20"/>
          <w:szCs w:val="20"/>
          <w:bdr w:val="nil"/>
          <w:lang w:val="it-IT"/>
        </w:rPr>
        <w:t xml:space="preserve"> </w:t>
      </w:r>
      <w:r>
        <w:rPr>
          <w:rFonts w:ascii="Arial" w:eastAsia="Arial" w:hAnsi="Arial" w:cs="Arial"/>
          <w:b/>
          <w:bCs/>
          <w:sz w:val="20"/>
          <w:szCs w:val="20"/>
          <w:bdr w:val="nil"/>
          <w:lang w:val="it-IT"/>
        </w:rPr>
        <w:t>Select BioProducts</w:t>
      </w:r>
      <w:r>
        <w:rPr>
          <w:rFonts w:ascii="Arial" w:eastAsia="Arial" w:hAnsi="Arial" w:cs="Arial"/>
          <w:sz w:val="20"/>
          <w:szCs w:val="20"/>
          <w:bdr w:val="nil"/>
          <w:lang w:val="it-IT"/>
        </w:rPr>
        <w:t xml:space="preserve"> è un agitatore tridimensionale pensato solitamente per mantenere la sospensione uniforme dei liquidi sulle membrane di trasferimento con un volume minimo. Il </w:t>
      </w:r>
      <w:r>
        <w:rPr>
          <w:rFonts w:ascii="Arial" w:eastAsia="Arial" w:hAnsi="Arial" w:cs="Arial"/>
          <w:b/>
          <w:bCs/>
          <w:sz w:val="20"/>
          <w:szCs w:val="20"/>
          <w:bdr w:val="nil"/>
          <w:lang w:val="it-IT"/>
        </w:rPr>
        <w:t>Mini Mixer</w:t>
      </w:r>
      <w:r>
        <w:rPr>
          <w:rFonts w:ascii="Arial" w:eastAsia="Arial" w:hAnsi="Arial" w:cs="Arial"/>
          <w:sz w:val="20"/>
          <w:szCs w:val="20"/>
          <w:bdr w:val="nil"/>
          <w:lang w:val="it-IT"/>
        </w:rPr>
        <w:t xml:space="preserve"> è anche ideale per l’elaborazione di Western Blot e per colorare e decolorare gel di poliacrilammide per l’elettroforesi.</w:t>
      </w:r>
    </w:p>
    <w:p w:rsidR="00C5421E" w:rsidRPr="00465906" w:rsidRDefault="00465906" w:rsidP="00C5421E">
      <w:pPr>
        <w:autoSpaceDE w:val="0"/>
        <w:autoSpaceDN w:val="0"/>
        <w:adjustRightInd w:val="0"/>
        <w:rPr>
          <w:rFonts w:ascii="Arial" w:hAnsi="Arial" w:cs="Arial"/>
          <w:sz w:val="20"/>
          <w:szCs w:val="20"/>
          <w:lang w:val="it-IT"/>
        </w:rPr>
      </w:pPr>
      <w:r>
        <w:rPr>
          <w:rFonts w:ascii="Arial" w:eastAsia="Arial" w:hAnsi="Arial" w:cs="Arial"/>
          <w:sz w:val="20"/>
          <w:szCs w:val="20"/>
          <w:bdr w:val="nil"/>
          <w:lang w:val="it-IT"/>
        </w:rPr>
        <w:t xml:space="preserve">Il </w:t>
      </w:r>
      <w:r>
        <w:rPr>
          <w:rFonts w:ascii="Arial" w:eastAsia="Arial" w:hAnsi="Arial" w:cs="Arial"/>
          <w:b/>
          <w:bCs/>
          <w:sz w:val="20"/>
          <w:szCs w:val="20"/>
          <w:bdr w:val="nil"/>
          <w:lang w:val="it-IT"/>
        </w:rPr>
        <w:t>Mini Mixer</w:t>
      </w:r>
      <w:r>
        <w:rPr>
          <w:rFonts w:ascii="Arial" w:eastAsia="Arial" w:hAnsi="Arial" w:cs="Arial"/>
          <w:sz w:val="20"/>
          <w:szCs w:val="20"/>
          <w:bdr w:val="nil"/>
          <w:lang w:val="it-IT"/>
        </w:rPr>
        <w:t xml:space="preserve"> raggiunge la miscelatura tridimensionale combinando il movimento di rotazione di un agitatore orbitale con il movimento basculante di un agitatore a piattaforma.</w:t>
      </w:r>
    </w:p>
    <w:p w:rsidR="00C5421E" w:rsidRPr="00465906" w:rsidRDefault="00465906" w:rsidP="00C5421E">
      <w:pPr>
        <w:autoSpaceDE w:val="0"/>
        <w:autoSpaceDN w:val="0"/>
        <w:adjustRightInd w:val="0"/>
        <w:rPr>
          <w:rFonts w:ascii="Arial" w:hAnsi="Arial" w:cs="Arial"/>
          <w:sz w:val="20"/>
          <w:szCs w:val="20"/>
          <w:lang w:val="it-IT"/>
        </w:rPr>
      </w:pPr>
      <w:r>
        <w:rPr>
          <w:rFonts w:ascii="Arial" w:eastAsia="Arial" w:hAnsi="Arial" w:cs="Arial"/>
          <w:sz w:val="20"/>
          <w:szCs w:val="20"/>
          <w:bdr w:val="nil"/>
          <w:lang w:val="it-IT"/>
        </w:rPr>
        <w:t xml:space="preserve">Lo stile moderno dell’alloggiamento del </w:t>
      </w:r>
      <w:r>
        <w:rPr>
          <w:rFonts w:ascii="Arial" w:eastAsia="Arial" w:hAnsi="Arial" w:cs="Arial"/>
          <w:b/>
          <w:bCs/>
          <w:sz w:val="20"/>
          <w:szCs w:val="20"/>
          <w:bdr w:val="nil"/>
          <w:lang w:val="it-IT"/>
        </w:rPr>
        <w:t>Mini Mixer</w:t>
      </w:r>
      <w:r>
        <w:rPr>
          <w:rFonts w:ascii="Arial" w:eastAsia="Arial" w:hAnsi="Arial" w:cs="Arial"/>
          <w:sz w:val="20"/>
          <w:szCs w:val="20"/>
          <w:bdr w:val="nil"/>
          <w:lang w:val="it-IT"/>
        </w:rPr>
        <w:t xml:space="preserve"> è raggiunto mediante l’uso di plastica FR-ABS stampata ad iniezione. La piccola piattaforma è composta da alluminio rivestito in polvere e ricoperto da un tappeto in gomma TPE.</w:t>
      </w:r>
    </w:p>
    <w:p w:rsidR="00972649" w:rsidRPr="00733C46" w:rsidRDefault="00733C46" w:rsidP="00C5421E">
      <w:pPr>
        <w:autoSpaceDE w:val="0"/>
        <w:autoSpaceDN w:val="0"/>
        <w:adjustRightInd w:val="0"/>
        <w:rPr>
          <w:rFonts w:ascii="Arial" w:hAnsi="Arial" w:cs="Arial"/>
          <w:b/>
          <w:bCs/>
          <w:sz w:val="8"/>
          <w:szCs w:val="8"/>
          <w:lang w:val="it-IT"/>
        </w:rPr>
      </w:pPr>
    </w:p>
    <w:p w:rsidR="00C5421E" w:rsidRPr="00465906" w:rsidRDefault="00465906" w:rsidP="00C5421E">
      <w:pPr>
        <w:autoSpaceDE w:val="0"/>
        <w:autoSpaceDN w:val="0"/>
        <w:adjustRightInd w:val="0"/>
        <w:rPr>
          <w:rFonts w:ascii="Arial" w:hAnsi="Arial" w:cs="Arial"/>
          <w:b/>
          <w:bCs/>
          <w:sz w:val="22"/>
          <w:szCs w:val="22"/>
          <w:lang w:val="it-IT"/>
        </w:rPr>
      </w:pPr>
      <w:r>
        <w:rPr>
          <w:rFonts w:ascii="Arial" w:eastAsia="Arial" w:hAnsi="Arial" w:cs="Arial"/>
          <w:b/>
          <w:bCs/>
          <w:sz w:val="22"/>
          <w:szCs w:val="22"/>
          <w:bdr w:val="nil"/>
          <w:lang w:val="it-IT"/>
        </w:rPr>
        <w:t>INSTALLAZIONE</w:t>
      </w:r>
    </w:p>
    <w:p w:rsidR="006F1E3C" w:rsidRPr="00733C46" w:rsidRDefault="00733C46" w:rsidP="00C5421E">
      <w:pPr>
        <w:autoSpaceDE w:val="0"/>
        <w:autoSpaceDN w:val="0"/>
        <w:adjustRightInd w:val="0"/>
        <w:rPr>
          <w:rFonts w:ascii="Arial" w:hAnsi="Arial" w:cs="Arial"/>
          <w:b/>
          <w:bCs/>
          <w:sz w:val="8"/>
          <w:szCs w:val="8"/>
          <w:lang w:val="it-IT"/>
        </w:rPr>
      </w:pPr>
    </w:p>
    <w:p w:rsidR="00C5421E" w:rsidRPr="00465906" w:rsidRDefault="00465906" w:rsidP="00C5421E">
      <w:pPr>
        <w:autoSpaceDE w:val="0"/>
        <w:autoSpaceDN w:val="0"/>
        <w:adjustRightInd w:val="0"/>
        <w:rPr>
          <w:rFonts w:ascii="Arial" w:hAnsi="Arial" w:cs="Arial"/>
          <w:sz w:val="20"/>
          <w:szCs w:val="20"/>
          <w:lang w:val="it-IT"/>
        </w:rPr>
      </w:pPr>
      <w:r>
        <w:rPr>
          <w:rFonts w:ascii="Arial" w:eastAsia="Arial" w:hAnsi="Arial" w:cs="Arial"/>
          <w:sz w:val="20"/>
          <w:szCs w:val="20"/>
          <w:bdr w:val="nil"/>
          <w:lang w:val="it-IT"/>
        </w:rPr>
        <w:t xml:space="preserve">Il </w:t>
      </w:r>
      <w:r>
        <w:rPr>
          <w:rFonts w:ascii="Arial" w:eastAsia="Arial" w:hAnsi="Arial" w:cs="Arial"/>
          <w:b/>
          <w:bCs/>
          <w:sz w:val="20"/>
          <w:szCs w:val="20"/>
          <w:bdr w:val="nil"/>
          <w:lang w:val="it-IT"/>
        </w:rPr>
        <w:t>Mini Mixer</w:t>
      </w:r>
      <w:r>
        <w:rPr>
          <w:rFonts w:ascii="Arial" w:eastAsia="Arial" w:hAnsi="Arial" w:cs="Arial"/>
          <w:sz w:val="20"/>
          <w:szCs w:val="20"/>
          <w:bdr w:val="nil"/>
          <w:lang w:val="it-IT"/>
        </w:rPr>
        <w:t xml:space="preserve"> può essere usato su un banco, in una stanza fredda o in un incubatore ad una temperatura massima di 40ºC. Posizionare l’unità su una superficie piana e stabile e ricordarsi di lasciare spazio a sufficienza intorno all’unità per consentire sia alla piattaforma che al carico di muoversi liberamente. Si consiglia di lasciare almeno 10 cm (4 inch) di spazio su tutti i lati del mixer.</w:t>
      </w:r>
    </w:p>
    <w:p w:rsidR="00C5421E" w:rsidRPr="00465906" w:rsidRDefault="00465906" w:rsidP="00C5421E">
      <w:pPr>
        <w:autoSpaceDE w:val="0"/>
        <w:autoSpaceDN w:val="0"/>
        <w:adjustRightInd w:val="0"/>
        <w:rPr>
          <w:rFonts w:ascii="Arial" w:hAnsi="Arial" w:cs="Arial"/>
          <w:sz w:val="20"/>
          <w:szCs w:val="20"/>
          <w:lang w:val="it-IT"/>
        </w:rPr>
      </w:pPr>
      <w:r>
        <w:rPr>
          <w:rFonts w:ascii="Arial" w:eastAsia="Arial" w:hAnsi="Arial" w:cs="Arial"/>
          <w:sz w:val="20"/>
          <w:szCs w:val="20"/>
          <w:bdr w:val="nil"/>
          <w:lang w:val="it-IT"/>
        </w:rPr>
        <w:t>Attaccare l’unità ad una presa messa a terra con l’adeguata potenza indicata sull’etichetta relativa ai dati dell'unità.</w:t>
      </w:r>
    </w:p>
    <w:p w:rsidR="00972649" w:rsidRPr="00733C46" w:rsidRDefault="00733C46" w:rsidP="00C5421E">
      <w:pPr>
        <w:autoSpaceDE w:val="0"/>
        <w:autoSpaceDN w:val="0"/>
        <w:adjustRightInd w:val="0"/>
        <w:rPr>
          <w:rFonts w:ascii="Arial" w:hAnsi="Arial" w:cs="Arial"/>
          <w:b/>
          <w:bCs/>
          <w:sz w:val="10"/>
          <w:szCs w:val="10"/>
          <w:lang w:val="it-IT"/>
        </w:rPr>
      </w:pPr>
    </w:p>
    <w:p w:rsidR="00C5421E" w:rsidRPr="00465906" w:rsidRDefault="00465906" w:rsidP="00C5421E">
      <w:pPr>
        <w:autoSpaceDE w:val="0"/>
        <w:autoSpaceDN w:val="0"/>
        <w:adjustRightInd w:val="0"/>
        <w:rPr>
          <w:rFonts w:ascii="Arial" w:hAnsi="Arial" w:cs="Arial"/>
          <w:b/>
          <w:bCs/>
          <w:sz w:val="22"/>
          <w:szCs w:val="22"/>
          <w:lang w:val="it-IT"/>
        </w:rPr>
      </w:pPr>
      <w:r>
        <w:rPr>
          <w:rFonts w:ascii="Arial" w:eastAsia="Arial" w:hAnsi="Arial" w:cs="Arial"/>
          <w:b/>
          <w:bCs/>
          <w:sz w:val="22"/>
          <w:szCs w:val="22"/>
          <w:bdr w:val="nil"/>
          <w:lang w:val="it-IT"/>
        </w:rPr>
        <w:t>FUNZIONAMENTO</w:t>
      </w:r>
    </w:p>
    <w:p w:rsidR="006F1E3C" w:rsidRPr="00733C46" w:rsidRDefault="00733C46" w:rsidP="00C5421E">
      <w:pPr>
        <w:autoSpaceDE w:val="0"/>
        <w:autoSpaceDN w:val="0"/>
        <w:adjustRightInd w:val="0"/>
        <w:rPr>
          <w:rFonts w:ascii="Arial" w:hAnsi="Arial" w:cs="Arial"/>
          <w:b/>
          <w:bCs/>
          <w:sz w:val="8"/>
          <w:szCs w:val="8"/>
          <w:lang w:val="it-IT"/>
        </w:rPr>
      </w:pPr>
    </w:p>
    <w:p w:rsidR="00C5421E" w:rsidRPr="00465906" w:rsidRDefault="00465906" w:rsidP="00C5421E">
      <w:pPr>
        <w:autoSpaceDE w:val="0"/>
        <w:autoSpaceDN w:val="0"/>
        <w:adjustRightInd w:val="0"/>
        <w:rPr>
          <w:rFonts w:ascii="Arial" w:hAnsi="Arial" w:cs="Arial"/>
          <w:sz w:val="20"/>
          <w:szCs w:val="20"/>
          <w:lang w:val="it-IT"/>
        </w:rPr>
      </w:pPr>
      <w:r>
        <w:rPr>
          <w:rFonts w:ascii="Arial" w:eastAsia="Arial" w:hAnsi="Arial" w:cs="Arial"/>
          <w:sz w:val="20"/>
          <w:szCs w:val="20"/>
          <w:bdr w:val="nil"/>
          <w:lang w:val="it-IT"/>
        </w:rPr>
        <w:t>La struttura piatta e ruvida è configurata per consentire a 4 scatole per blot da 8 x 10 cm (Bio-Rad, NuSep) o a 2 scatole per blot da 10 x 10 cm (Lonza, Invitrogen) di essere sistemate in modo sicuro sul tappetino senza reggiature aggiuntive. Per impilare le scatole per blot, proteggerle con nastri in gomma. I fori negli angoli della piattaforma sono adatti a questo scopo.</w:t>
      </w:r>
    </w:p>
    <w:p w:rsidR="00C5421E" w:rsidRPr="00465906" w:rsidRDefault="00465906" w:rsidP="00C5421E">
      <w:pPr>
        <w:autoSpaceDE w:val="0"/>
        <w:autoSpaceDN w:val="0"/>
        <w:adjustRightInd w:val="0"/>
        <w:rPr>
          <w:rFonts w:ascii="Arial" w:hAnsi="Arial" w:cs="Arial"/>
          <w:sz w:val="20"/>
          <w:szCs w:val="20"/>
          <w:lang w:val="it-IT"/>
        </w:rPr>
      </w:pPr>
      <w:r>
        <w:rPr>
          <w:rFonts w:ascii="Arial" w:eastAsia="Arial" w:hAnsi="Arial" w:cs="Arial"/>
          <w:sz w:val="20"/>
          <w:szCs w:val="20"/>
          <w:bdr w:val="nil"/>
          <w:lang w:val="it-IT"/>
        </w:rPr>
        <w:t>Caricare sempre la piattaforma in modo uniforme e bilanciato.</w:t>
      </w:r>
    </w:p>
    <w:p w:rsidR="00C5421E" w:rsidRPr="00465906" w:rsidRDefault="00465906" w:rsidP="00C5421E">
      <w:pPr>
        <w:autoSpaceDE w:val="0"/>
        <w:autoSpaceDN w:val="0"/>
        <w:adjustRightInd w:val="0"/>
        <w:rPr>
          <w:rFonts w:ascii="Arial" w:hAnsi="Arial" w:cs="Arial"/>
          <w:sz w:val="20"/>
          <w:szCs w:val="20"/>
          <w:lang w:val="it-IT"/>
        </w:rPr>
      </w:pPr>
      <w:r>
        <w:rPr>
          <w:rFonts w:ascii="Arial" w:eastAsia="Arial" w:hAnsi="Arial" w:cs="Arial"/>
          <w:sz w:val="20"/>
          <w:szCs w:val="20"/>
          <w:bdr w:val="nil"/>
          <w:lang w:val="it-IT"/>
        </w:rPr>
        <w:t>Usare l’interruttore On/Off per accendere l’unità. La direzione di rotazione in cui l’unità si avvia è casuale e non incide sulla miscelatura. Se si desidera, la direzione di rotazione può essere invertita tenendo la base dell’unità e toccando per qualche istante la piattaforma di rotazione sul fondo su un angolo. Questa tecnica può essere usata anche per selezionare la direzione di rotazione.</w:t>
      </w:r>
    </w:p>
    <w:p w:rsidR="00972649" w:rsidRPr="00733C46" w:rsidRDefault="00733C46" w:rsidP="00C5421E">
      <w:pPr>
        <w:autoSpaceDE w:val="0"/>
        <w:autoSpaceDN w:val="0"/>
        <w:adjustRightInd w:val="0"/>
        <w:rPr>
          <w:rFonts w:ascii="Arial" w:hAnsi="Arial" w:cs="Arial"/>
          <w:b/>
          <w:bCs/>
          <w:sz w:val="8"/>
          <w:szCs w:val="8"/>
          <w:lang w:val="it-IT"/>
        </w:rPr>
      </w:pPr>
    </w:p>
    <w:p w:rsidR="00C5421E" w:rsidRPr="00465906" w:rsidRDefault="00465906" w:rsidP="00C5421E">
      <w:pPr>
        <w:autoSpaceDE w:val="0"/>
        <w:autoSpaceDN w:val="0"/>
        <w:adjustRightInd w:val="0"/>
        <w:rPr>
          <w:rFonts w:ascii="Arial" w:hAnsi="Arial" w:cs="Arial"/>
          <w:b/>
          <w:bCs/>
          <w:sz w:val="22"/>
          <w:szCs w:val="22"/>
          <w:lang w:val="it-IT"/>
        </w:rPr>
      </w:pPr>
      <w:r>
        <w:rPr>
          <w:rFonts w:ascii="Arial" w:eastAsia="Arial" w:hAnsi="Arial" w:cs="Arial"/>
          <w:b/>
          <w:bCs/>
          <w:sz w:val="22"/>
          <w:szCs w:val="22"/>
          <w:bdr w:val="nil"/>
          <w:lang w:val="it-IT"/>
        </w:rPr>
        <w:t>MANUTENZIONE</w:t>
      </w:r>
    </w:p>
    <w:p w:rsidR="00C5421E" w:rsidRPr="00465906" w:rsidRDefault="00465906" w:rsidP="00C5421E">
      <w:pPr>
        <w:autoSpaceDE w:val="0"/>
        <w:autoSpaceDN w:val="0"/>
        <w:adjustRightInd w:val="0"/>
        <w:rPr>
          <w:rFonts w:ascii="Arial" w:hAnsi="Arial" w:cs="Arial"/>
          <w:sz w:val="20"/>
          <w:szCs w:val="20"/>
          <w:lang w:val="it-IT"/>
        </w:rPr>
      </w:pPr>
      <w:r>
        <w:rPr>
          <w:rFonts w:ascii="Arial" w:eastAsia="Arial" w:hAnsi="Arial" w:cs="Arial"/>
          <w:sz w:val="20"/>
          <w:szCs w:val="20"/>
          <w:bdr w:val="nil"/>
          <w:lang w:val="it-IT"/>
        </w:rPr>
        <w:t>Scollegare sempre il cavo di corrente prima di eseguire lavori di manutenzione o assistenza.</w:t>
      </w:r>
    </w:p>
    <w:p w:rsidR="00C5421E" w:rsidRPr="00465906" w:rsidRDefault="00465906" w:rsidP="00C5421E">
      <w:pPr>
        <w:autoSpaceDE w:val="0"/>
        <w:autoSpaceDN w:val="0"/>
        <w:adjustRightInd w:val="0"/>
        <w:rPr>
          <w:rFonts w:ascii="Arial" w:hAnsi="Arial" w:cs="Arial"/>
          <w:sz w:val="20"/>
          <w:szCs w:val="20"/>
          <w:lang w:val="it-IT"/>
        </w:rPr>
      </w:pPr>
      <w:r>
        <w:rPr>
          <w:rFonts w:ascii="Arial" w:eastAsia="Arial" w:hAnsi="Arial" w:cs="Arial"/>
          <w:sz w:val="20"/>
          <w:szCs w:val="20"/>
          <w:bdr w:val="nil"/>
          <w:lang w:val="it-IT"/>
        </w:rPr>
        <w:t xml:space="preserve">Il </w:t>
      </w:r>
      <w:r>
        <w:rPr>
          <w:rFonts w:ascii="Arial" w:eastAsia="Arial" w:hAnsi="Arial" w:cs="Arial"/>
          <w:b/>
          <w:bCs/>
          <w:sz w:val="20"/>
          <w:szCs w:val="20"/>
          <w:bdr w:val="nil"/>
          <w:lang w:val="it-IT"/>
        </w:rPr>
        <w:t>Mini Mixer</w:t>
      </w:r>
      <w:r>
        <w:rPr>
          <w:rFonts w:ascii="Arial" w:eastAsia="Arial" w:hAnsi="Arial" w:cs="Arial"/>
          <w:sz w:val="20"/>
          <w:szCs w:val="20"/>
          <w:bdr w:val="nil"/>
          <w:lang w:val="it-IT"/>
        </w:rPr>
        <w:t xml:space="preserve"> non richiede interventi di manutenzione, se non la pulizia occasionale con un panno imbevuto di detergente neutro. Il tappetino in gomma può essere lavato con acqua e sapone. </w:t>
      </w:r>
      <w:r>
        <w:rPr>
          <w:rFonts w:ascii="Arial" w:eastAsia="Arial" w:hAnsi="Arial" w:cs="Arial"/>
          <w:b/>
          <w:bCs/>
          <w:sz w:val="20"/>
          <w:szCs w:val="20"/>
          <w:bdr w:val="nil"/>
          <w:lang w:val="it-IT"/>
        </w:rPr>
        <w:t>Non immergere l’unità nell’acqua né</w:t>
      </w:r>
      <w:r>
        <w:rPr>
          <w:rFonts w:ascii="Arial" w:eastAsia="Arial" w:hAnsi="Arial" w:cs="Arial"/>
          <w:sz w:val="20"/>
          <w:szCs w:val="20"/>
          <w:bdr w:val="nil"/>
          <w:lang w:val="it-IT"/>
        </w:rPr>
        <w:t xml:space="preserve"> </w:t>
      </w:r>
      <w:r>
        <w:rPr>
          <w:rFonts w:ascii="Arial" w:eastAsia="Arial" w:hAnsi="Arial" w:cs="Arial"/>
          <w:b/>
          <w:bCs/>
          <w:sz w:val="20"/>
          <w:szCs w:val="20"/>
          <w:bdr w:val="nil"/>
          <w:lang w:val="it-IT"/>
        </w:rPr>
        <w:t xml:space="preserve">versarci sopra dei liquidi. </w:t>
      </w:r>
      <w:r>
        <w:rPr>
          <w:rFonts w:ascii="Arial" w:eastAsia="Arial" w:hAnsi="Arial" w:cs="Arial"/>
          <w:sz w:val="20"/>
          <w:szCs w:val="20"/>
          <w:bdr w:val="nil"/>
          <w:lang w:val="it-IT"/>
        </w:rPr>
        <w:t>Verificare che l’unità sia asciutta prima di riattaccare la corrente.</w:t>
      </w:r>
    </w:p>
    <w:p w:rsidR="00972649" w:rsidRPr="00733C46" w:rsidRDefault="00733C46" w:rsidP="00C5421E">
      <w:pPr>
        <w:autoSpaceDE w:val="0"/>
        <w:autoSpaceDN w:val="0"/>
        <w:adjustRightInd w:val="0"/>
        <w:rPr>
          <w:rFonts w:ascii="Arial" w:hAnsi="Arial" w:cs="Arial"/>
          <w:b/>
          <w:bCs/>
          <w:sz w:val="8"/>
          <w:szCs w:val="8"/>
          <w:lang w:val="it-IT"/>
        </w:rPr>
      </w:pPr>
    </w:p>
    <w:p w:rsidR="00C5421E" w:rsidRPr="00465906" w:rsidRDefault="00465906" w:rsidP="00C5421E">
      <w:pPr>
        <w:autoSpaceDE w:val="0"/>
        <w:autoSpaceDN w:val="0"/>
        <w:adjustRightInd w:val="0"/>
        <w:rPr>
          <w:rFonts w:ascii="Arial" w:hAnsi="Arial" w:cs="Arial"/>
          <w:b/>
          <w:bCs/>
          <w:sz w:val="22"/>
          <w:szCs w:val="22"/>
          <w:lang w:val="it-IT"/>
        </w:rPr>
      </w:pPr>
      <w:r>
        <w:rPr>
          <w:rFonts w:ascii="Arial" w:eastAsia="Arial" w:hAnsi="Arial" w:cs="Arial"/>
          <w:b/>
          <w:bCs/>
          <w:sz w:val="22"/>
          <w:szCs w:val="22"/>
          <w:bdr w:val="nil"/>
          <w:lang w:val="it-IT"/>
        </w:rPr>
        <w:t>ASSISTENZA E RIPARAZIONE</w:t>
      </w:r>
    </w:p>
    <w:p w:rsidR="006F1E3C" w:rsidRPr="00733C46" w:rsidRDefault="00733C46" w:rsidP="00C5421E">
      <w:pPr>
        <w:autoSpaceDE w:val="0"/>
        <w:autoSpaceDN w:val="0"/>
        <w:adjustRightInd w:val="0"/>
        <w:rPr>
          <w:rFonts w:ascii="Arial" w:hAnsi="Arial" w:cs="Arial"/>
          <w:b/>
          <w:bCs/>
          <w:sz w:val="8"/>
          <w:szCs w:val="8"/>
          <w:lang w:val="it-IT"/>
        </w:rPr>
      </w:pPr>
    </w:p>
    <w:p w:rsidR="00C5421E" w:rsidRPr="00465906" w:rsidRDefault="00465906" w:rsidP="00C5421E">
      <w:pPr>
        <w:autoSpaceDE w:val="0"/>
        <w:autoSpaceDN w:val="0"/>
        <w:adjustRightInd w:val="0"/>
        <w:rPr>
          <w:rFonts w:ascii="Arial" w:hAnsi="Arial" w:cs="Arial"/>
          <w:sz w:val="20"/>
          <w:szCs w:val="20"/>
          <w:lang w:val="it-IT"/>
        </w:rPr>
      </w:pPr>
      <w:r>
        <w:rPr>
          <w:rFonts w:ascii="Arial" w:eastAsia="Arial" w:hAnsi="Arial" w:cs="Arial"/>
          <w:sz w:val="20"/>
          <w:szCs w:val="20"/>
          <w:bdr w:val="nil"/>
          <w:lang w:val="it-IT"/>
        </w:rPr>
        <w:t xml:space="preserve">Il </w:t>
      </w:r>
      <w:r>
        <w:rPr>
          <w:rFonts w:ascii="Arial" w:eastAsia="Arial" w:hAnsi="Arial" w:cs="Arial"/>
          <w:b/>
          <w:bCs/>
          <w:sz w:val="20"/>
          <w:szCs w:val="20"/>
          <w:bdr w:val="nil"/>
          <w:lang w:val="it-IT"/>
        </w:rPr>
        <w:t>Mini Mixer</w:t>
      </w:r>
      <w:r>
        <w:rPr>
          <w:rFonts w:ascii="Arial" w:eastAsia="Arial" w:hAnsi="Arial" w:cs="Arial"/>
          <w:sz w:val="20"/>
          <w:szCs w:val="20"/>
          <w:bdr w:val="nil"/>
          <w:lang w:val="it-IT"/>
        </w:rPr>
        <w:t xml:space="preserve"> è un’unità che dovrebbe fornire anni di servizio senza inconvenienti. Nel caso in cui fosse necessaria assistenza, contattare il proprio distributore Select BioProducts. L’assistenza deve essere prestata solo da un tecnico qualificato.</w:t>
      </w:r>
    </w:p>
    <w:p w:rsidR="006B4F69" w:rsidRPr="00733C46" w:rsidRDefault="00733C46" w:rsidP="00C5421E">
      <w:pPr>
        <w:autoSpaceDE w:val="0"/>
        <w:autoSpaceDN w:val="0"/>
        <w:adjustRightInd w:val="0"/>
        <w:rPr>
          <w:rFonts w:ascii="Arial" w:hAnsi="Arial" w:cs="Arial"/>
          <w:b/>
          <w:bCs/>
          <w:sz w:val="8"/>
          <w:szCs w:val="8"/>
          <w:lang w:val="it-IT"/>
        </w:rPr>
      </w:pPr>
    </w:p>
    <w:p w:rsidR="00C5421E" w:rsidRPr="00465906" w:rsidRDefault="00465906" w:rsidP="00C5421E">
      <w:pPr>
        <w:autoSpaceDE w:val="0"/>
        <w:autoSpaceDN w:val="0"/>
        <w:adjustRightInd w:val="0"/>
        <w:rPr>
          <w:rFonts w:ascii="Arial" w:hAnsi="Arial" w:cs="Arial"/>
          <w:b/>
          <w:bCs/>
          <w:sz w:val="22"/>
          <w:szCs w:val="22"/>
          <w:lang w:val="it-IT"/>
        </w:rPr>
      </w:pPr>
      <w:r>
        <w:rPr>
          <w:rFonts w:ascii="Arial" w:eastAsia="Arial" w:hAnsi="Arial" w:cs="Arial"/>
          <w:b/>
          <w:bCs/>
          <w:sz w:val="22"/>
          <w:szCs w:val="22"/>
          <w:bdr w:val="nil"/>
          <w:lang w:val="it-IT"/>
        </w:rPr>
        <w:t>SPECIFICHE</w:t>
      </w:r>
    </w:p>
    <w:p w:rsidR="006F1E3C" w:rsidRPr="00733C46" w:rsidRDefault="00733C46" w:rsidP="00C5421E">
      <w:pPr>
        <w:autoSpaceDE w:val="0"/>
        <w:autoSpaceDN w:val="0"/>
        <w:adjustRightInd w:val="0"/>
        <w:rPr>
          <w:rFonts w:ascii="Arial" w:hAnsi="Arial" w:cs="Arial"/>
          <w:b/>
          <w:bCs/>
          <w:sz w:val="8"/>
          <w:szCs w:val="8"/>
          <w:lang w:val="it-IT"/>
        </w:rPr>
      </w:pPr>
    </w:p>
    <w:p w:rsidR="00C5421E" w:rsidRPr="00465906" w:rsidRDefault="00465906" w:rsidP="007256D5">
      <w:pPr>
        <w:tabs>
          <w:tab w:val="left" w:pos="2160"/>
        </w:tabs>
        <w:autoSpaceDE w:val="0"/>
        <w:autoSpaceDN w:val="0"/>
        <w:adjustRightInd w:val="0"/>
        <w:rPr>
          <w:rFonts w:ascii="Arial" w:hAnsi="Arial" w:cs="Arial"/>
          <w:sz w:val="18"/>
          <w:szCs w:val="18"/>
          <w:lang w:val="it-IT"/>
        </w:rPr>
      </w:pPr>
      <w:r>
        <w:rPr>
          <w:rFonts w:ascii="Arial" w:eastAsia="Arial" w:hAnsi="Arial" w:cs="Arial"/>
          <w:sz w:val="18"/>
          <w:szCs w:val="18"/>
          <w:bdr w:val="nil"/>
          <w:lang w:val="it-IT"/>
        </w:rPr>
        <w:t xml:space="preserve">Azione miscelatrice: </w:t>
      </w:r>
      <w:r>
        <w:rPr>
          <w:rFonts w:ascii="Arial" w:eastAsia="Arial" w:hAnsi="Arial" w:cs="Arial"/>
          <w:sz w:val="18"/>
          <w:szCs w:val="18"/>
          <w:bdr w:val="nil"/>
          <w:lang w:val="it-IT"/>
        </w:rPr>
        <w:tab/>
        <w:t>rotazione tridimensionale</w:t>
      </w:r>
    </w:p>
    <w:p w:rsidR="00C5421E" w:rsidRPr="00465906" w:rsidRDefault="00465906" w:rsidP="007256D5">
      <w:pPr>
        <w:tabs>
          <w:tab w:val="left" w:pos="2160"/>
        </w:tabs>
        <w:autoSpaceDE w:val="0"/>
        <w:autoSpaceDN w:val="0"/>
        <w:adjustRightInd w:val="0"/>
        <w:rPr>
          <w:rFonts w:ascii="Arial" w:hAnsi="Arial" w:cs="Arial"/>
          <w:sz w:val="18"/>
          <w:szCs w:val="18"/>
          <w:lang w:val="it-IT"/>
        </w:rPr>
      </w:pPr>
      <w:r>
        <w:rPr>
          <w:rFonts w:ascii="Arial" w:eastAsia="Arial" w:hAnsi="Arial" w:cs="Arial"/>
          <w:sz w:val="18"/>
          <w:szCs w:val="18"/>
          <w:bdr w:val="nil"/>
          <w:lang w:val="it-IT"/>
        </w:rPr>
        <w:t xml:space="preserve">Velocità di miscelazione: </w:t>
      </w:r>
      <w:r>
        <w:rPr>
          <w:rFonts w:ascii="Arial" w:eastAsia="Arial" w:hAnsi="Arial" w:cs="Arial"/>
          <w:sz w:val="18"/>
          <w:szCs w:val="18"/>
          <w:bdr w:val="nil"/>
          <w:lang w:val="it-IT"/>
        </w:rPr>
        <w:tab/>
        <w:t>18 g/min fissa (modello a 120 V) 20 g/min fissa (modello a 230 V)</w:t>
      </w:r>
    </w:p>
    <w:p w:rsidR="00C5421E" w:rsidRPr="00465906" w:rsidRDefault="00465906" w:rsidP="007256D5">
      <w:pPr>
        <w:tabs>
          <w:tab w:val="left" w:pos="2160"/>
        </w:tabs>
        <w:autoSpaceDE w:val="0"/>
        <w:autoSpaceDN w:val="0"/>
        <w:adjustRightInd w:val="0"/>
        <w:rPr>
          <w:rFonts w:ascii="Arial" w:hAnsi="Arial" w:cs="Arial"/>
          <w:sz w:val="18"/>
          <w:szCs w:val="18"/>
          <w:lang w:val="it-IT"/>
        </w:rPr>
      </w:pPr>
      <w:r>
        <w:rPr>
          <w:rFonts w:ascii="Arial" w:eastAsia="Arial" w:hAnsi="Arial" w:cs="Arial"/>
          <w:sz w:val="18"/>
          <w:szCs w:val="18"/>
          <w:bdr w:val="nil"/>
          <w:lang w:val="it-IT"/>
        </w:rPr>
        <w:t xml:space="preserve">Angolo di inclinazione piattaforma: </w:t>
      </w:r>
      <w:r>
        <w:rPr>
          <w:rFonts w:ascii="Arial" w:eastAsia="Arial" w:hAnsi="Arial" w:cs="Arial"/>
          <w:sz w:val="18"/>
          <w:szCs w:val="18"/>
          <w:bdr w:val="nil"/>
          <w:lang w:val="it-IT"/>
        </w:rPr>
        <w:tab/>
        <w:t>5 gradi fisso</w:t>
      </w:r>
    </w:p>
    <w:p w:rsidR="00C5421E" w:rsidRPr="00465906" w:rsidRDefault="00465906" w:rsidP="007256D5">
      <w:pPr>
        <w:tabs>
          <w:tab w:val="left" w:pos="2160"/>
        </w:tabs>
        <w:autoSpaceDE w:val="0"/>
        <w:autoSpaceDN w:val="0"/>
        <w:adjustRightInd w:val="0"/>
        <w:rPr>
          <w:rFonts w:ascii="Arial" w:hAnsi="Arial" w:cs="Arial"/>
          <w:sz w:val="18"/>
          <w:szCs w:val="18"/>
          <w:lang w:val="it-IT"/>
        </w:rPr>
      </w:pPr>
      <w:r>
        <w:rPr>
          <w:rFonts w:ascii="Arial" w:eastAsia="Arial" w:hAnsi="Arial" w:cs="Arial"/>
          <w:sz w:val="18"/>
          <w:szCs w:val="18"/>
          <w:bdr w:val="nil"/>
          <w:lang w:val="it-IT"/>
        </w:rPr>
        <w:t xml:space="preserve">Dimensioni piattaforma: </w:t>
      </w:r>
      <w:r>
        <w:rPr>
          <w:rFonts w:ascii="Arial" w:eastAsia="Arial" w:hAnsi="Arial" w:cs="Arial"/>
          <w:sz w:val="18"/>
          <w:szCs w:val="18"/>
          <w:bdr w:val="nil"/>
          <w:lang w:val="it-IT"/>
        </w:rPr>
        <w:tab/>
        <w:t>20 cm x 16,5 cm (9.5 in. x 6.75 in)</w:t>
      </w:r>
    </w:p>
    <w:p w:rsidR="00C5421E" w:rsidRPr="00465906" w:rsidRDefault="00465906" w:rsidP="007256D5">
      <w:pPr>
        <w:tabs>
          <w:tab w:val="left" w:pos="2160"/>
        </w:tabs>
        <w:autoSpaceDE w:val="0"/>
        <w:autoSpaceDN w:val="0"/>
        <w:adjustRightInd w:val="0"/>
        <w:rPr>
          <w:rFonts w:ascii="Arial" w:hAnsi="Arial" w:cs="Arial"/>
          <w:sz w:val="18"/>
          <w:szCs w:val="18"/>
          <w:lang w:val="it-IT"/>
        </w:rPr>
      </w:pPr>
      <w:r>
        <w:rPr>
          <w:rFonts w:ascii="Arial" w:eastAsia="Arial" w:hAnsi="Arial" w:cs="Arial"/>
          <w:sz w:val="18"/>
          <w:szCs w:val="18"/>
          <w:bdr w:val="nil"/>
          <w:lang w:val="it-IT"/>
        </w:rPr>
        <w:t xml:space="preserve">Dimensioni mixer: </w:t>
      </w:r>
      <w:r>
        <w:rPr>
          <w:rFonts w:ascii="Arial" w:eastAsia="Arial" w:hAnsi="Arial" w:cs="Arial"/>
          <w:sz w:val="18"/>
          <w:szCs w:val="18"/>
          <w:bdr w:val="nil"/>
          <w:lang w:val="it-IT"/>
        </w:rPr>
        <w:tab/>
        <w:t>24 cm x 14,6 cm x 17 cm (9.5 in x 5.75in x 6.75)</w:t>
      </w:r>
    </w:p>
    <w:p w:rsidR="00C5421E" w:rsidRPr="00465906" w:rsidRDefault="00465906" w:rsidP="007256D5">
      <w:pPr>
        <w:tabs>
          <w:tab w:val="left" w:pos="2160"/>
        </w:tabs>
        <w:autoSpaceDE w:val="0"/>
        <w:autoSpaceDN w:val="0"/>
        <w:adjustRightInd w:val="0"/>
        <w:rPr>
          <w:rFonts w:ascii="Arial" w:hAnsi="Arial" w:cs="Arial"/>
          <w:sz w:val="18"/>
          <w:szCs w:val="18"/>
          <w:lang w:val="it-IT"/>
        </w:rPr>
      </w:pPr>
      <w:r>
        <w:rPr>
          <w:rFonts w:ascii="Arial" w:eastAsia="Arial" w:hAnsi="Arial" w:cs="Arial"/>
          <w:sz w:val="18"/>
          <w:szCs w:val="18"/>
          <w:bdr w:val="nil"/>
          <w:lang w:val="it-IT"/>
        </w:rPr>
        <w:t xml:space="preserve">Peso del Mixer: </w:t>
      </w:r>
      <w:r>
        <w:rPr>
          <w:rFonts w:ascii="Arial" w:eastAsia="Arial" w:hAnsi="Arial" w:cs="Arial"/>
          <w:sz w:val="18"/>
          <w:szCs w:val="18"/>
          <w:bdr w:val="nil"/>
          <w:lang w:val="it-IT"/>
        </w:rPr>
        <w:tab/>
        <w:t>0,85 kg (1.88 lbs)</w:t>
      </w:r>
    </w:p>
    <w:p w:rsidR="00C5421E" w:rsidRPr="00465906" w:rsidRDefault="00465906" w:rsidP="007256D5">
      <w:pPr>
        <w:tabs>
          <w:tab w:val="left" w:pos="2160"/>
        </w:tabs>
        <w:autoSpaceDE w:val="0"/>
        <w:autoSpaceDN w:val="0"/>
        <w:adjustRightInd w:val="0"/>
        <w:rPr>
          <w:rFonts w:ascii="Arial" w:hAnsi="Arial" w:cs="Arial"/>
          <w:sz w:val="18"/>
          <w:szCs w:val="18"/>
          <w:lang w:val="it-IT"/>
        </w:rPr>
      </w:pPr>
      <w:r>
        <w:rPr>
          <w:rFonts w:ascii="Arial" w:eastAsia="Arial" w:hAnsi="Arial" w:cs="Arial"/>
          <w:sz w:val="18"/>
          <w:szCs w:val="18"/>
          <w:bdr w:val="nil"/>
          <w:lang w:val="it-IT"/>
        </w:rPr>
        <w:t xml:space="preserve">Capacità di carico piattaforma: </w:t>
      </w:r>
      <w:r>
        <w:rPr>
          <w:rFonts w:ascii="Arial" w:eastAsia="Arial" w:hAnsi="Arial" w:cs="Arial"/>
          <w:sz w:val="18"/>
          <w:szCs w:val="18"/>
          <w:bdr w:val="nil"/>
          <w:lang w:val="it-IT"/>
        </w:rPr>
        <w:tab/>
        <w:t>0,8 kg (1.75 lbs) bilanciata</w:t>
      </w:r>
    </w:p>
    <w:p w:rsidR="00C5421E" w:rsidRPr="00465906" w:rsidRDefault="00465906" w:rsidP="007256D5">
      <w:pPr>
        <w:tabs>
          <w:tab w:val="left" w:pos="2160"/>
        </w:tabs>
        <w:autoSpaceDE w:val="0"/>
        <w:autoSpaceDN w:val="0"/>
        <w:adjustRightInd w:val="0"/>
        <w:rPr>
          <w:rFonts w:ascii="Arial" w:hAnsi="Arial" w:cs="Arial"/>
          <w:sz w:val="18"/>
          <w:szCs w:val="18"/>
          <w:lang w:val="it-IT"/>
        </w:rPr>
      </w:pPr>
      <w:r>
        <w:rPr>
          <w:rFonts w:ascii="Arial" w:eastAsia="Arial" w:hAnsi="Arial" w:cs="Arial"/>
          <w:sz w:val="18"/>
          <w:szCs w:val="18"/>
          <w:bdr w:val="nil"/>
          <w:lang w:val="it-IT"/>
        </w:rPr>
        <w:t xml:space="preserve">Capacità piattaforma: </w:t>
      </w:r>
      <w:r>
        <w:rPr>
          <w:rFonts w:ascii="Arial" w:eastAsia="Arial" w:hAnsi="Arial" w:cs="Arial"/>
          <w:sz w:val="18"/>
          <w:szCs w:val="18"/>
          <w:bdr w:val="nil"/>
          <w:lang w:val="it-IT"/>
        </w:rPr>
        <w:tab/>
        <w:t>4 scatole per blot da 8 x 10 cm (Bio-Rad, NuSep) o 2 scatole per blot da 10 x 10 cm (Lonza, Invitrogen).</w:t>
      </w:r>
    </w:p>
    <w:p w:rsidR="00C5421E" w:rsidRPr="00465906" w:rsidRDefault="00465906" w:rsidP="007256D5">
      <w:pPr>
        <w:tabs>
          <w:tab w:val="left" w:pos="2160"/>
        </w:tabs>
        <w:autoSpaceDE w:val="0"/>
        <w:autoSpaceDN w:val="0"/>
        <w:adjustRightInd w:val="0"/>
        <w:rPr>
          <w:rFonts w:ascii="Arial" w:hAnsi="Arial" w:cs="Arial"/>
          <w:sz w:val="18"/>
          <w:szCs w:val="18"/>
          <w:lang w:val="it-IT"/>
        </w:rPr>
      </w:pPr>
      <w:r>
        <w:rPr>
          <w:rFonts w:ascii="Arial" w:eastAsia="Arial" w:hAnsi="Arial" w:cs="Arial"/>
          <w:sz w:val="18"/>
          <w:szCs w:val="18"/>
          <w:bdr w:val="nil"/>
          <w:lang w:val="it-IT"/>
        </w:rPr>
        <w:t xml:space="preserve">Intervallo di funzionamento a temperatura ambiente </w:t>
      </w:r>
      <w:r>
        <w:rPr>
          <w:rFonts w:ascii="Arial" w:eastAsia="Arial" w:hAnsi="Arial" w:cs="Arial"/>
          <w:sz w:val="18"/>
          <w:szCs w:val="18"/>
          <w:bdr w:val="nil"/>
          <w:lang w:val="it-IT"/>
        </w:rPr>
        <w:tab/>
        <w:t>da +4ºC a 40ºC</w:t>
      </w:r>
    </w:p>
    <w:p w:rsidR="00C5421E" w:rsidRPr="00465906" w:rsidRDefault="00465906" w:rsidP="007256D5">
      <w:pPr>
        <w:tabs>
          <w:tab w:val="left" w:pos="2160"/>
        </w:tabs>
        <w:autoSpaceDE w:val="0"/>
        <w:autoSpaceDN w:val="0"/>
        <w:adjustRightInd w:val="0"/>
        <w:rPr>
          <w:rFonts w:ascii="Arial" w:hAnsi="Arial" w:cs="Arial"/>
          <w:sz w:val="18"/>
          <w:szCs w:val="18"/>
          <w:lang w:val="it-IT"/>
        </w:rPr>
      </w:pPr>
      <w:r>
        <w:rPr>
          <w:rFonts w:ascii="Arial" w:eastAsia="Arial" w:hAnsi="Arial" w:cs="Arial"/>
          <w:sz w:val="18"/>
          <w:szCs w:val="18"/>
          <w:bdr w:val="nil"/>
          <w:lang w:val="it-IT"/>
        </w:rPr>
        <w:t xml:space="preserve">Specifiche elettriche: </w:t>
      </w:r>
      <w:r>
        <w:rPr>
          <w:rFonts w:ascii="Arial" w:eastAsia="Arial" w:hAnsi="Arial" w:cs="Arial"/>
          <w:sz w:val="18"/>
          <w:szCs w:val="18"/>
          <w:bdr w:val="nil"/>
          <w:lang w:val="it-IT"/>
        </w:rPr>
        <w:tab/>
        <w:t>120 V, 50/60 Hz, 0,03 amp o 230 V, 50 /60 Hz, 0,015 amp</w:t>
      </w:r>
    </w:p>
    <w:p w:rsidR="00F85EBF" w:rsidRPr="00465906" w:rsidRDefault="00465906" w:rsidP="00F85EBF">
      <w:pPr>
        <w:autoSpaceDE w:val="0"/>
        <w:autoSpaceDN w:val="0"/>
        <w:adjustRightInd w:val="0"/>
        <w:spacing w:line="210" w:lineRule="atLeast"/>
        <w:rPr>
          <w:rFonts w:ascii="Arial" w:eastAsia="MS Mincho" w:hAnsi="Arial" w:cs="Arial"/>
          <w:b/>
          <w:bCs/>
          <w:sz w:val="22"/>
          <w:szCs w:val="22"/>
          <w:lang w:val="it-IT" w:eastAsia="ja-JP"/>
        </w:rPr>
      </w:pPr>
      <w:r>
        <w:rPr>
          <w:rFonts w:ascii="Arial" w:eastAsia="Arial" w:hAnsi="Arial" w:cs="Arial"/>
          <w:b/>
          <w:bCs/>
          <w:sz w:val="22"/>
          <w:szCs w:val="22"/>
          <w:bdr w:val="nil"/>
          <w:lang w:val="it-IT" w:eastAsia="ja-JP"/>
        </w:rPr>
        <w:lastRenderedPageBreak/>
        <w:t>SIMBOLI E CONVENZIONI</w:t>
      </w:r>
    </w:p>
    <w:p w:rsidR="00F85EBF" w:rsidRPr="00465906" w:rsidRDefault="00733C46" w:rsidP="00F85EBF">
      <w:pPr>
        <w:rPr>
          <w:b/>
          <w:lang w:val="it-IT"/>
        </w:rPr>
      </w:pPr>
    </w:p>
    <w:p w:rsidR="00F85EBF" w:rsidRPr="00465906" w:rsidRDefault="00465906" w:rsidP="00F85EBF">
      <w:pPr>
        <w:rPr>
          <w:rFonts w:ascii="Arial" w:hAnsi="Arial" w:cs="Arial"/>
          <w:b/>
          <w:sz w:val="20"/>
          <w:szCs w:val="20"/>
          <w:lang w:val="it-IT"/>
        </w:rPr>
      </w:pPr>
      <w:r>
        <w:rPr>
          <w:rFonts w:eastAsia="Times New Roman"/>
          <w:sz w:val="20"/>
          <w:szCs w:val="20"/>
          <w:bdr w:val="nil"/>
          <w:lang w:val="it-IT"/>
        </w:rPr>
        <w:tab/>
      </w:r>
      <w:r>
        <w:rPr>
          <w:rFonts w:ascii="Arial" w:eastAsia="Arial" w:hAnsi="Arial" w:cs="Arial"/>
          <w:sz w:val="20"/>
          <w:szCs w:val="20"/>
          <w:bdr w:val="nil"/>
          <w:lang w:val="it-IT"/>
        </w:rPr>
        <w:t>Il seguente diagramma è un glossario illustrato dei simboli che è possibile usare in questo manuale o sul prodotto</w:t>
      </w:r>
      <w:r>
        <w:rPr>
          <w:rFonts w:ascii="Arial" w:eastAsia="Arial" w:hAnsi="Arial" w:cs="Arial"/>
          <w:b/>
          <w:bCs/>
          <w:sz w:val="20"/>
          <w:szCs w:val="20"/>
          <w:bdr w:val="nil"/>
          <w:lang w:val="it-IT"/>
        </w:rPr>
        <w:t>.</w:t>
      </w:r>
    </w:p>
    <w:p w:rsidR="00F85EBF" w:rsidRPr="00465906" w:rsidRDefault="00733C46" w:rsidP="00F85EBF">
      <w:pPr>
        <w:rPr>
          <w:b/>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7668"/>
      </w:tblGrid>
      <w:tr w:rsidR="0055120D" w:rsidRPr="00465906" w:rsidTr="0035790A">
        <w:tc>
          <w:tcPr>
            <w:tcW w:w="1188" w:type="dxa"/>
            <w:shd w:val="clear" w:color="auto" w:fill="auto"/>
          </w:tcPr>
          <w:p w:rsidR="00F85EBF" w:rsidRPr="0035790A" w:rsidRDefault="00465906" w:rsidP="0035790A">
            <w:pPr>
              <w:jc w:val="right"/>
              <w:rPr>
                <w:rFonts w:eastAsia="Times New Roman"/>
                <w:sz w:val="20"/>
                <w:szCs w:val="20"/>
              </w:rPr>
            </w:pPr>
            <w:r>
              <w:rPr>
                <w:rFonts w:eastAsia="Times New Roman"/>
                <w:noProof/>
                <w:sz w:val="20"/>
                <w:szCs w:val="20"/>
                <w:lang w:eastAsia="zh-TW"/>
              </w:rPr>
              <w:drawing>
                <wp:inline distT="0" distB="0" distL="0" distR="0">
                  <wp:extent cx="647700" cy="552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 xmlns:a14="http://schemas.microsoft.com/office/drawing/2010/main" xmlns:mc="http://schemas.openxmlformats.org/markup-compatibility/2006" xmlns:o="urn:schemas-microsoft-com:office:office" xmlns:v="urn:schemas-microsoft-com:vml" xmlns:w="http://schemas.openxmlformats.org/wordprocessingml/2006/main" xmlns:w10="urn:schemas-microsoft-com:office:word" xmlns:w14="http://schemas.microsoft.com/office/word/2010/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tretch>
                            <a:fillRect/>
                          </a:stretch>
                        </pic:blipFill>
                        <pic:spPr bwMode="auto">
                          <a:xfrm>
                            <a:off x="0" y="0"/>
                            <a:ext cx="647700" cy="552450"/>
                          </a:xfrm>
                          <a:prstGeom prst="rect">
                            <a:avLst/>
                          </a:prstGeom>
                          <a:noFill/>
                          <a:ln>
                            <a:noFill/>
                          </a:ln>
                        </pic:spPr>
                      </pic:pic>
                    </a:graphicData>
                  </a:graphic>
                </wp:inline>
              </w:drawing>
            </w:r>
          </w:p>
        </w:tc>
        <w:tc>
          <w:tcPr>
            <w:tcW w:w="7668" w:type="dxa"/>
            <w:shd w:val="clear" w:color="auto" w:fill="auto"/>
            <w:vAlign w:val="center"/>
          </w:tcPr>
          <w:p w:rsidR="00F85EBF" w:rsidRPr="00465906" w:rsidRDefault="00465906" w:rsidP="0035790A">
            <w:pPr>
              <w:autoSpaceDE w:val="0"/>
              <w:autoSpaceDN w:val="0"/>
              <w:adjustRightInd w:val="0"/>
              <w:rPr>
                <w:rFonts w:ascii="Arial" w:eastAsia="Times New Roman" w:hAnsi="Arial" w:cs="Arial"/>
                <w:sz w:val="20"/>
                <w:szCs w:val="20"/>
                <w:lang w:val="it-IT"/>
              </w:rPr>
            </w:pPr>
            <w:r>
              <w:rPr>
                <w:rFonts w:ascii="Arial" w:eastAsia="Arial" w:hAnsi="Arial" w:cs="Arial"/>
                <w:sz w:val="20"/>
                <w:szCs w:val="20"/>
                <w:bdr w:val="nil"/>
                <w:lang w:val="it-IT"/>
              </w:rPr>
              <w:t>L’avvertenza elettrica indica la presenza di un potenziale pericolo che potrebbe causare scosse elettriche.</w:t>
            </w:r>
          </w:p>
        </w:tc>
      </w:tr>
      <w:tr w:rsidR="0055120D" w:rsidRPr="00465906" w:rsidTr="0035790A">
        <w:trPr>
          <w:trHeight w:val="1088"/>
        </w:trPr>
        <w:tc>
          <w:tcPr>
            <w:tcW w:w="1188" w:type="dxa"/>
            <w:shd w:val="clear" w:color="auto" w:fill="auto"/>
          </w:tcPr>
          <w:p w:rsidR="00F85EBF" w:rsidRPr="0035790A" w:rsidRDefault="00465906" w:rsidP="0035790A">
            <w:pPr>
              <w:jc w:val="right"/>
              <w:rPr>
                <w:rFonts w:eastAsia="Times New Roman"/>
                <w:sz w:val="20"/>
                <w:szCs w:val="20"/>
              </w:rPr>
            </w:pPr>
            <w:r>
              <w:rPr>
                <w:rFonts w:eastAsia="Times New Roman"/>
                <w:noProof/>
                <w:sz w:val="20"/>
                <w:szCs w:val="20"/>
                <w:lang w:eastAsia="zh-TW"/>
              </w:rPr>
              <w:drawing>
                <wp:inline distT="0" distB="0" distL="0" distR="0">
                  <wp:extent cx="638175" cy="533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 xmlns:a14="http://schemas.microsoft.com/office/drawing/2010/main" xmlns:mc="http://schemas.openxmlformats.org/markup-compatibility/2006" xmlns:o="urn:schemas-microsoft-com:office:office" xmlns:v="urn:schemas-microsoft-com:vml" xmlns:w="http://schemas.openxmlformats.org/wordprocessingml/2006/main" xmlns:w10="urn:schemas-microsoft-com:office:word" xmlns:w14="http://schemas.microsoft.com/office/word/2010/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tretch>
                            <a:fillRect/>
                          </a:stretch>
                        </pic:blipFill>
                        <pic:spPr bwMode="auto">
                          <a:xfrm>
                            <a:off x="0" y="0"/>
                            <a:ext cx="638175" cy="533400"/>
                          </a:xfrm>
                          <a:prstGeom prst="rect">
                            <a:avLst/>
                          </a:prstGeom>
                          <a:noFill/>
                          <a:ln>
                            <a:noFill/>
                          </a:ln>
                        </pic:spPr>
                      </pic:pic>
                    </a:graphicData>
                  </a:graphic>
                </wp:inline>
              </w:drawing>
            </w:r>
          </w:p>
        </w:tc>
        <w:tc>
          <w:tcPr>
            <w:tcW w:w="7668" w:type="dxa"/>
            <w:shd w:val="clear" w:color="auto" w:fill="auto"/>
            <w:vAlign w:val="center"/>
          </w:tcPr>
          <w:p w:rsidR="00F85EBF" w:rsidRPr="00465906" w:rsidRDefault="00465906" w:rsidP="00BF4AAE">
            <w:pPr>
              <w:rPr>
                <w:rFonts w:ascii="Arial" w:eastAsia="Times New Roman" w:hAnsi="Arial" w:cs="Arial"/>
                <w:sz w:val="20"/>
                <w:szCs w:val="20"/>
                <w:lang w:val="it-IT"/>
              </w:rPr>
            </w:pPr>
            <w:r>
              <w:rPr>
                <w:rFonts w:ascii="Arial" w:eastAsia="Arial" w:hAnsi="Arial" w:cs="Arial"/>
                <w:b/>
                <w:bCs/>
                <w:sz w:val="20"/>
                <w:szCs w:val="20"/>
                <w:bdr w:val="nil"/>
                <w:lang w:val="it-IT"/>
              </w:rPr>
              <w:t>ATTENZIONE</w:t>
            </w:r>
            <w:r>
              <w:rPr>
                <w:rFonts w:ascii="Arial" w:eastAsia="Arial" w:hAnsi="Arial" w:cs="Arial"/>
                <w:sz w:val="20"/>
                <w:szCs w:val="20"/>
                <w:bdr w:val="nil"/>
                <w:lang w:val="it-IT"/>
              </w:rPr>
              <w:t xml:space="preserve"> Questo simbolo si riferisce a istruzioni importanti di funzionamento e manutenzione (assistenza) presenti nel Manuale di istruzioni del prodotto. Il mancato rispetto di queste indicazioni può comportare un rischio di danni o lesioni a persone o apparecchiature.</w:t>
            </w:r>
          </w:p>
        </w:tc>
      </w:tr>
      <w:tr w:rsidR="0055120D" w:rsidRPr="00465906" w:rsidTr="0035790A">
        <w:trPr>
          <w:trHeight w:val="890"/>
        </w:trPr>
        <w:tc>
          <w:tcPr>
            <w:tcW w:w="1188" w:type="dxa"/>
            <w:shd w:val="clear" w:color="auto" w:fill="auto"/>
          </w:tcPr>
          <w:p w:rsidR="00F85EBF" w:rsidRPr="0035790A" w:rsidRDefault="00465906" w:rsidP="0035790A">
            <w:pPr>
              <w:jc w:val="center"/>
              <w:rPr>
                <w:rFonts w:eastAsia="Times New Roman"/>
                <w:sz w:val="20"/>
                <w:szCs w:val="20"/>
              </w:rPr>
            </w:pPr>
            <w:r>
              <w:rPr>
                <w:rFonts w:eastAsia="Times New Roman"/>
                <w:noProof/>
                <w:sz w:val="20"/>
                <w:szCs w:val="20"/>
                <w:lang w:eastAsia="zh-TW"/>
              </w:rPr>
              <w:drawing>
                <wp:inline distT="0" distB="0" distL="0" distR="0">
                  <wp:extent cx="447675" cy="438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 xmlns:a14="http://schemas.microsoft.com/office/drawing/2010/main" xmlns:mc="http://schemas.openxmlformats.org/markup-compatibility/2006" xmlns:o="urn:schemas-microsoft-com:office:office" xmlns:v="urn:schemas-microsoft-com:vml" xmlns:w="http://schemas.openxmlformats.org/wordprocessingml/2006/main" xmlns:w10="urn:schemas-microsoft-com:office:word" xmlns:w14="http://schemas.microsoft.com/office/word/2010/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tretch>
                            <a:fillRect/>
                          </a:stretch>
                        </pic:blipFill>
                        <pic:spPr bwMode="auto">
                          <a:xfrm>
                            <a:off x="0" y="0"/>
                            <a:ext cx="447675" cy="438150"/>
                          </a:xfrm>
                          <a:prstGeom prst="rect">
                            <a:avLst/>
                          </a:prstGeom>
                          <a:noFill/>
                          <a:ln>
                            <a:noFill/>
                          </a:ln>
                        </pic:spPr>
                      </pic:pic>
                    </a:graphicData>
                  </a:graphic>
                </wp:inline>
              </w:drawing>
            </w:r>
          </w:p>
        </w:tc>
        <w:tc>
          <w:tcPr>
            <w:tcW w:w="7668" w:type="dxa"/>
            <w:shd w:val="clear" w:color="auto" w:fill="auto"/>
            <w:vAlign w:val="center"/>
          </w:tcPr>
          <w:p w:rsidR="00F85EBF" w:rsidRPr="00465906" w:rsidRDefault="00465906" w:rsidP="00BF4AAE">
            <w:pPr>
              <w:rPr>
                <w:rFonts w:ascii="Arial" w:eastAsia="Times New Roman" w:hAnsi="Arial" w:cs="Arial"/>
                <w:sz w:val="20"/>
                <w:szCs w:val="20"/>
                <w:lang w:val="it-IT"/>
              </w:rPr>
            </w:pPr>
            <w:r>
              <w:rPr>
                <w:rFonts w:ascii="Arial" w:eastAsia="Arial" w:hAnsi="Arial" w:cs="Arial"/>
                <w:sz w:val="20"/>
                <w:szCs w:val="20"/>
                <w:bdr w:val="nil"/>
                <w:lang w:val="it-IT"/>
              </w:rPr>
              <w:t>Questo simbolo identifica un conduttore di protezione (Protective Earth, PE) che è fornito per la connessione del conduttore di protezione (verde o verde/giallo) del sistema di alimentazione.</w:t>
            </w:r>
          </w:p>
        </w:tc>
      </w:tr>
    </w:tbl>
    <w:p w:rsidR="004C7222" w:rsidRPr="00465906" w:rsidRDefault="00733C46" w:rsidP="005D1D41">
      <w:pPr>
        <w:autoSpaceDE w:val="0"/>
        <w:autoSpaceDN w:val="0"/>
        <w:adjustRightInd w:val="0"/>
        <w:jc w:val="right"/>
        <w:rPr>
          <w:rFonts w:ascii="Arial" w:hAnsi="Arial" w:cs="Arial"/>
          <w:sz w:val="18"/>
          <w:szCs w:val="18"/>
          <w:lang w:val="it-IT"/>
        </w:rPr>
      </w:pPr>
    </w:p>
    <w:p w:rsidR="006B4F69" w:rsidRPr="00465906" w:rsidRDefault="00733C46" w:rsidP="006B4F69">
      <w:pPr>
        <w:ind w:right="-1440"/>
        <w:rPr>
          <w:sz w:val="22"/>
          <w:szCs w:val="22"/>
          <w:lang w:val="it-IT"/>
        </w:rPr>
      </w:pPr>
    </w:p>
    <w:p w:rsidR="006B4F69" w:rsidRDefault="00465906" w:rsidP="006B4F69">
      <w:pPr>
        <w:autoSpaceDE w:val="0"/>
        <w:autoSpaceDN w:val="0"/>
        <w:adjustRightInd w:val="0"/>
        <w:rPr>
          <w:rFonts w:ascii="Arial" w:hAnsi="Arial" w:cs="Arial"/>
          <w:b/>
          <w:sz w:val="22"/>
          <w:szCs w:val="22"/>
        </w:rPr>
      </w:pPr>
      <w:r>
        <w:rPr>
          <w:rFonts w:ascii="Arial" w:eastAsia="Arial" w:hAnsi="Arial" w:cs="Arial"/>
          <w:b/>
          <w:bCs/>
          <w:sz w:val="22"/>
          <w:szCs w:val="22"/>
          <w:bdr w:val="nil"/>
          <w:lang w:val="it-IT"/>
        </w:rPr>
        <w:t>SMALTIMENTO DELLE APPARECCHIATURE-DIRETTIVE EUROPEE</w:t>
      </w:r>
    </w:p>
    <w:p w:rsidR="007256D5" w:rsidRPr="00BA6D20" w:rsidRDefault="00733C46" w:rsidP="006B4F69">
      <w:pPr>
        <w:autoSpaceDE w:val="0"/>
        <w:autoSpaceDN w:val="0"/>
        <w:adjustRightInd w:val="0"/>
        <w:rPr>
          <w:rFonts w:ascii="Arial" w:hAnsi="Arial" w:cs="Arial"/>
          <w:b/>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76"/>
        <w:gridCol w:w="7056"/>
      </w:tblGrid>
      <w:tr w:rsidR="0055120D" w:rsidRPr="00733C46" w:rsidTr="007256D5">
        <w:tc>
          <w:tcPr>
            <w:tcW w:w="2268" w:type="dxa"/>
          </w:tcPr>
          <w:p w:rsidR="007256D5" w:rsidRDefault="00465906" w:rsidP="006B4F69">
            <w:pPr>
              <w:autoSpaceDE w:val="0"/>
              <w:autoSpaceDN w:val="0"/>
              <w:adjustRightInd w:val="0"/>
              <w:rPr>
                <w:rFonts w:ascii="Arial" w:hAnsi="Arial" w:cs="Arial"/>
                <w:sz w:val="22"/>
                <w:szCs w:val="22"/>
              </w:rPr>
            </w:pPr>
            <w:r w:rsidRPr="007256D5">
              <w:rPr>
                <w:rFonts w:ascii="Arial" w:hAnsi="Arial" w:cs="Arial"/>
                <w:noProof/>
                <w:sz w:val="22"/>
                <w:szCs w:val="22"/>
                <w:lang w:eastAsia="zh-TW"/>
              </w:rPr>
              <w:drawing>
                <wp:inline distT="0" distB="0" distL="0" distR="0">
                  <wp:extent cx="1343025" cy="1911985"/>
                  <wp:effectExtent l="19050" t="0" r="9525" b="0"/>
                  <wp:docPr id="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cstate="print">
                            <a:extLst>
                              <a:ext uri="{28A0092B-C50C-407E-A947-70E740481C1C}">
                                <a14:useLocalDpi xmlns="" xmlns:a14="http://schemas.microsoft.com/office/drawing/2010/main" xmlns:mc="http://schemas.openxmlformats.org/markup-compatibility/2006" xmlns:o="urn:schemas-microsoft-com:office:office" xmlns:v="urn:schemas-microsoft-com:vml" xmlns:w="http://schemas.openxmlformats.org/wordprocessingml/2006/main" xmlns:w10="urn:schemas-microsoft-com:office:word" xmlns:w14="http://schemas.microsoft.com/office/word/2010/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tretch>
                            <a:fillRect/>
                          </a:stretch>
                        </pic:blipFill>
                        <pic:spPr bwMode="auto">
                          <a:xfrm>
                            <a:off x="0" y="0"/>
                            <a:ext cx="1343025" cy="1911985"/>
                          </a:xfrm>
                          <a:prstGeom prst="rect">
                            <a:avLst/>
                          </a:prstGeom>
                          <a:noFill/>
                          <a:ln>
                            <a:noFill/>
                          </a:ln>
                        </pic:spPr>
                      </pic:pic>
                    </a:graphicData>
                  </a:graphic>
                </wp:inline>
              </w:drawing>
            </w:r>
          </w:p>
        </w:tc>
        <w:tc>
          <w:tcPr>
            <w:tcW w:w="7164" w:type="dxa"/>
          </w:tcPr>
          <w:p w:rsidR="007256D5" w:rsidRPr="00465906" w:rsidRDefault="00465906" w:rsidP="007256D5">
            <w:pPr>
              <w:jc w:val="both"/>
              <w:rPr>
                <w:rFonts w:ascii="Arial" w:hAnsi="Arial" w:cs="Arial"/>
                <w:i/>
                <w:iCs/>
                <w:lang w:val="it-IT"/>
              </w:rPr>
            </w:pPr>
            <w:r>
              <w:rPr>
                <w:rFonts w:ascii="Arial" w:eastAsia="Arial" w:hAnsi="Arial" w:cs="Arial"/>
                <w:i/>
                <w:iCs/>
                <w:bdr w:val="nil"/>
                <w:lang w:val="it-IT"/>
              </w:rPr>
              <w:t xml:space="preserve">Secondo la Direttiva 2012/19/UE del Parlamento e del Consiglio europeo del 4 luglio 2012 sui rifiuti di apparecchiature elettriche ed elettroniche (RAEE), il MiniTwist di Select BioProducts è contrassegnato dal simbolo raffigurante il bidone della spazzatura con ruote barrato da una croce e non deve essere gettato nei rifiuti domestici. </w:t>
            </w:r>
          </w:p>
          <w:p w:rsidR="007256D5" w:rsidRPr="00465906" w:rsidRDefault="00733C46" w:rsidP="007256D5">
            <w:pPr>
              <w:jc w:val="both"/>
              <w:rPr>
                <w:rFonts w:ascii="Arial" w:hAnsi="Arial" w:cs="Arial"/>
                <w:i/>
                <w:iCs/>
                <w:lang w:val="it-IT"/>
              </w:rPr>
            </w:pPr>
          </w:p>
          <w:p w:rsidR="007256D5" w:rsidRPr="00465906" w:rsidRDefault="00465906" w:rsidP="007256D5">
            <w:pPr>
              <w:autoSpaceDE w:val="0"/>
              <w:autoSpaceDN w:val="0"/>
              <w:adjustRightInd w:val="0"/>
              <w:rPr>
                <w:rFonts w:ascii="Arial" w:hAnsi="Arial" w:cs="Arial"/>
                <w:sz w:val="22"/>
                <w:szCs w:val="22"/>
                <w:lang w:val="it-IT"/>
              </w:rPr>
            </w:pPr>
            <w:r>
              <w:rPr>
                <w:rFonts w:ascii="Arial" w:eastAsia="Arial" w:hAnsi="Arial" w:cs="Arial"/>
                <w:i/>
                <w:iCs/>
                <w:bdr w:val="nil"/>
                <w:lang w:val="it-IT"/>
              </w:rPr>
              <w:t xml:space="preserve">Di conseguenza l’acquirente dovrà seguire le istruzioni per il riuso e il riciclo dei rifiuti di apparecchiature elettriche ed elettroniche (RAEE) fornite insieme al prodotto e disponibili al seguente link: </w:t>
            </w:r>
            <w:hyperlink r:id="rId17" w:history="1">
              <w:r>
                <w:rPr>
                  <w:rFonts w:ascii="Arial" w:eastAsia="Arial" w:hAnsi="Arial" w:cs="Arial"/>
                  <w:i/>
                  <w:iCs/>
                  <w:color w:val="0000FF"/>
                  <w:u w:val="single"/>
                  <w:bdr w:val="nil"/>
                  <w:lang w:val="it-IT"/>
                </w:rPr>
                <w:t>www.corning.com/weee</w:t>
              </w:r>
            </w:hyperlink>
          </w:p>
        </w:tc>
      </w:tr>
    </w:tbl>
    <w:p w:rsidR="006B4F69" w:rsidRPr="00465906" w:rsidRDefault="00733C46" w:rsidP="006B4F69">
      <w:pPr>
        <w:autoSpaceDE w:val="0"/>
        <w:autoSpaceDN w:val="0"/>
        <w:adjustRightInd w:val="0"/>
        <w:rPr>
          <w:rFonts w:ascii="Arial" w:hAnsi="Arial" w:cs="Arial"/>
          <w:sz w:val="22"/>
          <w:szCs w:val="22"/>
          <w:lang w:val="it-IT"/>
        </w:rPr>
      </w:pPr>
    </w:p>
    <w:p w:rsidR="006B4F69" w:rsidRPr="00465906" w:rsidRDefault="00733C46" w:rsidP="007256D5">
      <w:pPr>
        <w:autoSpaceDE w:val="0"/>
        <w:autoSpaceDN w:val="0"/>
        <w:rPr>
          <w:rFonts w:ascii="Arial" w:hAnsi="Arial" w:cs="Arial"/>
          <w:i/>
          <w:iCs/>
          <w:lang w:val="it-IT"/>
        </w:rPr>
      </w:pPr>
    </w:p>
    <w:p w:rsidR="00F85EBF" w:rsidRPr="00465906" w:rsidRDefault="00733C46" w:rsidP="007256D5">
      <w:pPr>
        <w:autoSpaceDE w:val="0"/>
        <w:autoSpaceDN w:val="0"/>
        <w:adjustRightInd w:val="0"/>
        <w:rPr>
          <w:rFonts w:ascii="Arial" w:hAnsi="Arial" w:cs="Arial"/>
          <w:sz w:val="18"/>
          <w:szCs w:val="18"/>
          <w:lang w:val="it-IT"/>
        </w:rPr>
      </w:pPr>
    </w:p>
    <w:p w:rsidR="006F1E3C" w:rsidRPr="00465906" w:rsidRDefault="00733C46" w:rsidP="007256D5">
      <w:pPr>
        <w:autoSpaceDE w:val="0"/>
        <w:autoSpaceDN w:val="0"/>
        <w:adjustRightInd w:val="0"/>
        <w:rPr>
          <w:rFonts w:ascii="Arial" w:hAnsi="Arial" w:cs="Arial"/>
          <w:sz w:val="18"/>
          <w:szCs w:val="18"/>
          <w:lang w:val="it-IT"/>
        </w:rPr>
      </w:pPr>
    </w:p>
    <w:p w:rsidR="006F1E3C" w:rsidRPr="00465906" w:rsidRDefault="00733C46" w:rsidP="007256D5">
      <w:pPr>
        <w:autoSpaceDE w:val="0"/>
        <w:autoSpaceDN w:val="0"/>
        <w:adjustRightInd w:val="0"/>
        <w:rPr>
          <w:rFonts w:ascii="Arial" w:hAnsi="Arial" w:cs="Arial"/>
          <w:sz w:val="18"/>
          <w:szCs w:val="18"/>
          <w:lang w:val="it-IT"/>
        </w:rPr>
      </w:pPr>
    </w:p>
    <w:p w:rsidR="006F1E3C" w:rsidRPr="00465906" w:rsidRDefault="00733C46" w:rsidP="007256D5">
      <w:pPr>
        <w:autoSpaceDE w:val="0"/>
        <w:autoSpaceDN w:val="0"/>
        <w:adjustRightInd w:val="0"/>
        <w:rPr>
          <w:rFonts w:ascii="Arial" w:hAnsi="Arial" w:cs="Arial"/>
          <w:sz w:val="18"/>
          <w:szCs w:val="18"/>
          <w:lang w:val="it-IT"/>
        </w:rPr>
      </w:pPr>
    </w:p>
    <w:p w:rsidR="006F1E3C" w:rsidRPr="00465906" w:rsidRDefault="00733C46" w:rsidP="007256D5">
      <w:pPr>
        <w:autoSpaceDE w:val="0"/>
        <w:autoSpaceDN w:val="0"/>
        <w:adjustRightInd w:val="0"/>
        <w:rPr>
          <w:rFonts w:ascii="Arial" w:hAnsi="Arial" w:cs="Arial"/>
          <w:sz w:val="18"/>
          <w:szCs w:val="18"/>
          <w:lang w:val="it-IT"/>
        </w:rPr>
      </w:pPr>
    </w:p>
    <w:p w:rsidR="006F1E3C" w:rsidRPr="00465906" w:rsidRDefault="00733C46" w:rsidP="007256D5">
      <w:pPr>
        <w:autoSpaceDE w:val="0"/>
        <w:autoSpaceDN w:val="0"/>
        <w:adjustRightInd w:val="0"/>
        <w:rPr>
          <w:rFonts w:ascii="Arial" w:hAnsi="Arial" w:cs="Arial"/>
          <w:sz w:val="18"/>
          <w:szCs w:val="18"/>
          <w:lang w:val="it-IT"/>
        </w:rPr>
      </w:pPr>
    </w:p>
    <w:p w:rsidR="00F85EBF" w:rsidRPr="00465906" w:rsidRDefault="00733C46" w:rsidP="007256D5">
      <w:pPr>
        <w:autoSpaceDE w:val="0"/>
        <w:autoSpaceDN w:val="0"/>
        <w:adjustRightInd w:val="0"/>
        <w:rPr>
          <w:rFonts w:ascii="Arial" w:hAnsi="Arial" w:cs="Arial"/>
          <w:sz w:val="18"/>
          <w:szCs w:val="18"/>
          <w:lang w:val="it-IT"/>
        </w:rPr>
      </w:pPr>
    </w:p>
    <w:p w:rsidR="00F85EBF" w:rsidRPr="00465906" w:rsidRDefault="00733C46" w:rsidP="007256D5">
      <w:pPr>
        <w:autoSpaceDE w:val="0"/>
        <w:autoSpaceDN w:val="0"/>
        <w:adjustRightInd w:val="0"/>
        <w:rPr>
          <w:rFonts w:ascii="Arial" w:hAnsi="Arial" w:cs="Arial"/>
          <w:sz w:val="18"/>
          <w:szCs w:val="18"/>
          <w:lang w:val="it-IT"/>
        </w:rPr>
      </w:pPr>
    </w:p>
    <w:p w:rsidR="006F1E3C" w:rsidRPr="00465906" w:rsidRDefault="00733C46" w:rsidP="007256D5">
      <w:pPr>
        <w:rPr>
          <w:rFonts w:ascii="Arial" w:hAnsi="Arial" w:cs="Arial"/>
          <w:sz w:val="18"/>
          <w:szCs w:val="18"/>
          <w:lang w:val="it-IT"/>
        </w:rPr>
        <w:sectPr w:rsidR="006F1E3C" w:rsidRPr="00465906" w:rsidSect="00DF6AD7">
          <w:footerReference w:type="first" r:id="rId18"/>
          <w:pgSz w:w="12240" w:h="15840"/>
          <w:pgMar w:top="1296" w:right="1584" w:bottom="900" w:left="1440" w:header="720" w:footer="720" w:gutter="0"/>
          <w:cols w:space="720"/>
          <w:titlePg/>
          <w:docGrid w:linePitch="360"/>
        </w:sectPr>
      </w:pPr>
    </w:p>
    <w:p w:rsidR="00082D29" w:rsidRPr="00465906" w:rsidRDefault="00465906" w:rsidP="006B4F69">
      <w:pPr>
        <w:tabs>
          <w:tab w:val="left" w:pos="8190"/>
        </w:tabs>
        <w:autoSpaceDE w:val="0"/>
        <w:autoSpaceDN w:val="0"/>
        <w:adjustRightInd w:val="0"/>
        <w:ind w:right="360"/>
        <w:jc w:val="center"/>
        <w:rPr>
          <w:rFonts w:ascii="Eurostile" w:hAnsi="Eurostile"/>
          <w:sz w:val="22"/>
          <w:szCs w:val="22"/>
          <w:lang w:val="it-IT"/>
        </w:rPr>
      </w:pPr>
      <w:r>
        <w:rPr>
          <w:rFonts w:eastAsia="Times New Roman"/>
          <w:b/>
          <w:bCs/>
          <w:sz w:val="36"/>
          <w:szCs w:val="36"/>
          <w:bdr w:val="nil"/>
          <w:lang w:val="it-IT" w:eastAsia="en-US"/>
        </w:rPr>
        <w:lastRenderedPageBreak/>
        <w:t>Garanzia limitata</w:t>
      </w:r>
    </w:p>
    <w:p w:rsidR="00082D29" w:rsidRPr="00733C46" w:rsidRDefault="00733C46" w:rsidP="00082D29">
      <w:pPr>
        <w:autoSpaceDE w:val="0"/>
        <w:autoSpaceDN w:val="0"/>
        <w:adjustRightInd w:val="0"/>
        <w:jc w:val="both"/>
        <w:rPr>
          <w:sz w:val="20"/>
          <w:szCs w:val="8"/>
          <w:lang w:val="it-IT"/>
        </w:rPr>
      </w:pPr>
    </w:p>
    <w:p w:rsidR="00082D29" w:rsidRPr="00465906" w:rsidRDefault="00465906" w:rsidP="00082D29">
      <w:pPr>
        <w:jc w:val="both"/>
        <w:rPr>
          <w:rFonts w:ascii="Arial" w:hAnsi="Arial" w:cs="Arial"/>
          <w:noProof/>
          <w:sz w:val="22"/>
          <w:szCs w:val="16"/>
          <w:lang w:val="it-IT"/>
        </w:rPr>
      </w:pPr>
      <w:r>
        <w:rPr>
          <w:rFonts w:ascii="Arial" w:eastAsia="Arial" w:hAnsi="Arial" w:cs="Arial"/>
          <w:noProof/>
          <w:sz w:val="22"/>
          <w:szCs w:val="22"/>
          <w:bdr w:val="nil"/>
          <w:lang w:val="it-IT"/>
        </w:rPr>
        <w:t>SelectBio Products dichiara che il prodotto è privo di difetti di materiali e lavorazione per un periodo di due (2) anni dalla data di acquisto. La presente garanzia è valida solo se il prodotto viene utilizzato per lo scopo previsto e secondo le linee guida specificate nel manuale di istruzioni fornito.</w:t>
      </w:r>
    </w:p>
    <w:p w:rsidR="00082D29" w:rsidRPr="00465906" w:rsidRDefault="00733C46" w:rsidP="00082D29">
      <w:pPr>
        <w:jc w:val="both"/>
        <w:rPr>
          <w:rFonts w:ascii="Arial" w:hAnsi="Arial" w:cs="Arial"/>
          <w:noProof/>
          <w:sz w:val="22"/>
          <w:szCs w:val="16"/>
          <w:lang w:val="it-IT"/>
        </w:rPr>
      </w:pPr>
    </w:p>
    <w:p w:rsidR="00082D29" w:rsidRPr="00465906" w:rsidRDefault="00733C46" w:rsidP="00082D29">
      <w:pPr>
        <w:jc w:val="both"/>
        <w:rPr>
          <w:rFonts w:ascii="Arial" w:hAnsi="Arial" w:cs="Arial"/>
          <w:noProof/>
          <w:sz w:val="22"/>
          <w:szCs w:val="16"/>
          <w:lang w:val="it-IT"/>
        </w:rPr>
      </w:pPr>
    </w:p>
    <w:p w:rsidR="00082D29" w:rsidRPr="00465906" w:rsidRDefault="00465906" w:rsidP="00082D29">
      <w:pPr>
        <w:jc w:val="both"/>
        <w:rPr>
          <w:rFonts w:ascii="Arial" w:hAnsi="Arial" w:cs="Arial"/>
          <w:noProof/>
          <w:sz w:val="22"/>
          <w:szCs w:val="16"/>
          <w:lang w:val="it-IT"/>
        </w:rPr>
      </w:pPr>
      <w:r>
        <w:rPr>
          <w:rFonts w:ascii="Arial" w:eastAsia="Arial" w:hAnsi="Arial" w:cs="Arial"/>
          <w:noProof/>
          <w:sz w:val="22"/>
          <w:szCs w:val="22"/>
          <w:bdr w:val="nil"/>
          <w:lang w:val="it-IT"/>
        </w:rPr>
        <w:t>Nel caso in cui il prodotto dovesse aver bisogno di assistenza, contattare l’ufficio assistenza di SelectBio Products al numero 732-417-0700 per ricevere un numero di autorizzazione al reso e istruzioni sulla spedizione. I prodotti ricevuti senza l’opportuna autorizzazione saranno restituiti. Tutti gli articoli resi per assistenza devono essere inviati in busta preaffrancata nella confezione originale o in un’altra scatola di cartone idonea e imbottiti per evitare danni. SelectBio Products non sarà responsabile per danni derivanti da uno scorretto imballaggio. SelectBio Products. può optare per l’assistenza in sede per apparecchi di grandi dimensioni.</w:t>
      </w:r>
    </w:p>
    <w:p w:rsidR="00082D29" w:rsidRPr="00465906" w:rsidRDefault="00733C46" w:rsidP="00082D29">
      <w:pPr>
        <w:jc w:val="both"/>
        <w:rPr>
          <w:rFonts w:ascii="Arial" w:hAnsi="Arial" w:cs="Arial"/>
          <w:noProof/>
          <w:sz w:val="22"/>
          <w:szCs w:val="16"/>
          <w:lang w:val="it-IT"/>
        </w:rPr>
      </w:pPr>
    </w:p>
    <w:p w:rsidR="00082D29" w:rsidRPr="00465906" w:rsidRDefault="00465906" w:rsidP="00082D29">
      <w:pPr>
        <w:jc w:val="both"/>
        <w:rPr>
          <w:rFonts w:ascii="Arial" w:hAnsi="Arial" w:cs="Arial"/>
          <w:noProof/>
          <w:sz w:val="22"/>
          <w:szCs w:val="16"/>
          <w:lang w:val="it-IT"/>
        </w:rPr>
      </w:pPr>
      <w:r>
        <w:rPr>
          <w:rFonts w:ascii="Arial" w:eastAsia="Arial" w:hAnsi="Arial" w:cs="Arial"/>
          <w:noProof/>
          <w:sz w:val="22"/>
          <w:szCs w:val="22"/>
          <w:bdr w:val="nil"/>
          <w:lang w:val="it-IT"/>
        </w:rPr>
        <w:t>La presente garanzia non copre i danni causati da incidenti, negligenza, uso errato o improprio, forze naturali o altre cause non attribuibili a difetti di materiali o lavorazione originali. La presente garanzia non riguarda le spazzole, i fusibili, le lampadine, le batterie o danni alla vernice o alle finiture del motore. Eventuali richieste di risarcimento per danni da trasporto dovranno essere presentate al corriere.</w:t>
      </w:r>
    </w:p>
    <w:p w:rsidR="00082D29" w:rsidRPr="00465906" w:rsidRDefault="00733C46" w:rsidP="00082D29">
      <w:pPr>
        <w:jc w:val="both"/>
        <w:rPr>
          <w:rFonts w:ascii="Arial" w:hAnsi="Arial" w:cs="Arial"/>
          <w:noProof/>
          <w:sz w:val="22"/>
          <w:szCs w:val="16"/>
          <w:lang w:val="it-IT"/>
        </w:rPr>
      </w:pPr>
    </w:p>
    <w:p w:rsidR="00082D29" w:rsidRPr="00465906" w:rsidRDefault="00465906" w:rsidP="00082D29">
      <w:pPr>
        <w:jc w:val="both"/>
        <w:rPr>
          <w:rFonts w:ascii="Arial" w:hAnsi="Arial" w:cs="Arial"/>
          <w:noProof/>
          <w:sz w:val="22"/>
          <w:szCs w:val="16"/>
          <w:lang w:val="it-IT"/>
        </w:rPr>
      </w:pPr>
      <w:r>
        <w:rPr>
          <w:rFonts w:ascii="Arial" w:eastAsia="Arial" w:hAnsi="Arial" w:cs="Arial"/>
          <w:noProof/>
          <w:sz w:val="22"/>
          <w:szCs w:val="22"/>
          <w:bdr w:val="nil"/>
          <w:lang w:val="it-IT"/>
        </w:rPr>
        <w:t>TUTTE LE GARANZIE INCLUSE QUELLE IMPLICITE DI COMMERCIABILITÀ E IDONEITÀ ALL’USO SONO LIMITATE A 24 MESI DALLA DATA INIZIALE DI ACQUISTO.</w:t>
      </w:r>
    </w:p>
    <w:p w:rsidR="00082D29" w:rsidRPr="00465906" w:rsidRDefault="00733C46" w:rsidP="00082D29">
      <w:pPr>
        <w:jc w:val="both"/>
        <w:rPr>
          <w:rFonts w:ascii="Arial" w:hAnsi="Arial" w:cs="Arial"/>
          <w:noProof/>
          <w:sz w:val="22"/>
          <w:szCs w:val="16"/>
          <w:lang w:val="it-IT"/>
        </w:rPr>
      </w:pPr>
    </w:p>
    <w:p w:rsidR="00082D29" w:rsidRPr="00465906" w:rsidRDefault="00465906" w:rsidP="00082D29">
      <w:pPr>
        <w:jc w:val="both"/>
        <w:rPr>
          <w:rFonts w:ascii="Arial" w:hAnsi="Arial" w:cs="Arial"/>
          <w:noProof/>
          <w:sz w:val="22"/>
          <w:szCs w:val="16"/>
          <w:lang w:val="it-IT"/>
        </w:rPr>
      </w:pPr>
      <w:r>
        <w:rPr>
          <w:rFonts w:ascii="Arial" w:eastAsia="Arial" w:hAnsi="Arial" w:cs="Arial"/>
          <w:noProof/>
          <w:sz w:val="22"/>
          <w:szCs w:val="22"/>
          <w:bdr w:val="nil"/>
          <w:lang w:val="it-IT"/>
        </w:rPr>
        <w:t>L’UNICO OBBLIGO DI SELECTBIO PRODUCTS AI SENSI DELLA PRESENTE GARANZIA SI LIMITA ALLA RIPARAZIONE O SOSTITUZIONE, A DISCREZIONE DI SELECTBIO PRODUCTS., DI UN PRODOTTO DIFETTOSO. SELECTBIO PRODUCTS NON È RESPONSABILE PER DANNI INCIDENTALI O CONSEQUENZIALI, PERDITE COMMERCIALI O ALTRI DANNI DERIVANTI DALL’USO DI QUESTO PRODOTTO.</w:t>
      </w:r>
    </w:p>
    <w:p w:rsidR="00082D29" w:rsidRPr="00465906" w:rsidRDefault="00733C46" w:rsidP="00082D29">
      <w:pPr>
        <w:jc w:val="both"/>
        <w:rPr>
          <w:rFonts w:ascii="Arial" w:hAnsi="Arial" w:cs="Arial"/>
          <w:noProof/>
          <w:sz w:val="22"/>
          <w:szCs w:val="16"/>
          <w:lang w:val="it-IT"/>
        </w:rPr>
      </w:pPr>
    </w:p>
    <w:p w:rsidR="00082D29" w:rsidRPr="00465906" w:rsidRDefault="00465906" w:rsidP="00082D29">
      <w:pPr>
        <w:jc w:val="both"/>
        <w:rPr>
          <w:rFonts w:ascii="Arial" w:hAnsi="Arial" w:cs="Arial"/>
          <w:noProof/>
          <w:sz w:val="22"/>
          <w:szCs w:val="16"/>
          <w:lang w:val="it-IT"/>
        </w:rPr>
      </w:pPr>
      <w:r>
        <w:rPr>
          <w:rFonts w:ascii="Arial" w:eastAsia="Arial" w:hAnsi="Arial" w:cs="Arial"/>
          <w:noProof/>
          <w:sz w:val="22"/>
          <w:szCs w:val="22"/>
          <w:bdr w:val="nil"/>
          <w:lang w:val="it-IT"/>
        </w:rPr>
        <w:t>Alcuni Stati non consentono limitazioni alla durata delle garanzie implicite o l’esclusione o limitazione di danni incidentali o consequenziali. Questa garanzia attribuisce all’utente specifici diritti legali. Potrebbero esserci altri diritti che variano da stato a stato.</w:t>
      </w:r>
    </w:p>
    <w:p w:rsidR="00082D29" w:rsidRPr="00465906" w:rsidRDefault="00733C46" w:rsidP="00082D29">
      <w:pPr>
        <w:jc w:val="both"/>
        <w:rPr>
          <w:rFonts w:ascii="Arial" w:hAnsi="Arial" w:cs="Arial"/>
          <w:noProof/>
          <w:sz w:val="22"/>
          <w:szCs w:val="16"/>
          <w:lang w:val="it-IT"/>
        </w:rPr>
      </w:pPr>
    </w:p>
    <w:p w:rsidR="00082D29" w:rsidRPr="00465906" w:rsidRDefault="00465906" w:rsidP="00082D29">
      <w:pPr>
        <w:jc w:val="both"/>
        <w:rPr>
          <w:rFonts w:ascii="Arial" w:hAnsi="Arial" w:cs="Arial"/>
          <w:noProof/>
          <w:sz w:val="22"/>
          <w:szCs w:val="16"/>
          <w:lang w:val="it-IT"/>
        </w:rPr>
      </w:pPr>
      <w:r>
        <w:rPr>
          <w:rFonts w:ascii="Arial" w:eastAsia="Arial" w:hAnsi="Arial" w:cs="Arial"/>
          <w:noProof/>
          <w:sz w:val="22"/>
          <w:szCs w:val="22"/>
          <w:bdr w:val="nil"/>
          <w:lang w:val="it-IT"/>
        </w:rPr>
        <w:t xml:space="preserve">Nessun individuo può accettare a nome o per conto di SelectBioProducts altri obblighi o limitazioni, né estendere il periodo della presente garanzia. </w:t>
      </w:r>
    </w:p>
    <w:p w:rsidR="00082D29" w:rsidRPr="00733C46" w:rsidRDefault="00733C46" w:rsidP="00082D29">
      <w:pPr>
        <w:jc w:val="both"/>
        <w:rPr>
          <w:rFonts w:ascii="Arial" w:hAnsi="Arial" w:cs="Arial"/>
          <w:noProof/>
          <w:sz w:val="16"/>
          <w:szCs w:val="11"/>
          <w:lang w:val="it-IT"/>
        </w:rPr>
      </w:pPr>
    </w:p>
    <w:p w:rsidR="00F85EBF" w:rsidRPr="00733C46" w:rsidRDefault="00733C46" w:rsidP="00232F56">
      <w:pPr>
        <w:jc w:val="both"/>
        <w:rPr>
          <w:rFonts w:ascii="Arial" w:hAnsi="Arial" w:cs="Arial"/>
          <w:noProof/>
          <w:sz w:val="14"/>
          <w:szCs w:val="11"/>
          <w:lang w:val="it-IT"/>
        </w:rPr>
      </w:pPr>
    </w:p>
    <w:p w:rsidR="007256D5" w:rsidRPr="00733C46" w:rsidRDefault="00465906" w:rsidP="007256D5">
      <w:pPr>
        <w:ind w:left="1440" w:firstLine="720"/>
        <w:rPr>
          <w:rFonts w:ascii="Arial" w:hAnsi="Arial" w:cs="Arial"/>
          <w:b/>
          <w:i/>
          <w:sz w:val="22"/>
          <w:szCs w:val="22"/>
          <w:lang w:val="it-IT"/>
        </w:rPr>
      </w:pPr>
      <w:r w:rsidRPr="00733C46">
        <w:rPr>
          <w:rFonts w:ascii="Arial" w:hAnsi="Arial" w:cs="Arial"/>
          <w:noProof/>
          <w:sz w:val="14"/>
          <w:szCs w:val="11"/>
          <w:lang w:val="it-IT"/>
        </w:rPr>
        <w:t xml:space="preserve"> </w:t>
      </w:r>
    </w:p>
    <w:tbl>
      <w:tblPr>
        <w:tblStyle w:val="TableGrid"/>
        <w:tblW w:w="0" w:type="auto"/>
        <w:tblInd w:w="1440" w:type="dxa"/>
        <w:tblLook w:val="04A0"/>
      </w:tblPr>
      <w:tblGrid>
        <w:gridCol w:w="6138"/>
      </w:tblGrid>
      <w:tr w:rsidR="0055120D" w:rsidTr="007256D5">
        <w:tc>
          <w:tcPr>
            <w:tcW w:w="6138" w:type="dxa"/>
          </w:tcPr>
          <w:p w:rsidR="007256D5" w:rsidRPr="00465906" w:rsidRDefault="00465906" w:rsidP="007256D5">
            <w:pPr>
              <w:jc w:val="center"/>
              <w:rPr>
                <w:rFonts w:ascii="Arial" w:hAnsi="Arial" w:cs="Arial"/>
                <w:b/>
                <w:i/>
                <w:lang w:val="it-IT"/>
              </w:rPr>
            </w:pPr>
            <w:r>
              <w:rPr>
                <w:rFonts w:ascii="Arial" w:eastAsia="Arial" w:hAnsi="Arial" w:cs="Arial"/>
                <w:b/>
                <w:bCs/>
                <w:i/>
                <w:iCs/>
                <w:bdr w:val="nil"/>
                <w:lang w:val="it-IT"/>
              </w:rPr>
              <w:t>Registrare il prodotto online all’indirizzo:</w:t>
            </w:r>
          </w:p>
          <w:p w:rsidR="007256D5" w:rsidRDefault="00465906" w:rsidP="007256D5">
            <w:pPr>
              <w:jc w:val="center"/>
              <w:rPr>
                <w:rFonts w:ascii="Arial" w:hAnsi="Arial" w:cs="Arial"/>
                <w:b/>
                <w:i/>
              </w:rPr>
            </w:pPr>
            <w:r>
              <w:rPr>
                <w:rFonts w:ascii="Arial" w:eastAsia="Arial" w:hAnsi="Arial" w:cs="Arial"/>
                <w:b/>
                <w:bCs/>
                <w:i/>
                <w:iCs/>
                <w:bdr w:val="nil"/>
                <w:lang w:val="it-IT"/>
              </w:rPr>
              <w:t>www.selectbioproducts.com</w:t>
            </w:r>
          </w:p>
        </w:tc>
      </w:tr>
    </w:tbl>
    <w:p w:rsidR="006B4F69" w:rsidRPr="00733C46" w:rsidRDefault="00733C46" w:rsidP="007256D5">
      <w:pPr>
        <w:ind w:left="1440" w:firstLine="720"/>
        <w:rPr>
          <w:rFonts w:ascii="Arial" w:hAnsi="Arial" w:cs="Arial"/>
          <w:b/>
          <w:i/>
          <w:sz w:val="22"/>
          <w:szCs w:val="22"/>
        </w:rPr>
      </w:pPr>
    </w:p>
    <w:p w:rsidR="006B4F69" w:rsidRPr="00733C46" w:rsidRDefault="00817918" w:rsidP="006B4F69">
      <w:pPr>
        <w:jc w:val="center"/>
        <w:rPr>
          <w:rFonts w:ascii="Arial" w:hAnsi="Arial" w:cs="Arial"/>
          <w:sz w:val="16"/>
          <w:szCs w:val="16"/>
        </w:rPr>
      </w:pPr>
      <w:r w:rsidRPr="00733C46">
        <w:rPr>
          <w:noProof/>
          <w:sz w:val="22"/>
          <w:szCs w:val="22"/>
          <w:lang w:eastAsia="en-US"/>
        </w:rPr>
        <w:pict>
          <v:rect id="Rectangle 29" o:spid="_x0000_s1028" style="position:absolute;left:0;text-align:left;margin-left:182.25pt;margin-top:560.7pt;width:250.5pt;height:40.5pt;z-index:251662336;visibility:visible" filled="f"/>
        </w:pict>
      </w:r>
    </w:p>
    <w:p w:rsidR="00F85EBF" w:rsidRPr="00733C46" w:rsidRDefault="00733C46" w:rsidP="00232F56">
      <w:pPr>
        <w:jc w:val="both"/>
        <w:rPr>
          <w:rFonts w:ascii="Arial" w:hAnsi="Arial" w:cs="Arial"/>
          <w:noProof/>
          <w:sz w:val="14"/>
          <w:szCs w:val="11"/>
        </w:rPr>
      </w:pPr>
    </w:p>
    <w:p w:rsidR="00232F56" w:rsidRPr="00733C46" w:rsidRDefault="00733C46" w:rsidP="00232F56">
      <w:pPr>
        <w:jc w:val="both"/>
        <w:rPr>
          <w:rFonts w:ascii="Arial" w:hAnsi="Arial" w:cs="Arial"/>
          <w:noProof/>
          <w:sz w:val="14"/>
          <w:szCs w:val="11"/>
        </w:rPr>
      </w:pPr>
    </w:p>
    <w:p w:rsidR="00F85EBF" w:rsidRPr="00733C46" w:rsidRDefault="00733C46" w:rsidP="00F85EBF">
      <w:pPr>
        <w:ind w:firstLine="90"/>
        <w:rPr>
          <w:rFonts w:ascii="Arial" w:hAnsi="Arial" w:cs="Arial"/>
          <w:b/>
          <w:sz w:val="22"/>
          <w:szCs w:val="22"/>
        </w:rPr>
      </w:pPr>
    </w:p>
    <w:p w:rsidR="00175795" w:rsidRPr="00465906" w:rsidRDefault="00465906" w:rsidP="00E5168C">
      <w:pPr>
        <w:ind w:right="-1440"/>
        <w:rPr>
          <w:rFonts w:ascii="Arial" w:hAnsi="Arial" w:cs="Arial"/>
          <w:sz w:val="16"/>
          <w:szCs w:val="16"/>
          <w:lang w:val="it-IT"/>
        </w:rPr>
      </w:pPr>
      <w:r>
        <w:rPr>
          <w:rFonts w:ascii="Arial" w:eastAsia="Arial" w:hAnsi="Arial" w:cs="Arial"/>
          <w:b/>
          <w:bCs/>
          <w:sz w:val="20"/>
          <w:szCs w:val="20"/>
          <w:bdr w:val="nil"/>
          <w:lang w:val="it-IT"/>
        </w:rPr>
        <w:t>Garanzia/Esclusione di responsabilità:</w:t>
      </w:r>
      <w:r>
        <w:rPr>
          <w:rFonts w:ascii="Arial" w:eastAsia="Arial" w:hAnsi="Arial" w:cs="Arial"/>
          <w:sz w:val="20"/>
          <w:szCs w:val="20"/>
          <w:bdr w:val="nil"/>
          <w:lang w:val="it-IT"/>
        </w:rPr>
        <w:t xml:space="preserve"> Salvo diversamente specificato, tutti i prodotti sono usati solo per scopi di ricerca. Non sono pensati </w:t>
      </w:r>
      <w:r>
        <w:rPr>
          <w:rFonts w:ascii="Arial" w:eastAsia="Arial" w:hAnsi="Arial" w:cs="Arial"/>
          <w:sz w:val="20"/>
          <w:szCs w:val="20"/>
          <w:bdr w:val="nil"/>
          <w:lang w:val="it-IT"/>
        </w:rPr>
        <w:br/>
        <w:t xml:space="preserve">per essere usati in procedure diagnostiche o terapeutiche. Select BioProducts non fa dichiarazioni sulle </w:t>
      </w:r>
      <w:r>
        <w:rPr>
          <w:rFonts w:ascii="Arial" w:eastAsia="Arial" w:hAnsi="Arial" w:cs="Arial"/>
          <w:sz w:val="20"/>
          <w:szCs w:val="20"/>
          <w:bdr w:val="nil"/>
          <w:lang w:val="it-IT"/>
        </w:rPr>
        <w:br/>
        <w:t>prestazioni di questi prodotti per applicazioni cliniche o diagnostiche.</w:t>
      </w:r>
    </w:p>
    <w:p w:rsidR="007256D5" w:rsidRPr="00465906" w:rsidRDefault="00733C46" w:rsidP="00F85EBF">
      <w:pPr>
        <w:ind w:firstLine="90"/>
        <w:rPr>
          <w:rFonts w:ascii="Arial" w:hAnsi="Arial" w:cs="Arial"/>
          <w:b/>
          <w:lang w:val="it-IT"/>
        </w:rPr>
      </w:pPr>
    </w:p>
    <w:p w:rsidR="00F85EBF" w:rsidRPr="00995025" w:rsidRDefault="00465906" w:rsidP="00995025">
      <w:pPr>
        <w:jc w:val="right"/>
        <w:rPr>
          <w:rFonts w:ascii="Arial" w:hAnsi="Arial" w:cs="Arial"/>
          <w:sz w:val="20"/>
        </w:rPr>
      </w:pPr>
      <w:r>
        <w:rPr>
          <w:rFonts w:ascii="Arial" w:eastAsia="Arial" w:hAnsi="Arial" w:cs="Arial"/>
          <w:sz w:val="20"/>
          <w:szCs w:val="20"/>
          <w:bdr w:val="nil"/>
          <w:lang w:val="it-IT"/>
        </w:rPr>
        <w:t>9299450000</w:t>
      </w:r>
    </w:p>
    <w:sectPr w:rsidR="00F85EBF" w:rsidRPr="00995025" w:rsidSect="00082D29">
      <w:headerReference w:type="default" r:id="rId19"/>
      <w:pgSz w:w="12240" w:h="15840"/>
      <w:pgMar w:top="1296" w:right="1584" w:bottom="1296"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120D" w:rsidRDefault="0055120D" w:rsidP="0055120D">
      <w:r>
        <w:separator/>
      </w:r>
    </w:p>
  </w:endnote>
  <w:endnote w:type="continuationSeparator" w:id="0">
    <w:p w:rsidR="0055120D" w:rsidRDefault="0055120D" w:rsidP="0055120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rningSans-Bold">
    <w:altName w:val="Corning Sans"/>
    <w:panose1 w:val="00000000000000000000"/>
    <w:charset w:val="4D"/>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rningSans">
    <w:altName w:val="Corning Sans"/>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Eurostile">
    <w:altName w:val="Segoe Script"/>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Bold">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6AD7" w:rsidRPr="00DF6AD7" w:rsidRDefault="00465906" w:rsidP="00426D84">
    <w:pPr>
      <w:tabs>
        <w:tab w:val="left" w:pos="7200"/>
      </w:tabs>
      <w:autoSpaceDE w:val="0"/>
      <w:autoSpaceDN w:val="0"/>
      <w:adjustRightInd w:val="0"/>
      <w:rPr>
        <w:rFonts w:ascii="Arial" w:hAnsi="Arial" w:cs="Arial"/>
        <w:b/>
        <w:bCs/>
        <w:sz w:val="18"/>
        <w:szCs w:val="18"/>
      </w:rPr>
    </w:pPr>
    <w:r>
      <w:rPr>
        <w:rFonts w:ascii="Arial" w:eastAsia="Arial" w:hAnsi="Arial" w:cs="Arial"/>
        <w:b/>
        <w:bCs/>
        <w:sz w:val="18"/>
        <w:szCs w:val="18"/>
        <w:bdr w:val="nil"/>
        <w:lang w:val="it-IT"/>
      </w:rPr>
      <w:t xml:space="preserve">Lit M00071 </w:t>
    </w:r>
    <w:r>
      <w:rPr>
        <w:rFonts w:ascii="Arial" w:eastAsia="Arial" w:hAnsi="Arial" w:cs="Arial"/>
        <w:b/>
        <w:bCs/>
        <w:sz w:val="18"/>
        <w:szCs w:val="18"/>
        <w:bdr w:val="nil"/>
        <w:lang w:val="it-IT"/>
      </w:rPr>
      <w:tab/>
      <w:t>Rev.2, luglio 2016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120D" w:rsidRDefault="0055120D" w:rsidP="0055120D">
      <w:r>
        <w:separator/>
      </w:r>
    </w:p>
  </w:footnote>
  <w:footnote w:type="continuationSeparator" w:id="0">
    <w:p w:rsidR="0055120D" w:rsidRDefault="0055120D" w:rsidP="0055120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543C" w:rsidRDefault="00733C46">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stylePaneFormatFilter w:val="3F01"/>
  <w:defaultTabStop w:val="720"/>
  <w:hyphenationZone w:val="283"/>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
  <w:rsids>
    <w:rsidRoot w:val="0055120D"/>
    <w:rsid w:val="00465906"/>
    <w:rsid w:val="0055120D"/>
    <w:rsid w:val="00733C46"/>
    <w:rsid w:val="00817918"/>
  </w:rsids>
  <m:mathPr>
    <m:mathFont m:val="Cambria Math"/>
    <m:brkBin m:val="before"/>
    <m:brkBinSub m:val="--"/>
    <m:smallFrac m:val="off"/>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56E13"/>
    <w:rPr>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85EBF"/>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F85EBF"/>
    <w:rPr>
      <w:color w:val="0000FF"/>
      <w:u w:val="single"/>
    </w:rPr>
  </w:style>
  <w:style w:type="paragraph" w:styleId="Header">
    <w:name w:val="header"/>
    <w:basedOn w:val="Normal"/>
    <w:rsid w:val="006F1E3C"/>
    <w:pPr>
      <w:tabs>
        <w:tab w:val="center" w:pos="4320"/>
        <w:tab w:val="right" w:pos="8640"/>
      </w:tabs>
    </w:pPr>
  </w:style>
  <w:style w:type="paragraph" w:styleId="Footer">
    <w:name w:val="footer"/>
    <w:basedOn w:val="Normal"/>
    <w:rsid w:val="006F1E3C"/>
    <w:pPr>
      <w:tabs>
        <w:tab w:val="center" w:pos="4320"/>
        <w:tab w:val="right" w:pos="8640"/>
      </w:tabs>
    </w:pPr>
  </w:style>
  <w:style w:type="paragraph" w:customStyle="1" w:styleId="AboutAHead">
    <w:name w:val="About.. A Head"/>
    <w:basedOn w:val="Normal"/>
    <w:uiPriority w:val="99"/>
    <w:rsid w:val="006B4F69"/>
    <w:pPr>
      <w:widowControl w:val="0"/>
      <w:autoSpaceDE w:val="0"/>
      <w:autoSpaceDN w:val="0"/>
      <w:adjustRightInd w:val="0"/>
      <w:spacing w:before="100" w:after="60" w:line="288" w:lineRule="auto"/>
    </w:pPr>
    <w:rPr>
      <w:rFonts w:ascii="CorningSans-Bold" w:eastAsia="Calibri" w:hAnsi="CorningSans-Bold" w:cs="CorningSans-Bold"/>
      <w:b/>
      <w:bCs/>
      <w:color w:val="000000"/>
      <w:sz w:val="17"/>
      <w:szCs w:val="17"/>
      <w:lang w:eastAsia="en-US"/>
    </w:rPr>
  </w:style>
  <w:style w:type="paragraph" w:customStyle="1" w:styleId="Aboutbody">
    <w:name w:val="About.. body"/>
    <w:basedOn w:val="Normal"/>
    <w:uiPriority w:val="99"/>
    <w:rsid w:val="006B4F69"/>
    <w:pPr>
      <w:widowControl w:val="0"/>
      <w:autoSpaceDE w:val="0"/>
      <w:autoSpaceDN w:val="0"/>
      <w:adjustRightInd w:val="0"/>
      <w:spacing w:after="60" w:line="180" w:lineRule="atLeast"/>
    </w:pPr>
    <w:rPr>
      <w:rFonts w:ascii="CorningSans" w:eastAsia="Calibri" w:hAnsi="CorningSans" w:cs="CorningSans"/>
      <w:color w:val="000000"/>
      <w:sz w:val="15"/>
      <w:szCs w:val="15"/>
      <w:lang w:eastAsia="en-US"/>
    </w:rPr>
  </w:style>
  <w:style w:type="paragraph" w:styleId="BalloonText">
    <w:name w:val="Balloon Text"/>
    <w:basedOn w:val="Normal"/>
    <w:link w:val="BalloonTextChar"/>
    <w:rsid w:val="00CA38B1"/>
    <w:rPr>
      <w:rFonts w:ascii="Tahoma" w:hAnsi="Tahoma" w:cs="Tahoma"/>
      <w:sz w:val="16"/>
      <w:szCs w:val="16"/>
    </w:rPr>
  </w:style>
  <w:style w:type="character" w:customStyle="1" w:styleId="BalloonTextChar">
    <w:name w:val="Balloon Text Char"/>
    <w:basedOn w:val="DefaultParagraphFont"/>
    <w:link w:val="BalloonText"/>
    <w:rsid w:val="00CA38B1"/>
    <w:rPr>
      <w:rFonts w:ascii="Tahoma" w:hAnsi="Tahoma" w:cs="Tahoma"/>
      <w:sz w:val="16"/>
      <w:szCs w:val="16"/>
      <w:lang w:eastAsia="ko-K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hyperlink" Target="http://www.corning.com/weee" TargetMode="External"/><Relationship Id="rId2" Type="http://schemas.openxmlformats.org/officeDocument/2006/relationships/settings" Target="settings.xml"/><Relationship Id="rId16" Type="http://schemas.openxmlformats.org/officeDocument/2006/relationships/image" Target="media/image11.emf"/><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1178</Words>
  <Characters>6888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OPERATING INSTRUCTIONS FOR</vt:lpstr>
    </vt:vector>
  </TitlesOfParts>
  <Company>Labnet</Company>
  <LinksUpToDate>false</LinksUpToDate>
  <CharactersWithSpaces>8050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OPERATING INSTRUCTIONS FOR</dc:title>
  <dc:creator>Pankow, Joan E</dc:creator>
  <cp:keywords>Non-Corning</cp:keywords>
  <cp:lastModifiedBy>nprutting</cp:lastModifiedBy>
  <cp:revision>12</cp:revision>
  <cp:lastPrinted>2016-07-18T15:42:00Z</cp:lastPrinted>
  <dcterms:created xsi:type="dcterms:W3CDTF">2016-08-09T16:37:00Z</dcterms:created>
  <dcterms:modified xsi:type="dcterms:W3CDTF">2016-10-28T19:41:00Z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TCode">
    <vt:lpwstr>NC</vt:lpwstr>
  </property>
  <property fmtid="{D5CDD505-2E9C-101B-9397-08002B2CF9AE}" pid="3" name="CORNINGClassification">
    <vt:lpwstr>Non-Corning</vt:lpwstr>
  </property>
  <property fmtid="{D5CDD505-2E9C-101B-9397-08002B2CF9AE}" pid="4" name="CorningConfigurationVersion">
    <vt:lpwstr>2.2</vt:lpwstr>
  </property>
  <property fmtid="{D5CDD505-2E9C-101B-9397-08002B2CF9AE}" pid="5" name="CorningFullClassification">
    <vt:lpwstr>Non-Corning</vt:lpwstr>
  </property>
  <property fmtid="{D5CDD505-2E9C-101B-9397-08002B2CF9AE}" pid="6" name="TitusGUID">
    <vt:lpwstr>021eb772-8152-4cb4-b9fa-cc881e5ea399</vt:lpwstr>
  </property>
</Properties>
</file>