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A6" w:rsidRPr="00AA5035" w:rsidRDefault="00EE70A7" w:rsidP="00F43EA6">
      <w:pPr>
        <w:autoSpaceDE w:val="0"/>
        <w:autoSpaceDN w:val="0"/>
        <w:adjustRightInd w:val="0"/>
        <w:rPr>
          <w:rFonts w:ascii="Eurostile" w:hAnsi="Eurostile"/>
          <w:b/>
          <w:sz w:val="52"/>
          <w:szCs w:val="52"/>
          <w:lang w:val="pt-PT"/>
        </w:rPr>
      </w:pPr>
      <w:r w:rsidRPr="00EE70A7">
        <w:rPr>
          <w:rFonts w:ascii="Eurostile" w:hAnsi="Eurostile"/>
          <w:b/>
          <w:noProof/>
          <w:sz w:val="48"/>
          <w:szCs w:val="48"/>
          <w:lang w:eastAsia="en-US"/>
        </w:rPr>
        <w:pict>
          <v:line id="Line 44" o:spid="_x0000_s1029" style="position:absolute;z-index:251659264;visibility:visible" from="-41.05pt,79.25pt" to="470.45pt,79.25pt" strokeweight="3pt"/>
        </w:pict>
      </w:r>
      <w:r w:rsidR="00CD19AB">
        <w:rPr>
          <w:rFonts w:ascii="Eurostile" w:eastAsia="Eurostile" w:hAnsi="Eurostile" w:cs="Eurostile"/>
          <w:b/>
          <w:bCs/>
          <w:noProof/>
          <w:sz w:val="52"/>
          <w:szCs w:val="52"/>
          <w:bdr w:val="nil"/>
          <w:lang w:val="pt-PT" w:eastAsia="en-US"/>
        </w:rPr>
        <w:t>MINI TWIST DA SELECT BIOPRODUCTS</w:t>
      </w:r>
    </w:p>
    <w:p w:rsidR="00F43EA6" w:rsidRPr="00AA5035" w:rsidRDefault="00EE70A7" w:rsidP="00F43EA6">
      <w:pPr>
        <w:autoSpaceDE w:val="0"/>
        <w:autoSpaceDN w:val="0"/>
        <w:adjustRightInd w:val="0"/>
        <w:rPr>
          <w:rFonts w:ascii="Arial" w:hAnsi="Arial" w:cs="Arial"/>
          <w:b/>
          <w:bCs/>
          <w:sz w:val="32"/>
          <w:szCs w:val="32"/>
          <w:lang w:val="pt-PT"/>
        </w:rPr>
      </w:pPr>
      <w:r w:rsidRPr="00EE70A7">
        <w:rPr>
          <w:rFonts w:ascii="Eurostile" w:hAnsi="Eurostile"/>
          <w:b/>
          <w:noProof/>
          <w:sz w:val="48"/>
          <w:szCs w:val="48"/>
          <w:lang w:eastAsia="en-US"/>
        </w:rPr>
        <w:pict>
          <v:line id="Line 45" o:spid="_x0000_s1026" style="position:absolute;z-index:251660288;visibility:visible" from="-40.95pt,1.9pt" to="470.55pt,1.9pt" strokecolor="#005a7c" strokeweight="3pt"/>
        </w:pict>
      </w:r>
      <w:r w:rsidR="00CD19AB">
        <w:rPr>
          <w:rFonts w:ascii="Eurostile" w:eastAsia="Eurostile" w:hAnsi="Eurostile" w:cs="Eurostile"/>
          <w:b/>
          <w:bCs/>
          <w:noProof/>
          <w:sz w:val="48"/>
          <w:szCs w:val="48"/>
          <w:bdr w:val="nil"/>
          <w:lang w:val="pt-PT" w:eastAsia="en-US"/>
        </w:rPr>
        <w:t>Manual do Utilizador</w:t>
      </w:r>
    </w:p>
    <w:p w:rsidR="00F43EA6"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F43EA6"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F43EA6"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F43EA6"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AA5035" w:rsidRDefault="00CD19AB"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r>
        <w:rPr>
          <w:rFonts w:ascii="Arial" w:eastAsia="MS Mincho" w:hAnsi="Arial" w:cs="Arial"/>
          <w:b/>
          <w:bCs/>
          <w:noProof/>
          <w:sz w:val="28"/>
          <w:szCs w:val="28"/>
          <w:u w:val="single"/>
          <w:lang w:eastAsia="zh-TW"/>
        </w:rPr>
        <w:drawing>
          <wp:anchor distT="0" distB="0" distL="114300" distR="114300" simplePos="0" relativeHeight="251658240" behindDoc="0" locked="0" layoutInCell="1" allowOverlap="1">
            <wp:simplePos x="0" y="0"/>
            <wp:positionH relativeFrom="column">
              <wp:posOffset>1054100</wp:posOffset>
            </wp:positionH>
            <wp:positionV relativeFrom="paragraph">
              <wp:posOffset>-3175</wp:posOffset>
            </wp:positionV>
            <wp:extent cx="3698875" cy="3228340"/>
            <wp:effectExtent l="0" t="0" r="0" b="0"/>
            <wp:wrapSquare wrapText="bothSides"/>
            <wp:docPr id="42" name="Picture 42" descr="SBP Mini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BP MiniTwis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698875" cy="3228340"/>
                    </a:xfrm>
                    <a:prstGeom prst="rect">
                      <a:avLst/>
                    </a:prstGeom>
                    <a:noFill/>
                    <a:ln>
                      <a:noFill/>
                    </a:ln>
                  </pic:spPr>
                </pic:pic>
              </a:graphicData>
            </a:graphic>
          </wp:anchor>
        </w:drawing>
      </w:r>
    </w:p>
    <w:p w:rsidR="00BA7135"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7026F2"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BA7135" w:rsidRPr="00AA5035" w:rsidRDefault="00F26874" w:rsidP="00DD2364">
      <w:pPr>
        <w:autoSpaceDE w:val="0"/>
        <w:autoSpaceDN w:val="0"/>
        <w:adjustRightInd w:val="0"/>
        <w:spacing w:line="210" w:lineRule="atLeast"/>
        <w:jc w:val="center"/>
        <w:rPr>
          <w:rFonts w:ascii="Arial" w:eastAsia="MS Mincho" w:hAnsi="Arial" w:cs="Arial"/>
          <w:b/>
          <w:bCs/>
          <w:sz w:val="28"/>
          <w:szCs w:val="28"/>
          <w:u w:val="single"/>
          <w:lang w:val="pt-PT" w:eastAsia="ja-JP"/>
        </w:rPr>
      </w:pPr>
    </w:p>
    <w:p w:rsidR="005B33F0" w:rsidRPr="00F26874" w:rsidRDefault="00CD19AB" w:rsidP="005B33F0">
      <w:pPr>
        <w:autoSpaceDE w:val="0"/>
        <w:autoSpaceDN w:val="0"/>
        <w:adjustRightInd w:val="0"/>
        <w:jc w:val="center"/>
        <w:rPr>
          <w:rFonts w:ascii="Arial" w:hAnsi="Arial" w:cs="Arial"/>
          <w:b/>
          <w:bCs/>
          <w:sz w:val="32"/>
          <w:szCs w:val="32"/>
          <w:lang w:val="pt-PT"/>
        </w:rPr>
      </w:pPr>
      <w:r>
        <w:rPr>
          <w:rFonts w:ascii="Arial" w:eastAsia="Arial" w:hAnsi="Arial" w:cs="Arial"/>
          <w:b/>
          <w:bCs/>
          <w:sz w:val="32"/>
          <w:szCs w:val="32"/>
          <w:bdr w:val="nil"/>
          <w:lang w:val="pt-PT"/>
        </w:rPr>
        <w:t>SBS500</w:t>
      </w:r>
    </w:p>
    <w:p w:rsidR="005B33F0" w:rsidRDefault="00CD19AB"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pt-PT"/>
        </w:rPr>
        <w:t>SBS500-2</w:t>
      </w:r>
    </w:p>
    <w:p w:rsidR="005B33F0" w:rsidRPr="00CC1FE0" w:rsidRDefault="00CD19AB"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pt-PT"/>
        </w:rPr>
        <w:t>SBS500-3</w:t>
      </w:r>
    </w:p>
    <w:p w:rsidR="007026F2" w:rsidRDefault="00F2687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F2687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F2687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F26874" w:rsidP="00DD2364">
      <w:pPr>
        <w:autoSpaceDE w:val="0"/>
        <w:autoSpaceDN w:val="0"/>
        <w:adjustRightInd w:val="0"/>
        <w:spacing w:line="210" w:lineRule="atLeast"/>
        <w:jc w:val="center"/>
        <w:rPr>
          <w:rFonts w:ascii="Arial" w:eastAsia="MS Mincho" w:hAnsi="Arial" w:cs="Arial"/>
          <w:b/>
          <w:bCs/>
          <w:sz w:val="28"/>
          <w:szCs w:val="28"/>
          <w:u w:val="single"/>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0B6115" w:rsidTr="003B2EC8">
        <w:tc>
          <w:tcPr>
            <w:tcW w:w="4428" w:type="dxa"/>
          </w:tcPr>
          <w:p w:rsidR="005B33F0" w:rsidRPr="003B2EC8" w:rsidRDefault="00CD19AB" w:rsidP="00DD2364">
            <w:pPr>
              <w:autoSpaceDE w:val="0"/>
              <w:autoSpaceDN w:val="0"/>
              <w:adjustRightInd w:val="0"/>
              <w:spacing w:line="210" w:lineRule="atLeast"/>
              <w:jc w:val="center"/>
              <w:rPr>
                <w:rFonts w:ascii="Arial" w:eastAsia="MS Mincho" w:hAnsi="Arial" w:cs="Arial"/>
                <w:b/>
                <w:bCs/>
                <w:sz w:val="28"/>
                <w:szCs w:val="28"/>
                <w:lang w:eastAsia="ja-JP"/>
              </w:rPr>
            </w:pPr>
            <w:r w:rsidRPr="003B2EC8">
              <w:rPr>
                <w:rFonts w:ascii="Arial" w:eastAsia="MS Mincho" w:hAnsi="Arial" w:cs="Arial"/>
                <w:b/>
                <w:bCs/>
                <w:noProof/>
                <w:sz w:val="28"/>
                <w:szCs w:val="28"/>
                <w:lang w:eastAsia="zh-TW"/>
              </w:rPr>
              <w:drawing>
                <wp:inline distT="0" distB="0" distL="0" distR="0">
                  <wp:extent cx="357505" cy="253365"/>
                  <wp:effectExtent l="19050" t="0" r="4445" b="0"/>
                  <wp:docPr id="10" name="Picture 53"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E"/>
                          <pic:cNvPicPr>
                            <a:picLocks noChangeAspect="1" noChangeArrowheads="1"/>
                          </pic:cNvPicPr>
                        </pic:nvPicPr>
                        <pic:blipFill>
                          <a:blip r:embed="rId7" cstate="print"/>
                          <a:stretch>
                            <a:fillRect/>
                          </a:stretch>
                        </pic:blipFill>
                        <pic:spPr bwMode="auto">
                          <a:xfrm>
                            <a:off x="0" y="0"/>
                            <a:ext cx="357505" cy="253365"/>
                          </a:xfrm>
                          <a:prstGeom prst="rect">
                            <a:avLst/>
                          </a:prstGeom>
                          <a:noFill/>
                        </pic:spPr>
                      </pic:pic>
                    </a:graphicData>
                  </a:graphic>
                </wp:inline>
              </w:drawing>
            </w:r>
            <w:r w:rsidRPr="003B2EC8">
              <w:rPr>
                <w:rFonts w:ascii="Arial" w:eastAsia="MS Mincho" w:hAnsi="Arial" w:cs="Arial"/>
                <w:b/>
                <w:bCs/>
                <w:noProof/>
                <w:sz w:val="28"/>
                <w:szCs w:val="28"/>
                <w:lang w:eastAsia="zh-TW"/>
              </w:rPr>
              <w:t xml:space="preserve"> </w:t>
            </w:r>
            <w:r w:rsidRPr="003B2EC8">
              <w:rPr>
                <w:rFonts w:ascii="Arial" w:eastAsia="MS Mincho" w:hAnsi="Arial" w:cs="Arial"/>
                <w:b/>
                <w:bCs/>
                <w:noProof/>
                <w:sz w:val="28"/>
                <w:szCs w:val="28"/>
                <w:lang w:eastAsia="zh-TW"/>
              </w:rPr>
              <w:drawing>
                <wp:inline distT="0" distB="0" distL="0" distR="0">
                  <wp:extent cx="261620" cy="245745"/>
                  <wp:effectExtent l="19050" t="0" r="5080" b="0"/>
                  <wp:docPr id="11" name="Picture 54"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oHS100"/>
                          <pic:cNvPicPr>
                            <a:picLocks noChangeAspect="1" noChangeArrowheads="1"/>
                          </pic:cNvPicPr>
                        </pic:nvPicPr>
                        <pic:blipFill>
                          <a:blip r:embed="rId8" cstate="print"/>
                          <a:stretch>
                            <a:fillRect/>
                          </a:stretch>
                        </pic:blipFill>
                        <pic:spPr bwMode="auto">
                          <a:xfrm>
                            <a:off x="0" y="0"/>
                            <a:ext cx="261620" cy="245745"/>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403225" cy="403225"/>
                  <wp:effectExtent l="19050" t="0" r="0" b="0"/>
                  <wp:docPr id="12" name="Picture 57"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500380" cy="500380"/>
                  <wp:effectExtent l="19050" t="0" r="0" b="0"/>
                  <wp:docPr id="13" name="Picture 56"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TL EU"/>
                          <pic:cNvPicPr>
                            <a:picLocks noChangeAspect="1" noChangeArrowheads="1"/>
                          </pic:cNvPicPr>
                        </pic:nvPicPr>
                        <pic:blipFill>
                          <a:blip r:embed="rId10" cstate="print"/>
                          <a:stretch>
                            <a:fillRect/>
                          </a:stretch>
                        </pic:blipFill>
                        <pic:spPr bwMode="auto">
                          <a:xfrm>
                            <a:off x="0" y="0"/>
                            <a:ext cx="500380" cy="500380"/>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414655" cy="321945"/>
                  <wp:effectExtent l="19050" t="0" r="4445" b="0"/>
                  <wp:docPr id="14" name="Picture 55"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TL"/>
                          <pic:cNvPicPr>
                            <a:picLocks noChangeAspect="1" noChangeArrowheads="1"/>
                          </pic:cNvPicPr>
                        </pic:nvPicPr>
                        <pic:blipFill>
                          <a:blip r:embed="rId11" cstate="print"/>
                          <a:stretch>
                            <a:fillRect/>
                          </a:stretch>
                        </pic:blipFill>
                        <pic:spPr bwMode="auto">
                          <a:xfrm>
                            <a:off x="0" y="0"/>
                            <a:ext cx="414655" cy="321945"/>
                          </a:xfrm>
                          <a:prstGeom prst="rect">
                            <a:avLst/>
                          </a:prstGeom>
                          <a:noFill/>
                        </pic:spPr>
                      </pic:pic>
                    </a:graphicData>
                  </a:graphic>
                </wp:inline>
              </w:drawing>
            </w:r>
          </w:p>
        </w:tc>
        <w:tc>
          <w:tcPr>
            <w:tcW w:w="4428" w:type="dxa"/>
          </w:tcPr>
          <w:p w:rsidR="005B33F0" w:rsidRPr="003B2EC8" w:rsidRDefault="00CD19AB" w:rsidP="00DD2364">
            <w:pPr>
              <w:autoSpaceDE w:val="0"/>
              <w:autoSpaceDN w:val="0"/>
              <w:adjustRightInd w:val="0"/>
              <w:spacing w:line="210" w:lineRule="atLeast"/>
              <w:jc w:val="center"/>
              <w:rPr>
                <w:rFonts w:ascii="Arial" w:eastAsia="MS Mincho" w:hAnsi="Arial" w:cs="Arial"/>
                <w:b/>
                <w:bCs/>
                <w:sz w:val="28"/>
                <w:szCs w:val="28"/>
                <w:lang w:eastAsia="ja-JP"/>
              </w:rPr>
            </w:pPr>
            <w:r w:rsidRPr="003B2EC8">
              <w:rPr>
                <w:rFonts w:ascii="Arial" w:eastAsia="MS Mincho" w:hAnsi="Arial" w:cs="Arial"/>
                <w:b/>
                <w:bCs/>
                <w:noProof/>
                <w:sz w:val="28"/>
                <w:szCs w:val="28"/>
                <w:lang w:eastAsia="zh-TW"/>
              </w:rPr>
              <w:drawing>
                <wp:inline distT="0" distB="0" distL="0" distR="0">
                  <wp:extent cx="1701800" cy="685800"/>
                  <wp:effectExtent l="19050" t="0" r="0" b="0"/>
                  <wp:docPr id="4" name="Picture 43"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lectBio Logo copy"/>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701800" cy="685800"/>
                          </a:xfrm>
                          <a:prstGeom prst="rect">
                            <a:avLst/>
                          </a:prstGeom>
                          <a:noFill/>
                          <a:ln>
                            <a:noFill/>
                          </a:ln>
                        </pic:spPr>
                      </pic:pic>
                    </a:graphicData>
                  </a:graphic>
                </wp:inline>
              </w:drawing>
            </w:r>
          </w:p>
        </w:tc>
      </w:tr>
    </w:tbl>
    <w:p w:rsidR="005B33F0" w:rsidRDefault="00CD19AB">
      <w:pPr>
        <w:rPr>
          <w:rFonts w:ascii="Arial" w:eastAsia="MS Mincho" w:hAnsi="Arial" w:cs="Arial"/>
          <w:b/>
          <w:bCs/>
          <w:lang w:eastAsia="ja-JP"/>
        </w:rPr>
      </w:pPr>
      <w:r>
        <w:rPr>
          <w:rFonts w:ascii="Arial" w:eastAsia="MS Mincho" w:hAnsi="Arial" w:cs="Arial"/>
          <w:b/>
          <w:bCs/>
          <w:lang w:eastAsia="ja-JP"/>
        </w:rPr>
        <w:br w:type="page"/>
      </w:r>
    </w:p>
    <w:tbl>
      <w:tblPr>
        <w:tblStyle w:val="TableGrid"/>
        <w:tblW w:w="0" w:type="auto"/>
        <w:tblLook w:val="04A0"/>
      </w:tblPr>
      <w:tblGrid>
        <w:gridCol w:w="8856"/>
      </w:tblGrid>
      <w:tr w:rsidR="000B6115" w:rsidRPr="00F26874" w:rsidTr="003B2EC8">
        <w:tc>
          <w:tcPr>
            <w:tcW w:w="8856" w:type="dxa"/>
          </w:tcPr>
          <w:p w:rsidR="003B2EC8" w:rsidRPr="00AA5035" w:rsidRDefault="00CD19AB" w:rsidP="003B2EC8">
            <w:pPr>
              <w:pStyle w:val="AboutAHead"/>
              <w:rPr>
                <w:rFonts w:ascii="Arial" w:hAnsi="Arial" w:cs="Arial"/>
                <w:lang w:val="pt-PT"/>
              </w:rPr>
            </w:pPr>
            <w:r>
              <w:rPr>
                <w:rFonts w:ascii="Arial" w:eastAsia="Arial" w:hAnsi="Arial" w:cs="Arial"/>
                <w:sz w:val="24"/>
                <w:szCs w:val="24"/>
                <w:bdr w:val="nil"/>
                <w:lang w:val="pt-PT"/>
              </w:rPr>
              <w:lastRenderedPageBreak/>
              <w:t>Acerca deste manual</w:t>
            </w:r>
          </w:p>
          <w:p w:rsidR="003B2EC8" w:rsidRPr="00AA5035" w:rsidRDefault="00CD19AB" w:rsidP="003B2EC8">
            <w:pPr>
              <w:pStyle w:val="Aboutbody"/>
              <w:rPr>
                <w:rFonts w:ascii="Arial" w:hAnsi="Arial" w:cs="Arial"/>
                <w:sz w:val="22"/>
                <w:lang w:val="pt-PT"/>
              </w:rPr>
            </w:pPr>
            <w:r>
              <w:rPr>
                <w:rFonts w:ascii="Arial" w:eastAsia="Arial" w:hAnsi="Arial" w:cs="Arial"/>
                <w:sz w:val="22"/>
                <w:szCs w:val="22"/>
                <w:bdr w:val="nil"/>
                <w:lang w:val="pt-PT"/>
              </w:rPr>
              <w:t xml:space="preserve">Este manual foi elaborado para auxiliar na utilização otimizada do seu Mini Twist da BioProducts. O manual está disponível em inglês, francês, alemão, italiano, português e espanhol no nosso website, em </w:t>
            </w:r>
            <w:r>
              <w:rPr>
                <w:rFonts w:ascii="Arial" w:eastAsia="Arial" w:hAnsi="Arial" w:cs="Arial"/>
                <w:b/>
                <w:bCs/>
                <w:sz w:val="22"/>
                <w:szCs w:val="22"/>
                <w:bdr w:val="nil"/>
                <w:lang w:val="pt-PT"/>
              </w:rPr>
              <w:t>www.selectbioproducts.com.</w:t>
            </w:r>
          </w:p>
        </w:tc>
      </w:tr>
    </w:tbl>
    <w:p w:rsidR="00801B51" w:rsidRPr="00AA5035" w:rsidRDefault="00F26874" w:rsidP="00801B51">
      <w:pPr>
        <w:rPr>
          <w:rFonts w:ascii="Arial" w:hAnsi="Arial" w:cs="Arial"/>
          <w:b/>
          <w:lang w:val="pt-PT"/>
        </w:rPr>
      </w:pPr>
    </w:p>
    <w:p w:rsidR="00801B51" w:rsidRPr="00AA5035" w:rsidRDefault="00F26874" w:rsidP="00D427DE">
      <w:pPr>
        <w:autoSpaceDE w:val="0"/>
        <w:autoSpaceDN w:val="0"/>
        <w:adjustRightInd w:val="0"/>
        <w:spacing w:line="210" w:lineRule="atLeast"/>
        <w:rPr>
          <w:rFonts w:ascii="Arial" w:eastAsia="MS Mincho" w:hAnsi="Arial" w:cs="Arial"/>
          <w:b/>
          <w:bCs/>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b/>
          <w:bCs/>
          <w:lang w:val="pt-PT" w:eastAsia="ja-JP"/>
        </w:rPr>
      </w:pPr>
      <w:r>
        <w:rPr>
          <w:rFonts w:ascii="Arial" w:eastAsia="Arial" w:hAnsi="Arial" w:cs="Arial"/>
          <w:b/>
          <w:bCs/>
          <w:bdr w:val="nil"/>
          <w:lang w:val="pt-PT" w:eastAsia="ja-JP"/>
        </w:rPr>
        <w:t>VISÃO GERAL</w:t>
      </w:r>
    </w:p>
    <w:p w:rsidR="00F50E54" w:rsidRPr="00AA5035" w:rsidRDefault="00F26874" w:rsidP="00D427DE">
      <w:pPr>
        <w:autoSpaceDE w:val="0"/>
        <w:autoSpaceDN w:val="0"/>
        <w:adjustRightInd w:val="0"/>
        <w:spacing w:line="210" w:lineRule="atLeast"/>
        <w:rPr>
          <w:rFonts w:ascii="Arial" w:eastAsia="MS Mincho" w:hAnsi="Arial" w:cs="Arial"/>
          <w:b/>
          <w:bCs/>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sz w:val="22"/>
          <w:szCs w:val="22"/>
          <w:lang w:val="pt-PT" w:eastAsia="ja-JP"/>
        </w:rPr>
      </w:pPr>
      <w:r>
        <w:rPr>
          <w:rFonts w:ascii="Arial" w:eastAsia="Arial" w:hAnsi="Arial" w:cs="Arial"/>
          <w:sz w:val="22"/>
          <w:szCs w:val="22"/>
          <w:bdr w:val="nil"/>
          <w:lang w:val="pt-PT" w:eastAsia="ja-JP"/>
        </w:rPr>
        <w:t xml:space="preserve">O SelectBio MiniTwist é um misturador tridimensional tipicamente utilizado na manutenção de uma suspensão uniforme de componentes do sangue, em tubos de colheita de sangue, sem espuma.   O SelectBio MiniTwist é também ideal para a mistura de grandes filamentos de ADN em solução, em microtubos, ou a mistura de sangue num tampão, em grandes tubos de centrifugação. O MiniTwist atinge a sua mistura tridimensional, combinando o movimento de rotação de um misturador orbital com o movimento de balanço de um dispositivo de balanço de plataforma. </w:t>
      </w:r>
    </w:p>
    <w:p w:rsidR="00D427DE" w:rsidRPr="00AA5035" w:rsidRDefault="00F26874" w:rsidP="00D427DE">
      <w:pPr>
        <w:autoSpaceDE w:val="0"/>
        <w:autoSpaceDN w:val="0"/>
        <w:adjustRightInd w:val="0"/>
        <w:spacing w:line="210" w:lineRule="atLeast"/>
        <w:rPr>
          <w:rFonts w:ascii="Arial" w:eastAsia="MS Mincho" w:hAnsi="Arial" w:cs="Arial"/>
          <w:sz w:val="22"/>
          <w:szCs w:val="22"/>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sz w:val="22"/>
          <w:szCs w:val="22"/>
          <w:lang w:val="pt-PT" w:eastAsia="ja-JP"/>
        </w:rPr>
      </w:pPr>
      <w:r>
        <w:rPr>
          <w:rFonts w:ascii="Arial" w:eastAsia="Arial" w:hAnsi="Arial" w:cs="Arial"/>
          <w:sz w:val="22"/>
          <w:szCs w:val="22"/>
          <w:bdr w:val="nil"/>
          <w:lang w:val="pt-PT" w:eastAsia="ja-JP"/>
        </w:rPr>
        <w:t>O estilo moderno da caixa do SelectBio MiniTwist é conseguido através da utilização de plástico FRABS moldado por injeção. A plataforma larga é construída em alumínio revestido a pó, tendo no topo um tapete TPE em borracha.</w:t>
      </w:r>
    </w:p>
    <w:p w:rsidR="00D427DE" w:rsidRPr="00AA5035" w:rsidRDefault="00F26874" w:rsidP="00D427DE">
      <w:pPr>
        <w:autoSpaceDE w:val="0"/>
        <w:autoSpaceDN w:val="0"/>
        <w:adjustRightInd w:val="0"/>
        <w:spacing w:line="210" w:lineRule="atLeast"/>
        <w:rPr>
          <w:rFonts w:ascii="Arial" w:eastAsia="MS Mincho" w:hAnsi="Arial" w:cs="Arial"/>
          <w:sz w:val="22"/>
          <w:szCs w:val="22"/>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b/>
          <w:bCs/>
          <w:sz w:val="22"/>
          <w:szCs w:val="22"/>
          <w:lang w:val="pt-PT" w:eastAsia="ja-JP"/>
        </w:rPr>
      </w:pPr>
      <w:r>
        <w:rPr>
          <w:rFonts w:ascii="Arial" w:eastAsia="Arial" w:hAnsi="Arial" w:cs="Arial"/>
          <w:b/>
          <w:bCs/>
          <w:sz w:val="22"/>
          <w:szCs w:val="22"/>
          <w:bdr w:val="nil"/>
          <w:lang w:val="pt-PT" w:eastAsia="ja-JP"/>
        </w:rPr>
        <w:t>INSTALAÇÃO</w:t>
      </w:r>
    </w:p>
    <w:p w:rsidR="00F50E54" w:rsidRPr="00AA5035" w:rsidRDefault="00F26874" w:rsidP="00D427DE">
      <w:pPr>
        <w:autoSpaceDE w:val="0"/>
        <w:autoSpaceDN w:val="0"/>
        <w:adjustRightInd w:val="0"/>
        <w:spacing w:line="210" w:lineRule="atLeast"/>
        <w:rPr>
          <w:rFonts w:ascii="Arial" w:eastAsia="MS Mincho" w:hAnsi="Arial" w:cs="Arial"/>
          <w:b/>
          <w:bCs/>
          <w:sz w:val="22"/>
          <w:szCs w:val="22"/>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sz w:val="22"/>
          <w:szCs w:val="22"/>
          <w:lang w:val="pt-PT" w:eastAsia="ja-JP"/>
        </w:rPr>
      </w:pPr>
      <w:r>
        <w:rPr>
          <w:rFonts w:ascii="Arial" w:eastAsia="Arial" w:hAnsi="Arial" w:cs="Arial"/>
          <w:sz w:val="22"/>
          <w:szCs w:val="22"/>
          <w:bdr w:val="nil"/>
          <w:lang w:val="pt-PT" w:eastAsia="ja-JP"/>
        </w:rPr>
        <w:t>O SelectBio MiniTwist poderá ser utilizado numa bancada, numa sala fresca, ou numa incubadora até 40 ºC.  Coloque a unidade numa superfície plana e estável e assegure-se de que deixa espaço suficiente em torno da unidade, de forma a permitir que tanto a plataforma, como a carga se possam mover livremente.  É aconselhado um mínimo de 4 polegadas (10 cm) de espaço livre de todos os lados do misturador.</w:t>
      </w:r>
    </w:p>
    <w:p w:rsidR="00D427DE" w:rsidRPr="00AA5035" w:rsidRDefault="00F26874" w:rsidP="00D427DE">
      <w:pPr>
        <w:autoSpaceDE w:val="0"/>
        <w:autoSpaceDN w:val="0"/>
        <w:adjustRightInd w:val="0"/>
        <w:spacing w:line="210" w:lineRule="atLeast"/>
        <w:rPr>
          <w:rFonts w:ascii="Arial" w:eastAsia="MS Mincho" w:hAnsi="Arial" w:cs="Arial"/>
          <w:sz w:val="22"/>
          <w:szCs w:val="22"/>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sz w:val="22"/>
          <w:szCs w:val="22"/>
          <w:lang w:val="pt-PT" w:eastAsia="ja-JP"/>
        </w:rPr>
      </w:pPr>
      <w:r>
        <w:rPr>
          <w:rFonts w:ascii="Arial" w:eastAsia="Arial" w:hAnsi="Arial" w:cs="Arial"/>
          <w:sz w:val="22"/>
          <w:szCs w:val="22"/>
          <w:bdr w:val="nil"/>
          <w:lang w:val="pt-PT" w:eastAsia="ja-JP"/>
        </w:rPr>
        <w:t>Ligue a unidade a uma tomada ligada à terra de modo adequado, com a voltagem apropriada, conforme é apresentado na tabela de dados da etiqueta da unidade.</w:t>
      </w:r>
    </w:p>
    <w:p w:rsidR="00D427DE" w:rsidRPr="00AA5035" w:rsidRDefault="00F26874" w:rsidP="00D427DE">
      <w:pPr>
        <w:autoSpaceDE w:val="0"/>
        <w:autoSpaceDN w:val="0"/>
        <w:adjustRightInd w:val="0"/>
        <w:spacing w:line="210" w:lineRule="atLeast"/>
        <w:rPr>
          <w:rFonts w:ascii="Arial" w:eastAsia="MS Mincho" w:hAnsi="Arial" w:cs="Arial"/>
          <w:sz w:val="22"/>
          <w:szCs w:val="22"/>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b/>
          <w:bCs/>
          <w:sz w:val="22"/>
          <w:szCs w:val="22"/>
          <w:lang w:val="pt-PT" w:eastAsia="ja-JP"/>
        </w:rPr>
      </w:pPr>
      <w:r>
        <w:rPr>
          <w:rFonts w:ascii="Arial" w:eastAsia="Arial" w:hAnsi="Arial" w:cs="Arial"/>
          <w:b/>
          <w:bCs/>
          <w:sz w:val="22"/>
          <w:szCs w:val="22"/>
          <w:bdr w:val="nil"/>
          <w:lang w:val="pt-PT" w:eastAsia="ja-JP"/>
        </w:rPr>
        <w:t>FUNCIONAMENTO</w:t>
      </w:r>
    </w:p>
    <w:p w:rsidR="00D427DE" w:rsidRPr="00AA5035" w:rsidRDefault="00CD19AB" w:rsidP="00D427DE">
      <w:pPr>
        <w:autoSpaceDE w:val="0"/>
        <w:autoSpaceDN w:val="0"/>
        <w:adjustRightInd w:val="0"/>
        <w:spacing w:line="210" w:lineRule="atLeast"/>
        <w:rPr>
          <w:rFonts w:ascii="Arial" w:eastAsia="MS Mincho" w:hAnsi="Arial" w:cs="Arial"/>
          <w:sz w:val="22"/>
          <w:szCs w:val="22"/>
          <w:lang w:val="pt-PT" w:eastAsia="ja-JP"/>
        </w:rPr>
      </w:pPr>
      <w:r>
        <w:rPr>
          <w:rFonts w:ascii="Arial" w:eastAsia="Arial" w:hAnsi="Arial" w:cs="Arial"/>
          <w:sz w:val="22"/>
          <w:szCs w:val="22"/>
          <w:bdr w:val="nil"/>
          <w:lang w:val="pt-PT" w:eastAsia="ja-JP"/>
        </w:rPr>
        <w:t>Os tubos poderão ser colocados diretamente no tapete com orifícios. O padrão de orifícios está configurado para permitir que os tubos de sangue e tubos de centrifugação sejam colocados de forma segura no tapete, sem fixação adicional, na maioria dos casos.  Se os tubos forem empilhados, devem ser fixados com bandas de borracha, ou cordas elásticas.  Existem orifícios nos cantos das extremidades da plataforma para esse propósito.</w:t>
      </w:r>
    </w:p>
    <w:p w:rsidR="00D427DE" w:rsidRPr="00AA5035" w:rsidRDefault="00F26874" w:rsidP="00D427DE">
      <w:pPr>
        <w:autoSpaceDE w:val="0"/>
        <w:autoSpaceDN w:val="0"/>
        <w:adjustRightInd w:val="0"/>
        <w:spacing w:line="210" w:lineRule="atLeast"/>
        <w:rPr>
          <w:rFonts w:ascii="Arial" w:eastAsia="MS Mincho" w:hAnsi="Arial" w:cs="Arial"/>
          <w:sz w:val="22"/>
          <w:szCs w:val="22"/>
          <w:lang w:val="pt-PT" w:eastAsia="ja-JP"/>
        </w:rPr>
      </w:pPr>
    </w:p>
    <w:p w:rsidR="00D427DE" w:rsidRPr="00AA5035" w:rsidRDefault="00CD19AB" w:rsidP="00382ACE">
      <w:pPr>
        <w:autoSpaceDE w:val="0"/>
        <w:autoSpaceDN w:val="0"/>
        <w:adjustRightInd w:val="0"/>
        <w:spacing w:line="210" w:lineRule="atLeast"/>
        <w:ind w:left="720"/>
        <w:rPr>
          <w:rFonts w:ascii="Arial" w:eastAsia="MS Mincho" w:hAnsi="Arial" w:cs="Arial"/>
          <w:sz w:val="22"/>
          <w:szCs w:val="22"/>
          <w:lang w:val="pt-PT" w:eastAsia="ja-JP"/>
        </w:rPr>
      </w:pPr>
      <w:r>
        <w:rPr>
          <w:rFonts w:ascii="Arial" w:eastAsia="Arial" w:hAnsi="Arial" w:cs="Arial"/>
          <w:sz w:val="22"/>
          <w:szCs w:val="22"/>
          <w:bdr w:val="nil"/>
          <w:lang w:val="pt-PT" w:eastAsia="ja-JP"/>
        </w:rPr>
        <w:t>Carregue sempre a plataforma de um modo uniforme e equilibrado.</w:t>
      </w:r>
    </w:p>
    <w:p w:rsidR="00D427DE" w:rsidRPr="00AA5035" w:rsidRDefault="00F26874" w:rsidP="00D427DE">
      <w:pPr>
        <w:autoSpaceDE w:val="0"/>
        <w:autoSpaceDN w:val="0"/>
        <w:adjustRightInd w:val="0"/>
        <w:spacing w:line="210" w:lineRule="atLeast"/>
        <w:rPr>
          <w:rFonts w:ascii="Arial" w:eastAsia="MS Mincho" w:hAnsi="Arial" w:cs="Arial"/>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sz w:val="22"/>
          <w:szCs w:val="22"/>
          <w:lang w:val="pt-PT" w:eastAsia="ja-JP"/>
        </w:rPr>
      </w:pPr>
      <w:r>
        <w:rPr>
          <w:rFonts w:ascii="Arial" w:eastAsia="Arial" w:hAnsi="Arial" w:cs="Arial"/>
          <w:sz w:val="22"/>
          <w:szCs w:val="22"/>
          <w:bdr w:val="nil"/>
          <w:lang w:val="pt-PT" w:eastAsia="ja-JP"/>
        </w:rPr>
        <w:t>Utilize o interruptor Ligado / Desligado para ligar a unidade.  A direção da rotação em que a unidade irá iniciar é aleatória e não afeta a mistura. Se desejado, a direção rotacional poderá ser invertida, segurando na base da unidade e tocando muito brevemente na plataforma rotativa, no fundo, num dos cantos.   Esta técnica poderá também ser utilizada para selecionar a direção da rotação.</w:t>
      </w:r>
    </w:p>
    <w:p w:rsidR="00D427DE" w:rsidRPr="00AA5035" w:rsidRDefault="00F26874" w:rsidP="00D427DE">
      <w:pPr>
        <w:autoSpaceDE w:val="0"/>
        <w:autoSpaceDN w:val="0"/>
        <w:adjustRightInd w:val="0"/>
        <w:spacing w:line="210" w:lineRule="atLeast"/>
        <w:rPr>
          <w:rFonts w:ascii="Arial" w:eastAsia="MS Mincho" w:hAnsi="Arial" w:cs="Arial"/>
          <w:sz w:val="22"/>
          <w:szCs w:val="22"/>
          <w:lang w:val="pt-PT" w:eastAsia="ja-JP"/>
        </w:rPr>
      </w:pPr>
    </w:p>
    <w:p w:rsidR="00801B51" w:rsidRPr="00AA5035" w:rsidRDefault="00F26874"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pt-PT" w:eastAsia="ja-JP"/>
        </w:rPr>
      </w:pPr>
    </w:p>
    <w:p w:rsidR="00801B51" w:rsidRPr="00AA5035" w:rsidRDefault="00F26874"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pt-PT" w:eastAsia="ja-JP"/>
        </w:rPr>
      </w:pPr>
    </w:p>
    <w:p w:rsidR="00801B51" w:rsidRPr="00AA5035" w:rsidRDefault="00F26874"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pt-PT" w:eastAsia="ja-JP"/>
        </w:rPr>
      </w:pPr>
    </w:p>
    <w:p w:rsidR="00D427DE" w:rsidRPr="00AA5035" w:rsidRDefault="00CD19AB"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pt-PT" w:eastAsia="ja-JP"/>
        </w:rPr>
      </w:pPr>
      <w:r>
        <w:rPr>
          <w:rFonts w:ascii="Arial" w:eastAsia="Arial" w:hAnsi="Arial" w:cs="Arial"/>
          <w:b/>
          <w:bCs/>
          <w:sz w:val="22"/>
          <w:szCs w:val="22"/>
          <w:bdr w:val="nil"/>
          <w:lang w:val="pt-PT" w:eastAsia="ja-JP"/>
        </w:rPr>
        <w:lastRenderedPageBreak/>
        <w:t>MANUTENÇÃO</w:t>
      </w:r>
    </w:p>
    <w:p w:rsidR="00D427DE" w:rsidRPr="00AA5035" w:rsidRDefault="00F26874" w:rsidP="00D427DE">
      <w:pPr>
        <w:tabs>
          <w:tab w:val="left" w:pos="1440"/>
        </w:tabs>
        <w:autoSpaceDE w:val="0"/>
        <w:autoSpaceDN w:val="0"/>
        <w:adjustRightInd w:val="0"/>
        <w:spacing w:line="210" w:lineRule="atLeast"/>
        <w:ind w:left="1440" w:hanging="1440"/>
        <w:rPr>
          <w:rFonts w:ascii="Arial" w:eastAsia="MS Mincho" w:hAnsi="Arial" w:cs="Arial"/>
          <w:b/>
          <w:bCs/>
          <w:sz w:val="22"/>
          <w:szCs w:val="22"/>
          <w:lang w:val="pt-PT" w:eastAsia="ja-JP"/>
        </w:rPr>
      </w:pPr>
    </w:p>
    <w:p w:rsidR="00D427DE" w:rsidRPr="00AA5035" w:rsidRDefault="00CD19AB" w:rsidP="00382ACE">
      <w:pPr>
        <w:autoSpaceDE w:val="0"/>
        <w:autoSpaceDN w:val="0"/>
        <w:adjustRightInd w:val="0"/>
        <w:spacing w:line="210" w:lineRule="atLeast"/>
        <w:ind w:left="720"/>
        <w:rPr>
          <w:rFonts w:ascii="Arial" w:eastAsia="MS Mincho" w:hAnsi="Arial" w:cs="Arial"/>
          <w:sz w:val="22"/>
          <w:szCs w:val="22"/>
          <w:lang w:val="pt-PT" w:eastAsia="ja-JP"/>
        </w:rPr>
      </w:pPr>
      <w:r>
        <w:rPr>
          <w:rFonts w:ascii="Arial" w:eastAsia="Arial" w:hAnsi="Arial" w:cs="Arial"/>
          <w:sz w:val="22"/>
          <w:szCs w:val="22"/>
          <w:bdr w:val="nil"/>
          <w:lang w:val="pt-PT" w:eastAsia="ja-JP"/>
        </w:rPr>
        <w:t>Desligue sempre o cabo elétrico da fonte de alimentação antes de realizar a manutenção ou o apoio técnico.</w:t>
      </w:r>
    </w:p>
    <w:p w:rsidR="00D427DE" w:rsidRPr="00AA5035" w:rsidRDefault="00F26874" w:rsidP="00D427DE">
      <w:pPr>
        <w:autoSpaceDE w:val="0"/>
        <w:autoSpaceDN w:val="0"/>
        <w:adjustRightInd w:val="0"/>
        <w:spacing w:line="210" w:lineRule="atLeast"/>
        <w:rPr>
          <w:rFonts w:ascii="Arial" w:eastAsia="MS Mincho" w:hAnsi="Arial" w:cs="Arial"/>
          <w:sz w:val="22"/>
          <w:szCs w:val="22"/>
          <w:lang w:val="pt-PT" w:eastAsia="ja-JP"/>
        </w:rPr>
      </w:pPr>
    </w:p>
    <w:p w:rsidR="00D427DE" w:rsidRPr="00AA5035" w:rsidRDefault="00CD19AB" w:rsidP="00D427DE">
      <w:pPr>
        <w:autoSpaceDE w:val="0"/>
        <w:autoSpaceDN w:val="0"/>
        <w:adjustRightInd w:val="0"/>
        <w:spacing w:line="210" w:lineRule="atLeast"/>
        <w:rPr>
          <w:rFonts w:ascii="Arial" w:eastAsia="MS Mincho" w:hAnsi="Arial" w:cs="Arial"/>
          <w:sz w:val="22"/>
          <w:szCs w:val="22"/>
          <w:lang w:val="pt-PT" w:eastAsia="ja-JP"/>
        </w:rPr>
      </w:pPr>
      <w:r>
        <w:rPr>
          <w:rFonts w:ascii="Arial" w:eastAsia="Arial" w:hAnsi="Arial" w:cs="Arial"/>
          <w:sz w:val="22"/>
          <w:szCs w:val="22"/>
          <w:bdr w:val="nil"/>
          <w:lang w:val="pt-PT" w:eastAsia="ja-JP"/>
        </w:rPr>
        <w:t>O SelectBio MiniTwist não requer qualquer manutenção, além da limpeza ocasional com um pano húmido, utilizando um detergente suave.  O tapete de borracha poderá ser lavado</w:t>
      </w:r>
      <w:r>
        <w:rPr>
          <w:rFonts w:ascii="Arial" w:eastAsia="Arial" w:hAnsi="Arial" w:cs="Arial"/>
          <w:bdr w:val="nil"/>
          <w:lang w:val="pt-PT" w:eastAsia="ja-JP"/>
        </w:rPr>
        <w:t xml:space="preserve"> </w:t>
      </w:r>
      <w:r>
        <w:rPr>
          <w:rFonts w:ascii="Arial" w:eastAsia="Arial" w:hAnsi="Arial" w:cs="Arial"/>
          <w:sz w:val="22"/>
          <w:szCs w:val="22"/>
          <w:bdr w:val="nil"/>
          <w:lang w:val="pt-PT" w:eastAsia="ja-JP"/>
        </w:rPr>
        <w:t xml:space="preserve">em água com sabão.  </w:t>
      </w:r>
      <w:r>
        <w:rPr>
          <w:rFonts w:ascii="Arial" w:eastAsia="Arial" w:hAnsi="Arial" w:cs="Arial"/>
          <w:b/>
          <w:bCs/>
          <w:sz w:val="22"/>
          <w:szCs w:val="22"/>
          <w:bdr w:val="nil"/>
          <w:lang w:val="pt-PT" w:eastAsia="ja-JP"/>
        </w:rPr>
        <w:t xml:space="preserve">Não realize a imersão da unidade em água, ou o derrame de líquidos sobre a unidade. </w:t>
      </w:r>
      <w:r>
        <w:rPr>
          <w:rFonts w:ascii="Arial" w:eastAsia="Arial" w:hAnsi="Arial" w:cs="Arial"/>
          <w:sz w:val="22"/>
          <w:szCs w:val="22"/>
          <w:bdr w:val="nil"/>
          <w:lang w:val="pt-PT" w:eastAsia="ja-JP"/>
        </w:rPr>
        <w:t>Assegure-se de que a unidade está seca, antes de a voltar a ligar à corrente.</w:t>
      </w:r>
    </w:p>
    <w:p w:rsidR="00D427DE" w:rsidRPr="00AA5035" w:rsidRDefault="00F26874" w:rsidP="00D427DE">
      <w:pPr>
        <w:autoSpaceDE w:val="0"/>
        <w:autoSpaceDN w:val="0"/>
        <w:adjustRightInd w:val="0"/>
        <w:spacing w:line="210" w:lineRule="atLeast"/>
        <w:rPr>
          <w:rFonts w:ascii="Arial" w:eastAsia="MS Mincho" w:hAnsi="Arial" w:cs="Arial"/>
          <w:sz w:val="20"/>
          <w:szCs w:val="20"/>
          <w:lang w:val="pt-PT" w:eastAsia="ja-JP"/>
        </w:rPr>
      </w:pPr>
    </w:p>
    <w:p w:rsidR="00F72FCA" w:rsidRPr="00AA5035" w:rsidRDefault="00F26874"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pt-PT" w:eastAsia="ja-JP"/>
        </w:rPr>
      </w:pPr>
    </w:p>
    <w:p w:rsidR="00D427DE" w:rsidRPr="00AA5035" w:rsidRDefault="00CD19AB"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pt-PT" w:eastAsia="ja-JP"/>
        </w:rPr>
      </w:pPr>
      <w:r>
        <w:rPr>
          <w:rFonts w:ascii="Arial" w:eastAsia="Arial" w:hAnsi="Arial" w:cs="Arial"/>
          <w:b/>
          <w:bCs/>
          <w:sz w:val="22"/>
          <w:szCs w:val="22"/>
          <w:bdr w:val="nil"/>
          <w:lang w:val="pt-PT" w:eastAsia="ja-JP"/>
        </w:rPr>
        <w:t>APOIO TÉCNICO E REPARAÇÃO</w:t>
      </w:r>
    </w:p>
    <w:p w:rsidR="00D427DE" w:rsidRPr="00AA5035" w:rsidRDefault="00CD19AB" w:rsidP="00D427DE">
      <w:pPr>
        <w:autoSpaceDE w:val="0"/>
        <w:autoSpaceDN w:val="0"/>
        <w:adjustRightInd w:val="0"/>
        <w:spacing w:line="210" w:lineRule="atLeast"/>
        <w:rPr>
          <w:rFonts w:ascii="Arial" w:eastAsia="MS Mincho" w:hAnsi="Arial" w:cs="Arial"/>
          <w:sz w:val="22"/>
          <w:szCs w:val="22"/>
          <w:lang w:val="pt-PT" w:eastAsia="ja-JP"/>
        </w:rPr>
      </w:pPr>
      <w:r>
        <w:rPr>
          <w:rFonts w:ascii="Arial" w:eastAsia="Arial" w:hAnsi="Arial" w:cs="Arial"/>
          <w:sz w:val="22"/>
          <w:szCs w:val="22"/>
          <w:bdr w:val="nil"/>
          <w:lang w:val="pt-PT" w:eastAsia="ja-JP"/>
        </w:rPr>
        <w:t>O SelectBio MiniTwist é uma unidade bem construída, que deverá fornecer anos de funcionamento sem qualquer problema. Caso seja necessário apoio técnico, contacte o seu Distribuidor Select BioProducts.   O apoio técnico deve apenas se realizado por um técnico de apoio técnico qualificado.</w:t>
      </w:r>
    </w:p>
    <w:p w:rsidR="00B37B06" w:rsidRPr="00AA5035" w:rsidRDefault="00F26874" w:rsidP="00D427DE">
      <w:pPr>
        <w:autoSpaceDE w:val="0"/>
        <w:autoSpaceDN w:val="0"/>
        <w:adjustRightInd w:val="0"/>
        <w:spacing w:line="210" w:lineRule="atLeast"/>
        <w:rPr>
          <w:rFonts w:ascii="Arial" w:eastAsia="MS Mincho" w:hAnsi="Arial" w:cs="Arial"/>
          <w:sz w:val="22"/>
          <w:szCs w:val="22"/>
          <w:lang w:val="pt-PT" w:eastAsia="ja-JP"/>
        </w:rPr>
      </w:pPr>
    </w:p>
    <w:p w:rsidR="00D427DE" w:rsidRPr="00AA5035" w:rsidRDefault="00CD19AB" w:rsidP="00D427DE">
      <w:pPr>
        <w:tabs>
          <w:tab w:val="left" w:pos="1440"/>
        </w:tabs>
        <w:autoSpaceDE w:val="0"/>
        <w:autoSpaceDN w:val="0"/>
        <w:adjustRightInd w:val="0"/>
        <w:spacing w:line="250" w:lineRule="atLeast"/>
        <w:rPr>
          <w:rFonts w:ascii="Arial" w:eastAsia="MS Mincho" w:hAnsi="Arial" w:cs="Arial"/>
          <w:b/>
          <w:bCs/>
          <w:sz w:val="22"/>
          <w:szCs w:val="22"/>
          <w:lang w:val="pt-PT" w:eastAsia="ja-JP"/>
        </w:rPr>
      </w:pPr>
      <w:r>
        <w:rPr>
          <w:rFonts w:ascii="Arial" w:eastAsia="Arial" w:hAnsi="Arial" w:cs="Arial"/>
          <w:b/>
          <w:bCs/>
          <w:sz w:val="22"/>
          <w:szCs w:val="22"/>
          <w:bdr w:val="nil"/>
          <w:lang w:val="pt-PT" w:eastAsia="ja-JP"/>
        </w:rPr>
        <w:t>ESPECIFICAÇÕES</w:t>
      </w:r>
    </w:p>
    <w:p w:rsidR="00F50E54" w:rsidRPr="00AA5035" w:rsidRDefault="00F26874" w:rsidP="00D427DE">
      <w:pPr>
        <w:tabs>
          <w:tab w:val="left" w:pos="1440"/>
        </w:tabs>
        <w:autoSpaceDE w:val="0"/>
        <w:autoSpaceDN w:val="0"/>
        <w:adjustRightInd w:val="0"/>
        <w:spacing w:line="250" w:lineRule="atLeast"/>
        <w:rPr>
          <w:rFonts w:ascii="Arial" w:eastAsia="MS Mincho" w:hAnsi="Arial" w:cs="Arial"/>
          <w:b/>
          <w:bCs/>
          <w:sz w:val="22"/>
          <w:szCs w:val="22"/>
          <w:lang w:val="pt-PT" w:eastAsia="ja-JP"/>
        </w:rPr>
      </w:pPr>
    </w:p>
    <w:p w:rsidR="00D427DE" w:rsidRPr="00AA5035" w:rsidRDefault="00CD19AB" w:rsidP="00D427DE">
      <w:pPr>
        <w:tabs>
          <w:tab w:val="left" w:pos="1440"/>
        </w:tabs>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Ação de mistura: Rotação de balanço tridimensional</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Velocidade de mistura: 24 rpm fixos (modelo 120V) 20 rpm fixos (modelo 230V)</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Ângulo de inclinação da plataforma: 20 graus fixos</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Dimensões da plataforma:  24 cm x 17 cm  (9.5" x 6.75")</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Dimensões do misturador LxAxP: 24 cm x 14,6 cm x 17 cm (9.5" x 5.752 x 6.75")</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Peso do misturador:  0,85 kg (1.88 lbs)</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Capacidade de carga da plataforma: 0,8 kg (1.75lbs equilibradas)</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 xml:space="preserve">Capacidade da plataforma sem empilhamento:  60 tubos de 1,5 ml de micro centrifugadora; 30 tubos pediátricos de sangue (3 ml); </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17 tubos de centrifugação de 15 ml; 21 tubos padrão de sangue (7 ml); 9 tubos de centrifugação de 50 ml</w:t>
      </w:r>
    </w:p>
    <w:p w:rsidR="00D427DE" w:rsidRPr="00AA5035" w:rsidRDefault="00CD19AB" w:rsidP="00D427DE">
      <w:pPr>
        <w:autoSpaceDE w:val="0"/>
        <w:autoSpaceDN w:val="0"/>
        <w:adjustRightInd w:val="0"/>
        <w:rPr>
          <w:rFonts w:ascii="Arial" w:eastAsia="MS Mincho" w:hAnsi="Arial" w:cs="Arial"/>
          <w:sz w:val="22"/>
          <w:szCs w:val="22"/>
          <w:lang w:val="pt-PT" w:eastAsia="ja-JP"/>
        </w:rPr>
      </w:pPr>
      <w:r>
        <w:rPr>
          <w:rFonts w:ascii="Arial" w:eastAsia="Arial" w:hAnsi="Arial" w:cs="Arial"/>
          <w:sz w:val="22"/>
          <w:szCs w:val="22"/>
          <w:bdr w:val="nil"/>
          <w:lang w:val="pt-PT" w:eastAsia="ja-JP"/>
        </w:rPr>
        <w:t>Intervalo de funcionamento de ambiente entre 4 °C a 65 °C, até 85% HR não-condensante</w:t>
      </w:r>
    </w:p>
    <w:p w:rsidR="00D427DE" w:rsidRPr="00AA5035" w:rsidRDefault="00CD19AB" w:rsidP="00D427DE">
      <w:pPr>
        <w:autoSpaceDE w:val="0"/>
        <w:autoSpaceDN w:val="0"/>
        <w:adjustRightInd w:val="0"/>
        <w:rPr>
          <w:rFonts w:ascii="Arial" w:eastAsia="MS Mincho" w:hAnsi="Arial" w:cs="Arial"/>
          <w:spacing w:val="-35"/>
          <w:sz w:val="22"/>
          <w:szCs w:val="22"/>
          <w:lang w:val="pt-PT" w:eastAsia="ja-JP"/>
        </w:rPr>
      </w:pPr>
      <w:r>
        <w:rPr>
          <w:rFonts w:ascii="Arial" w:eastAsia="Arial" w:hAnsi="Arial" w:cs="Arial"/>
          <w:sz w:val="22"/>
          <w:szCs w:val="22"/>
          <w:bdr w:val="nil"/>
          <w:lang w:val="pt-PT" w:eastAsia="ja-JP"/>
        </w:rPr>
        <w:t>Valores elétricos:  120V, 50/60Hz, 0,03 amps ou 230V, 50 /60Hz, 0,015 amps</w:t>
      </w:r>
    </w:p>
    <w:p w:rsidR="00D427DE" w:rsidRPr="00AA5035" w:rsidRDefault="00CD19AB" w:rsidP="00D427DE">
      <w:pPr>
        <w:tabs>
          <w:tab w:val="left" w:pos="1440"/>
        </w:tabs>
        <w:autoSpaceDE w:val="0"/>
        <w:autoSpaceDN w:val="0"/>
        <w:adjustRightInd w:val="0"/>
        <w:spacing w:line="210" w:lineRule="atLeast"/>
        <w:rPr>
          <w:rFonts w:ascii="Arial" w:eastAsia="MS Mincho" w:hAnsi="Arial" w:cs="Arial"/>
          <w:b/>
          <w:bCs/>
          <w:sz w:val="22"/>
          <w:szCs w:val="22"/>
          <w:lang w:val="pt-PT" w:eastAsia="ja-JP"/>
        </w:rPr>
      </w:pPr>
      <w:r w:rsidRPr="00AA5035">
        <w:rPr>
          <w:rFonts w:ascii="Arial" w:eastAsia="MS Mincho" w:hAnsi="Arial" w:cs="Arial"/>
          <w:b/>
          <w:bCs/>
          <w:sz w:val="22"/>
          <w:szCs w:val="22"/>
          <w:lang w:val="pt-PT" w:eastAsia="ja-JP"/>
        </w:rPr>
        <w:tab/>
      </w:r>
      <w:r w:rsidRPr="00AA5035">
        <w:rPr>
          <w:rFonts w:ascii="Arial" w:eastAsia="MS Mincho" w:hAnsi="Arial" w:cs="Arial"/>
          <w:b/>
          <w:bCs/>
          <w:sz w:val="22"/>
          <w:szCs w:val="22"/>
          <w:lang w:val="pt-PT" w:eastAsia="ja-JP"/>
        </w:rPr>
        <w:tab/>
      </w:r>
      <w:r w:rsidRPr="00AA5035">
        <w:rPr>
          <w:rFonts w:ascii="Arial" w:eastAsia="MS Mincho" w:hAnsi="Arial" w:cs="Arial"/>
          <w:b/>
          <w:bCs/>
          <w:sz w:val="22"/>
          <w:szCs w:val="22"/>
          <w:lang w:val="pt-PT" w:eastAsia="ja-JP"/>
        </w:rPr>
        <w:tab/>
      </w:r>
      <w:r w:rsidRPr="00AA5035">
        <w:rPr>
          <w:rFonts w:ascii="Arial" w:eastAsia="MS Mincho" w:hAnsi="Arial" w:cs="Arial"/>
          <w:b/>
          <w:bCs/>
          <w:sz w:val="22"/>
          <w:szCs w:val="22"/>
          <w:lang w:val="pt-PT" w:eastAsia="ja-JP"/>
        </w:rPr>
        <w:tab/>
      </w:r>
    </w:p>
    <w:p w:rsidR="00D427DE" w:rsidRPr="00AA5035" w:rsidRDefault="00CD19AB" w:rsidP="00F43EA6">
      <w:pPr>
        <w:autoSpaceDE w:val="0"/>
        <w:autoSpaceDN w:val="0"/>
        <w:adjustRightInd w:val="0"/>
        <w:spacing w:line="210" w:lineRule="atLeast"/>
        <w:rPr>
          <w:rFonts w:ascii="Arial" w:eastAsia="MS Mincho" w:hAnsi="Arial" w:cs="Arial"/>
          <w:b/>
          <w:bCs/>
          <w:sz w:val="22"/>
          <w:szCs w:val="22"/>
          <w:lang w:val="pt-PT" w:eastAsia="ja-JP"/>
        </w:rPr>
      </w:pPr>
      <w:r>
        <w:rPr>
          <w:rFonts w:ascii="Arial" w:eastAsia="Arial" w:hAnsi="Arial" w:cs="Arial"/>
          <w:b/>
          <w:bCs/>
          <w:sz w:val="22"/>
          <w:szCs w:val="22"/>
          <w:bdr w:val="nil"/>
          <w:lang w:val="pt-PT" w:eastAsia="ja-JP"/>
        </w:rPr>
        <w:t>SÍMBOLOS E CONVENÇÕES</w:t>
      </w:r>
    </w:p>
    <w:p w:rsidR="00F50E54" w:rsidRPr="00AA5035" w:rsidRDefault="00F26874" w:rsidP="00F43EA6">
      <w:pPr>
        <w:autoSpaceDE w:val="0"/>
        <w:autoSpaceDN w:val="0"/>
        <w:adjustRightInd w:val="0"/>
        <w:spacing w:line="210" w:lineRule="atLeast"/>
        <w:rPr>
          <w:rFonts w:ascii="Arial" w:eastAsia="MS Mincho" w:hAnsi="Arial" w:cs="Arial"/>
          <w:b/>
          <w:bCs/>
          <w:sz w:val="22"/>
          <w:szCs w:val="22"/>
          <w:lang w:val="pt-PT" w:eastAsia="ja-JP"/>
        </w:rPr>
      </w:pPr>
    </w:p>
    <w:p w:rsidR="00D427DE" w:rsidRPr="00AA5035" w:rsidRDefault="00CD19AB" w:rsidP="00D427DE">
      <w:pPr>
        <w:rPr>
          <w:rFonts w:ascii="Arial" w:hAnsi="Arial" w:cs="Arial"/>
          <w:b/>
          <w:sz w:val="22"/>
          <w:szCs w:val="22"/>
          <w:lang w:val="pt-PT"/>
        </w:rPr>
      </w:pPr>
      <w:r>
        <w:rPr>
          <w:rFonts w:eastAsia="Times New Roman"/>
          <w:bdr w:val="nil"/>
          <w:lang w:val="pt-PT"/>
        </w:rPr>
        <w:tab/>
      </w:r>
      <w:r>
        <w:rPr>
          <w:rFonts w:ascii="Arial" w:eastAsia="Arial" w:hAnsi="Arial" w:cs="Arial"/>
          <w:sz w:val="22"/>
          <w:szCs w:val="22"/>
          <w:bdr w:val="nil"/>
          <w:lang w:val="pt-PT"/>
        </w:rPr>
        <w:t xml:space="preserve">O gráfico seguinte é um glossário ilustrado dos símbolos que poderão ser </w:t>
      </w:r>
      <w:r>
        <w:rPr>
          <w:rFonts w:ascii="Arial" w:eastAsia="Arial" w:hAnsi="Arial" w:cs="Arial"/>
          <w:sz w:val="22"/>
          <w:szCs w:val="22"/>
          <w:bdr w:val="nil"/>
          <w:lang w:val="pt-PT"/>
        </w:rPr>
        <w:tab/>
        <w:t>utilizados neste manual, ou no produto</w:t>
      </w:r>
      <w:r>
        <w:rPr>
          <w:rFonts w:ascii="Arial" w:eastAsia="Arial" w:hAnsi="Arial" w:cs="Arial"/>
          <w:b/>
          <w:bCs/>
          <w:sz w:val="22"/>
          <w:szCs w:val="22"/>
          <w:bdr w:val="nil"/>
          <w:lang w:val="pt-PT"/>
        </w:rPr>
        <w:t>.</w:t>
      </w:r>
    </w:p>
    <w:p w:rsidR="00D427DE" w:rsidRPr="00AA5035" w:rsidRDefault="00F26874" w:rsidP="00D427DE">
      <w:pPr>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20"/>
      </w:tblGrid>
      <w:tr w:rsidR="000B6115" w:rsidRPr="00F26874" w:rsidTr="00C929B2">
        <w:tc>
          <w:tcPr>
            <w:tcW w:w="1188" w:type="dxa"/>
            <w:shd w:val="clear" w:color="auto" w:fill="auto"/>
          </w:tcPr>
          <w:p w:rsidR="00D427DE" w:rsidRPr="00C929B2" w:rsidRDefault="00CD19AB" w:rsidP="00C929B2">
            <w:pPr>
              <w:jc w:val="right"/>
              <w:rPr>
                <w:sz w:val="20"/>
                <w:szCs w:val="20"/>
              </w:rPr>
            </w:pPr>
            <w:r>
              <w:rPr>
                <w:noProof/>
                <w:sz w:val="20"/>
                <w:szCs w:val="20"/>
                <w:lang w:eastAsia="zh-TW"/>
              </w:rPr>
              <w:drawing>
                <wp:inline distT="0" distB="0" distL="0" distR="0">
                  <wp:extent cx="64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D427DE" w:rsidRPr="00AA5035" w:rsidRDefault="00CD19AB" w:rsidP="00C929B2">
            <w:pPr>
              <w:autoSpaceDE w:val="0"/>
              <w:autoSpaceDN w:val="0"/>
              <w:adjustRightInd w:val="0"/>
              <w:rPr>
                <w:rFonts w:ascii="Arial" w:hAnsi="Arial" w:cs="Arial"/>
                <w:sz w:val="20"/>
                <w:szCs w:val="20"/>
                <w:lang w:val="pt-PT"/>
              </w:rPr>
            </w:pPr>
            <w:r>
              <w:rPr>
                <w:rFonts w:ascii="Arial" w:eastAsia="Arial" w:hAnsi="Arial" w:cs="Arial"/>
                <w:sz w:val="20"/>
                <w:szCs w:val="20"/>
                <w:bdr w:val="nil"/>
                <w:lang w:val="pt-PT"/>
              </w:rPr>
              <w:t>A advertência elétrica indica a presença de um risco potencial que poderá resultar em choque elétrico.</w:t>
            </w:r>
          </w:p>
        </w:tc>
      </w:tr>
      <w:tr w:rsidR="000B6115" w:rsidRPr="00F26874" w:rsidTr="00C929B2">
        <w:trPr>
          <w:trHeight w:val="1088"/>
        </w:trPr>
        <w:tc>
          <w:tcPr>
            <w:tcW w:w="1188" w:type="dxa"/>
            <w:shd w:val="clear" w:color="auto" w:fill="auto"/>
          </w:tcPr>
          <w:p w:rsidR="00D427DE" w:rsidRPr="00C929B2" w:rsidRDefault="00CD19AB" w:rsidP="00C929B2">
            <w:pPr>
              <w:jc w:val="right"/>
              <w:rPr>
                <w:sz w:val="20"/>
                <w:szCs w:val="20"/>
              </w:rPr>
            </w:pPr>
            <w:r>
              <w:rPr>
                <w:noProof/>
                <w:sz w:val="20"/>
                <w:szCs w:val="20"/>
                <w:lang w:eastAsia="zh-TW"/>
              </w:rPr>
              <w:drawing>
                <wp:inline distT="0" distB="0" distL="0" distR="0">
                  <wp:extent cx="6381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D427DE" w:rsidRPr="00AA5035" w:rsidRDefault="00CD19AB" w:rsidP="00671DA8">
            <w:pPr>
              <w:rPr>
                <w:rFonts w:ascii="Arial" w:hAnsi="Arial" w:cs="Arial"/>
                <w:sz w:val="20"/>
                <w:szCs w:val="20"/>
                <w:lang w:val="pt-PT"/>
              </w:rPr>
            </w:pPr>
            <w:r>
              <w:rPr>
                <w:rFonts w:ascii="Arial" w:eastAsia="Arial" w:hAnsi="Arial" w:cs="Arial"/>
                <w:b/>
                <w:bCs/>
                <w:sz w:val="20"/>
                <w:szCs w:val="20"/>
                <w:bdr w:val="nil"/>
                <w:lang w:val="pt-PT"/>
              </w:rPr>
              <w:t>CUIDADO</w:t>
            </w:r>
            <w:r>
              <w:rPr>
                <w:rFonts w:ascii="Arial" w:eastAsia="Arial" w:hAnsi="Arial" w:cs="Arial"/>
                <w:sz w:val="20"/>
                <w:szCs w:val="20"/>
                <w:bdr w:val="nil"/>
                <w:lang w:val="pt-PT"/>
              </w:rPr>
              <w:t xml:space="preserve"> Este símbolo reporta-o a instruções importantes de operação e manutenção (serviço), dentro do Manual de Instruções do produto. A falha em tomar em atenção esta informação poderá representar um risco de dano ou lesão em pessoas, ou no equipamento. </w:t>
            </w:r>
          </w:p>
        </w:tc>
      </w:tr>
      <w:tr w:rsidR="000B6115" w:rsidRPr="00F26874" w:rsidTr="00C929B2">
        <w:trPr>
          <w:trHeight w:val="890"/>
        </w:trPr>
        <w:tc>
          <w:tcPr>
            <w:tcW w:w="1188" w:type="dxa"/>
            <w:shd w:val="clear" w:color="auto" w:fill="auto"/>
          </w:tcPr>
          <w:p w:rsidR="00D427DE" w:rsidRPr="00C929B2" w:rsidRDefault="00CD19AB" w:rsidP="00C929B2">
            <w:pPr>
              <w:jc w:val="center"/>
              <w:rPr>
                <w:sz w:val="20"/>
                <w:szCs w:val="20"/>
              </w:rPr>
            </w:pPr>
            <w:r>
              <w:rPr>
                <w:noProof/>
                <w:sz w:val="20"/>
                <w:szCs w:val="20"/>
                <w:lang w:eastAsia="zh-TW"/>
              </w:rPr>
              <w:drawing>
                <wp:inline distT="0" distB="0" distL="0" distR="0">
                  <wp:extent cx="447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47675" cy="438150"/>
                          </a:xfrm>
                          <a:prstGeom prst="rect">
                            <a:avLst/>
                          </a:prstGeom>
                          <a:noFill/>
                          <a:ln>
                            <a:noFill/>
                          </a:ln>
                        </pic:spPr>
                      </pic:pic>
                    </a:graphicData>
                  </a:graphic>
                </wp:inline>
              </w:drawing>
            </w:r>
          </w:p>
        </w:tc>
        <w:tc>
          <w:tcPr>
            <w:tcW w:w="7668" w:type="dxa"/>
            <w:shd w:val="clear" w:color="auto" w:fill="auto"/>
            <w:vAlign w:val="center"/>
          </w:tcPr>
          <w:p w:rsidR="00D427DE" w:rsidRPr="00AA5035" w:rsidRDefault="00CD19AB" w:rsidP="00671DA8">
            <w:pPr>
              <w:rPr>
                <w:rFonts w:ascii="Arial" w:hAnsi="Arial" w:cs="Arial"/>
                <w:sz w:val="20"/>
                <w:szCs w:val="20"/>
                <w:lang w:val="pt-PT"/>
              </w:rPr>
            </w:pPr>
            <w:r>
              <w:rPr>
                <w:rFonts w:ascii="Arial" w:eastAsia="Arial" w:hAnsi="Arial" w:cs="Arial"/>
                <w:sz w:val="20"/>
                <w:szCs w:val="20"/>
                <w:bdr w:val="nil"/>
                <w:lang w:val="pt-PT"/>
              </w:rPr>
              <w:t>Este símbolo identifica um terminal de Terra Protetor (TP), fornecido para ligação do condutor terra protetor (verde, ou verde/amarelo) do sistema de alimentação.</w:t>
            </w:r>
          </w:p>
        </w:tc>
      </w:tr>
    </w:tbl>
    <w:p w:rsidR="00FB1418" w:rsidRPr="00F26874" w:rsidRDefault="00CD19AB" w:rsidP="00FB1418">
      <w:pPr>
        <w:autoSpaceDE w:val="0"/>
        <w:autoSpaceDN w:val="0"/>
        <w:adjustRightInd w:val="0"/>
        <w:rPr>
          <w:rFonts w:ascii="Arial" w:hAnsi="Arial" w:cs="Arial"/>
          <w:b/>
          <w:sz w:val="22"/>
          <w:szCs w:val="22"/>
          <w:lang w:val="pt-PT"/>
        </w:rPr>
      </w:pPr>
      <w:r>
        <w:rPr>
          <w:rFonts w:ascii="Arial" w:eastAsia="Arial" w:hAnsi="Arial" w:cs="Arial"/>
          <w:b/>
          <w:bCs/>
          <w:sz w:val="22"/>
          <w:szCs w:val="22"/>
          <w:bdr w:val="nil"/>
          <w:lang w:val="pt-PT"/>
        </w:rPr>
        <w:lastRenderedPageBreak/>
        <w:t>DESCARTAR O EQUIPAMENTO-REGULAMENTOS EUROPEUS</w:t>
      </w:r>
    </w:p>
    <w:p w:rsidR="005C6071" w:rsidRPr="00F26874" w:rsidRDefault="00F26874" w:rsidP="00FB1418">
      <w:pPr>
        <w:autoSpaceDE w:val="0"/>
        <w:autoSpaceDN w:val="0"/>
        <w:adjustRightInd w:val="0"/>
        <w:rPr>
          <w:rFonts w:ascii="Arial" w:hAnsi="Arial" w:cs="Arial"/>
          <w:b/>
          <w:sz w:val="14"/>
          <w:szCs w:val="14"/>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0B6115" w:rsidRPr="00F26874" w:rsidTr="005C6071">
        <w:tc>
          <w:tcPr>
            <w:tcW w:w="2178" w:type="dxa"/>
          </w:tcPr>
          <w:p w:rsidR="005C6071" w:rsidRDefault="00CD19AB" w:rsidP="00FB1418">
            <w:pPr>
              <w:autoSpaceDE w:val="0"/>
              <w:autoSpaceDN w:val="0"/>
              <w:adjustRightInd w:val="0"/>
              <w:rPr>
                <w:rFonts w:ascii="Arial" w:hAnsi="Arial" w:cs="Arial"/>
                <w:sz w:val="22"/>
                <w:szCs w:val="22"/>
              </w:rPr>
            </w:pPr>
            <w:r w:rsidRPr="005C6071">
              <w:rPr>
                <w:rFonts w:ascii="Arial" w:hAnsi="Arial" w:cs="Arial"/>
                <w:noProof/>
                <w:sz w:val="22"/>
                <w:szCs w:val="22"/>
                <w:lang w:eastAsia="zh-TW"/>
              </w:rPr>
              <w:drawing>
                <wp:inline distT="0" distB="0" distL="0" distR="0">
                  <wp:extent cx="1343025" cy="1911985"/>
                  <wp:effectExtent l="19050" t="0" r="9525"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5C6071" w:rsidRPr="00AA5035" w:rsidRDefault="00CD19AB" w:rsidP="005C6071">
            <w:pPr>
              <w:jc w:val="both"/>
              <w:rPr>
                <w:rFonts w:ascii="Arial" w:hAnsi="Arial" w:cs="Arial"/>
                <w:i/>
                <w:iCs/>
                <w:lang w:val="pt-PT"/>
              </w:rPr>
            </w:pPr>
            <w:r>
              <w:rPr>
                <w:rFonts w:ascii="Arial" w:eastAsia="Arial" w:hAnsi="Arial" w:cs="Arial"/>
                <w:i/>
                <w:iCs/>
                <w:bdr w:val="nil"/>
                <w:lang w:val="pt-PT"/>
              </w:rPr>
              <w:t xml:space="preserve">De acordo com a Diretiva 2012/19/EU do Parlamento Europeu e do Conselho de 4 de julho de 2012 sobre Resíduos de Equipamentos Eletrónicos e Elétricos (REEE), o SelectBio MiniTwist está marcado com o caixote do lixo com uma cruz e não pode ser eliminado com resíduos domésticos. </w:t>
            </w:r>
          </w:p>
          <w:p w:rsidR="005C6071" w:rsidRPr="00AA5035" w:rsidRDefault="00F26874" w:rsidP="005C6071">
            <w:pPr>
              <w:jc w:val="both"/>
              <w:rPr>
                <w:rFonts w:ascii="Arial" w:hAnsi="Arial" w:cs="Arial"/>
                <w:i/>
                <w:iCs/>
                <w:lang w:val="pt-PT"/>
              </w:rPr>
            </w:pPr>
          </w:p>
          <w:p w:rsidR="005C6071" w:rsidRPr="00AA5035" w:rsidRDefault="00CD19AB" w:rsidP="005C6071">
            <w:pPr>
              <w:autoSpaceDE w:val="0"/>
              <w:autoSpaceDN w:val="0"/>
              <w:adjustRightInd w:val="0"/>
              <w:rPr>
                <w:rFonts w:ascii="Arial" w:hAnsi="Arial" w:cs="Arial"/>
                <w:sz w:val="22"/>
                <w:szCs w:val="22"/>
                <w:lang w:val="pt-PT"/>
              </w:rPr>
            </w:pPr>
            <w:r>
              <w:rPr>
                <w:rFonts w:ascii="Arial" w:eastAsia="Arial" w:hAnsi="Arial" w:cs="Arial"/>
                <w:i/>
                <w:iCs/>
                <w:bdr w:val="nil"/>
                <w:lang w:val="pt-PT"/>
              </w:rPr>
              <w:t xml:space="preserve">Consequentemente, o comprador irá seguir as instruções para reutilização e reciclagem de Resíduos de Equipamentos Eletrónicos e Elétricos (REEE), fornecidas com os produtos e disponíveis na seguinte ligação: </w:t>
            </w:r>
            <w:hyperlink r:id="rId17" w:history="1">
              <w:r>
                <w:rPr>
                  <w:rFonts w:ascii="Arial" w:eastAsia="Arial" w:hAnsi="Arial" w:cs="Arial"/>
                  <w:i/>
                  <w:iCs/>
                  <w:color w:val="0000FF"/>
                  <w:u w:val="single"/>
                  <w:bdr w:val="nil"/>
                  <w:lang w:val="pt-PT"/>
                </w:rPr>
                <w:t>www.corning.com/weee</w:t>
              </w:r>
            </w:hyperlink>
          </w:p>
        </w:tc>
      </w:tr>
    </w:tbl>
    <w:p w:rsidR="00FB1418" w:rsidRPr="00F26874" w:rsidRDefault="00F26874" w:rsidP="00FB1418">
      <w:pPr>
        <w:autoSpaceDE w:val="0"/>
        <w:autoSpaceDN w:val="0"/>
        <w:adjustRightInd w:val="0"/>
        <w:rPr>
          <w:rFonts w:ascii="Arial" w:hAnsi="Arial" w:cs="Arial"/>
          <w:sz w:val="8"/>
          <w:szCs w:val="8"/>
          <w:lang w:val="pt-PT"/>
        </w:rPr>
      </w:pPr>
    </w:p>
    <w:p w:rsidR="00FB1418" w:rsidRPr="00F26874" w:rsidRDefault="00F26874" w:rsidP="00FB1418">
      <w:pPr>
        <w:autoSpaceDE w:val="0"/>
        <w:autoSpaceDN w:val="0"/>
        <w:adjustRightInd w:val="0"/>
        <w:rPr>
          <w:rFonts w:eastAsia="Times New Roman"/>
          <w:b/>
          <w:sz w:val="14"/>
          <w:szCs w:val="10"/>
          <w:lang w:val="pt-PT" w:eastAsia="en-US"/>
        </w:rPr>
      </w:pPr>
    </w:p>
    <w:p w:rsidR="005F1FD5" w:rsidRPr="00AA5035" w:rsidRDefault="00CD19AB" w:rsidP="005F1FD5">
      <w:pPr>
        <w:autoSpaceDE w:val="0"/>
        <w:autoSpaceDN w:val="0"/>
        <w:adjustRightInd w:val="0"/>
        <w:jc w:val="center"/>
        <w:rPr>
          <w:rFonts w:eastAsia="Times New Roman"/>
          <w:b/>
          <w:sz w:val="28"/>
          <w:lang w:val="pt-PT" w:eastAsia="en-US"/>
        </w:rPr>
      </w:pPr>
      <w:r>
        <w:rPr>
          <w:rFonts w:eastAsia="Times New Roman"/>
          <w:b/>
          <w:bCs/>
          <w:sz w:val="28"/>
          <w:szCs w:val="28"/>
          <w:bdr w:val="nil"/>
          <w:lang w:val="pt-PT" w:eastAsia="en-US"/>
        </w:rPr>
        <w:t>Garantia Limitada</w:t>
      </w:r>
    </w:p>
    <w:p w:rsidR="005F1FD5" w:rsidRPr="00F26874" w:rsidRDefault="00F26874" w:rsidP="005F1FD5">
      <w:pPr>
        <w:autoSpaceDE w:val="0"/>
        <w:autoSpaceDN w:val="0"/>
        <w:adjustRightInd w:val="0"/>
        <w:jc w:val="both"/>
        <w:rPr>
          <w:sz w:val="20"/>
          <w:szCs w:val="16"/>
          <w:lang w:val="pt-PT"/>
        </w:rPr>
      </w:pPr>
    </w:p>
    <w:p w:rsidR="005F1FD5" w:rsidRPr="00AA5035" w:rsidRDefault="00CD19AB" w:rsidP="005F1FD5">
      <w:pPr>
        <w:jc w:val="both"/>
        <w:rPr>
          <w:rFonts w:ascii="Arial" w:hAnsi="Arial" w:cs="Arial"/>
          <w:noProof/>
          <w:sz w:val="18"/>
          <w:szCs w:val="16"/>
          <w:lang w:val="pt-PT"/>
        </w:rPr>
      </w:pPr>
      <w:r>
        <w:rPr>
          <w:rFonts w:ascii="Arial" w:hAnsi="Arial" w:cs="Arial"/>
          <w:noProof/>
          <w:sz w:val="18"/>
          <w:szCs w:val="16"/>
          <w:bdr w:val="nil"/>
          <w:lang w:val="pt-PT"/>
        </w:rPr>
        <w:t xml:space="preserve">A </w:t>
      </w:r>
      <w:r>
        <w:rPr>
          <w:rFonts w:ascii="Arial" w:eastAsia="Arial" w:hAnsi="Arial" w:cs="Arial"/>
          <w:noProof/>
          <w:sz w:val="18"/>
          <w:szCs w:val="18"/>
          <w:bdr w:val="nil"/>
          <w:lang w:val="pt-PT"/>
        </w:rPr>
        <w:t>Select BioProducts garante que este produto será livre de defeitos materiais e de fabrico por um período de dois (2) anos desde a data de compra.  Esta garantia é válida apenas se o produto for utilizado para o seu propósito e dentro das linhas de orientação especificadas no manual de instruções fornecido.</w:t>
      </w:r>
    </w:p>
    <w:p w:rsidR="005F1FD5" w:rsidRPr="00F26874" w:rsidRDefault="00F26874" w:rsidP="005F1FD5">
      <w:pPr>
        <w:jc w:val="both"/>
        <w:rPr>
          <w:rFonts w:ascii="Arial" w:hAnsi="Arial" w:cs="Arial"/>
          <w:noProof/>
          <w:sz w:val="10"/>
          <w:szCs w:val="8"/>
          <w:lang w:val="pt-PT"/>
        </w:rPr>
      </w:pPr>
    </w:p>
    <w:p w:rsidR="005F1FD5" w:rsidRPr="00F26874" w:rsidRDefault="00F26874" w:rsidP="005F1FD5">
      <w:pPr>
        <w:jc w:val="both"/>
        <w:rPr>
          <w:rFonts w:ascii="Arial" w:hAnsi="Arial" w:cs="Arial"/>
          <w:noProof/>
          <w:sz w:val="10"/>
          <w:szCs w:val="8"/>
          <w:lang w:val="pt-PT"/>
        </w:rPr>
      </w:pPr>
    </w:p>
    <w:p w:rsidR="005F1FD5" w:rsidRPr="00AA5035" w:rsidRDefault="00CD19AB" w:rsidP="005F1FD5">
      <w:pPr>
        <w:jc w:val="both"/>
        <w:rPr>
          <w:rFonts w:ascii="Arial" w:hAnsi="Arial" w:cs="Arial"/>
          <w:noProof/>
          <w:sz w:val="18"/>
          <w:szCs w:val="16"/>
          <w:lang w:val="pt-PT"/>
        </w:rPr>
      </w:pPr>
      <w:r>
        <w:rPr>
          <w:rFonts w:ascii="Arial" w:eastAsia="Arial" w:hAnsi="Arial" w:cs="Arial"/>
          <w:noProof/>
          <w:sz w:val="18"/>
          <w:szCs w:val="18"/>
          <w:bdr w:val="nil"/>
          <w:lang w:val="pt-PT"/>
        </w:rPr>
        <w:t>Se este produto necessitar de algum tipo de apoio técnico, contacte o departamento de Apoio Técnico da Select BioProducts, através do número 732-417-0700, para receber um número de autorização de devolução e instruções de envio.  Os produtos recebidos sem a devida autorização serão devolvidos.  Todos os itens devolvidos para serviço devem ser enviados através de um serviço de correio pré-pago, na sua embalagem original, ou outra embalagem de cartão apropriada, almofadadas de modo a prevenir danos.  A Select BioProducts não será responsável por danos incorridos devido a uma embalagem inadequada.  A Select BioProducts poderá eleger um serviço prestado no local para equipamentos de maior dimensão.</w:t>
      </w:r>
    </w:p>
    <w:p w:rsidR="005F1FD5" w:rsidRPr="00F26874" w:rsidRDefault="00F26874" w:rsidP="005F1FD5">
      <w:pPr>
        <w:jc w:val="both"/>
        <w:rPr>
          <w:rFonts w:ascii="Arial" w:hAnsi="Arial" w:cs="Arial"/>
          <w:noProof/>
          <w:sz w:val="10"/>
          <w:szCs w:val="8"/>
          <w:lang w:val="pt-PT"/>
        </w:rPr>
      </w:pPr>
    </w:p>
    <w:p w:rsidR="005F1FD5" w:rsidRPr="00AA5035" w:rsidRDefault="00CD19AB" w:rsidP="005F1FD5">
      <w:pPr>
        <w:jc w:val="both"/>
        <w:rPr>
          <w:rFonts w:ascii="Arial" w:hAnsi="Arial" w:cs="Arial"/>
          <w:noProof/>
          <w:sz w:val="18"/>
          <w:szCs w:val="16"/>
          <w:lang w:val="pt-PT"/>
        </w:rPr>
      </w:pPr>
      <w:r>
        <w:rPr>
          <w:rFonts w:ascii="Arial" w:eastAsia="Arial" w:hAnsi="Arial" w:cs="Arial"/>
          <w:noProof/>
          <w:sz w:val="18"/>
          <w:szCs w:val="18"/>
          <w:bdr w:val="nil"/>
          <w:lang w:val="pt-PT"/>
        </w:rPr>
        <w:t>Esta garantia não cobre danos causados por acidente, negligência, mau uso, serviço inadequado, causas naturais, ou outras causas não relacionadas com defeitos no material ou fabrico originais.  Esta garantia não cobre escovas do motor, fusíveis, lâmpadas, baterias, ou danos na pintura, ou acabamentos.  Queixas por danos no transporte deverão ser submetidas à empresa transportadora.</w:t>
      </w:r>
    </w:p>
    <w:p w:rsidR="005F1FD5" w:rsidRPr="00F26874" w:rsidRDefault="00F26874" w:rsidP="005F1FD5">
      <w:pPr>
        <w:jc w:val="both"/>
        <w:rPr>
          <w:rFonts w:ascii="Arial" w:hAnsi="Arial" w:cs="Arial"/>
          <w:noProof/>
          <w:sz w:val="10"/>
          <w:szCs w:val="8"/>
          <w:lang w:val="pt-PT"/>
        </w:rPr>
      </w:pPr>
    </w:p>
    <w:p w:rsidR="005F1FD5" w:rsidRPr="00AA5035" w:rsidRDefault="00CD19AB" w:rsidP="005F1FD5">
      <w:pPr>
        <w:jc w:val="both"/>
        <w:rPr>
          <w:rFonts w:ascii="Arial" w:hAnsi="Arial" w:cs="Arial"/>
          <w:noProof/>
          <w:sz w:val="18"/>
          <w:szCs w:val="16"/>
          <w:lang w:val="pt-PT"/>
        </w:rPr>
      </w:pPr>
      <w:r>
        <w:rPr>
          <w:rFonts w:ascii="Arial" w:eastAsia="Arial" w:hAnsi="Arial" w:cs="Arial"/>
          <w:noProof/>
          <w:sz w:val="18"/>
          <w:szCs w:val="18"/>
          <w:bdr w:val="nil"/>
          <w:lang w:val="pt-PT"/>
        </w:rPr>
        <w:t>TODAS AS GARANTIAS, INCLUINDO A GARANTIA IMPLÍCITA DE COMERCIABILIDADE E ADEQUAÇÃO PARA UM PROPÓSITO PARTICULAR SÃO LIMITADAS, COM UMA DURAÇÃO DE 24 MESES DESDE A DATA ORIGINAL DE COMPRA.</w:t>
      </w:r>
    </w:p>
    <w:p w:rsidR="005F1FD5" w:rsidRPr="00F26874" w:rsidRDefault="00F26874" w:rsidP="005F1FD5">
      <w:pPr>
        <w:jc w:val="both"/>
        <w:rPr>
          <w:rFonts w:ascii="Arial" w:hAnsi="Arial" w:cs="Arial"/>
          <w:noProof/>
          <w:sz w:val="10"/>
          <w:szCs w:val="8"/>
          <w:lang w:val="pt-PT"/>
        </w:rPr>
      </w:pPr>
    </w:p>
    <w:p w:rsidR="005F1FD5" w:rsidRPr="00AA5035" w:rsidRDefault="00CD19AB" w:rsidP="005F1FD5">
      <w:pPr>
        <w:jc w:val="both"/>
        <w:rPr>
          <w:rFonts w:ascii="Arial" w:hAnsi="Arial" w:cs="Arial"/>
          <w:noProof/>
          <w:sz w:val="18"/>
          <w:szCs w:val="16"/>
          <w:lang w:val="pt-PT"/>
        </w:rPr>
      </w:pPr>
      <w:r>
        <w:rPr>
          <w:rFonts w:ascii="Arial" w:eastAsia="Arial" w:hAnsi="Arial" w:cs="Arial"/>
          <w:noProof/>
          <w:sz w:val="18"/>
          <w:szCs w:val="18"/>
          <w:bdr w:val="nil"/>
          <w:lang w:val="pt-PT"/>
        </w:rPr>
        <w:t>A ÚNICA OBRIGAÇÃO DA SELECT BIOPRODUCTS, AO ABRIGO DESTA GARANTIA, ESTÁ LIMITADA À REPARAÇÃO OU SUBSTITUIÇÃO, CONFORME DECISÃO DA SELECT BIOPRODUCTS DE UM PRODUTO COM DEFEITO.  A SELECT BIOPRODUCTS NÃO É RESPONSÁVEL POR DANOS ACIDENTAIS OU CONSEQUENCIAIS, PERDA COMERCIAL, OU QUAISQUER OUTROS DANOS RESULTANTES DA UTILIZAÇÃO DESTE PRODUTO.</w:t>
      </w:r>
    </w:p>
    <w:p w:rsidR="005F1FD5" w:rsidRPr="00F26874" w:rsidRDefault="00F26874" w:rsidP="005F1FD5">
      <w:pPr>
        <w:jc w:val="both"/>
        <w:rPr>
          <w:rFonts w:ascii="Arial" w:hAnsi="Arial" w:cs="Arial"/>
          <w:noProof/>
          <w:sz w:val="10"/>
          <w:szCs w:val="8"/>
          <w:lang w:val="pt-PT"/>
        </w:rPr>
      </w:pPr>
    </w:p>
    <w:p w:rsidR="005F1FD5" w:rsidRPr="00AA5035" w:rsidRDefault="00CD19AB" w:rsidP="005F1FD5">
      <w:pPr>
        <w:jc w:val="both"/>
        <w:rPr>
          <w:rFonts w:ascii="Arial" w:hAnsi="Arial" w:cs="Arial"/>
          <w:noProof/>
          <w:sz w:val="18"/>
          <w:szCs w:val="16"/>
          <w:lang w:val="pt-PT"/>
        </w:rPr>
      </w:pPr>
      <w:r>
        <w:rPr>
          <w:rFonts w:ascii="Arial" w:eastAsia="Arial" w:hAnsi="Arial" w:cs="Arial"/>
          <w:noProof/>
          <w:sz w:val="18"/>
          <w:szCs w:val="18"/>
          <w:bdr w:val="nil"/>
          <w:lang w:val="pt-PT"/>
        </w:rPr>
        <w:t>Alguns estados não permitem a limitação na duração de garantias implícitas, ou a exclusão ou limitação de danos acidentais ou consequenciais.  Esta garantia dá-lhe direitos legais específicos.  Poderá ter outros direitos, os quais poderão variar de estado para estado.</w:t>
      </w:r>
    </w:p>
    <w:p w:rsidR="005F1FD5" w:rsidRPr="00F26874" w:rsidRDefault="00F26874" w:rsidP="005F1FD5">
      <w:pPr>
        <w:jc w:val="both"/>
        <w:rPr>
          <w:rFonts w:ascii="Arial" w:hAnsi="Arial" w:cs="Arial"/>
          <w:noProof/>
          <w:sz w:val="10"/>
          <w:szCs w:val="8"/>
          <w:lang w:val="pt-PT"/>
        </w:rPr>
      </w:pPr>
    </w:p>
    <w:p w:rsidR="005F1FD5" w:rsidRPr="00AA5035" w:rsidRDefault="00CD19AB" w:rsidP="005F1FD5">
      <w:pPr>
        <w:jc w:val="both"/>
        <w:rPr>
          <w:rFonts w:ascii="Arial" w:hAnsi="Arial" w:cs="Arial"/>
          <w:noProof/>
          <w:sz w:val="18"/>
          <w:szCs w:val="16"/>
          <w:lang w:val="pt-PT"/>
        </w:rPr>
      </w:pPr>
      <w:r>
        <w:rPr>
          <w:rFonts w:ascii="Arial" w:eastAsia="Arial" w:hAnsi="Arial" w:cs="Arial"/>
          <w:noProof/>
          <w:sz w:val="18"/>
          <w:szCs w:val="18"/>
          <w:bdr w:val="nil"/>
          <w:lang w:val="pt-PT"/>
        </w:rPr>
        <w:t xml:space="preserve">Nenhum indivíduo poderá aceitar pela, ou em nome da Select BioProducts., qualquer outra obrigação de responsabilidade, ou estender o período desta garantia. </w:t>
      </w:r>
    </w:p>
    <w:p w:rsidR="00FB1418" w:rsidRPr="00F26874" w:rsidRDefault="00EE70A7" w:rsidP="005F1FD5">
      <w:pPr>
        <w:jc w:val="both"/>
        <w:rPr>
          <w:rFonts w:ascii="Arial" w:hAnsi="Arial" w:cs="Arial"/>
          <w:noProof/>
          <w:sz w:val="10"/>
          <w:szCs w:val="8"/>
          <w:lang w:val="pt-PT"/>
        </w:rPr>
      </w:pPr>
      <w:r w:rsidRPr="00EE70A7">
        <w:rPr>
          <w:noProof/>
          <w:lang w:eastAsia="en-US"/>
        </w:rPr>
        <w:pict>
          <v:rect id="Rectangle 33" o:spid="_x0000_s1027" style="position:absolute;left:0;text-align:left;margin-left:186.75pt;margin-top:514.05pt;width:250.5pt;height:40.5pt;z-index:251661312;visibility:visible" filled="f"/>
        </w:pict>
      </w:r>
    </w:p>
    <w:tbl>
      <w:tblPr>
        <w:tblStyle w:val="TableGrid"/>
        <w:tblW w:w="0" w:type="auto"/>
        <w:jc w:val="center"/>
        <w:tblLook w:val="04A0"/>
      </w:tblPr>
      <w:tblGrid>
        <w:gridCol w:w="5380"/>
      </w:tblGrid>
      <w:tr w:rsidR="000B6115" w:rsidTr="00F26874">
        <w:trPr>
          <w:jc w:val="center"/>
        </w:trPr>
        <w:tc>
          <w:tcPr>
            <w:tcW w:w="5380" w:type="dxa"/>
          </w:tcPr>
          <w:p w:rsidR="005C6071" w:rsidRPr="00AA5035" w:rsidRDefault="00CD19AB" w:rsidP="005C6071">
            <w:pPr>
              <w:rPr>
                <w:rFonts w:ascii="Arial" w:hAnsi="Arial" w:cs="Arial"/>
                <w:b/>
                <w:i/>
                <w:lang w:val="pt-PT"/>
              </w:rPr>
            </w:pPr>
            <w:r>
              <w:rPr>
                <w:rFonts w:ascii="Arial" w:eastAsia="Arial" w:hAnsi="Arial" w:cs="Arial"/>
                <w:b/>
                <w:bCs/>
                <w:i/>
                <w:iCs/>
                <w:bdr w:val="nil"/>
                <w:lang w:val="pt-PT"/>
              </w:rPr>
              <w:t>Por favor, registe o seu produto online, em:</w:t>
            </w:r>
          </w:p>
          <w:p w:rsidR="005C6071" w:rsidRPr="005C6071" w:rsidRDefault="00CD19AB" w:rsidP="005C6071">
            <w:pPr>
              <w:jc w:val="center"/>
              <w:rPr>
                <w:rFonts w:ascii="Arial" w:hAnsi="Arial" w:cs="Arial"/>
                <w:b/>
                <w:i/>
              </w:rPr>
            </w:pPr>
            <w:r>
              <w:rPr>
                <w:rFonts w:ascii="Arial" w:eastAsia="Arial" w:hAnsi="Arial" w:cs="Arial"/>
                <w:b/>
                <w:bCs/>
                <w:i/>
                <w:iCs/>
                <w:bdr w:val="nil"/>
                <w:lang w:val="pt-PT"/>
              </w:rPr>
              <w:t>www.selectbioproducts.com</w:t>
            </w:r>
          </w:p>
        </w:tc>
      </w:tr>
    </w:tbl>
    <w:p w:rsidR="00FB1418" w:rsidRPr="005B33F0" w:rsidRDefault="00EE70A7" w:rsidP="00FB1418">
      <w:pPr>
        <w:jc w:val="center"/>
        <w:rPr>
          <w:rFonts w:ascii="Arial" w:hAnsi="Arial" w:cs="Arial"/>
          <w:sz w:val="18"/>
          <w:szCs w:val="18"/>
        </w:rPr>
      </w:pPr>
      <w:r w:rsidRPr="00EE70A7">
        <w:rPr>
          <w:noProof/>
          <w:lang w:eastAsia="en-US"/>
        </w:rPr>
        <w:pict>
          <v:rect id="Rectangle 29" o:spid="_x0000_s1028" style="position:absolute;left:0;text-align:left;margin-left:182.25pt;margin-top:560.7pt;width:250.5pt;height:40.5pt;z-index:251662336;visibility:visible;mso-position-horizontal-relative:text;mso-position-vertical-relative:text" filled="f"/>
        </w:pict>
      </w:r>
    </w:p>
    <w:p w:rsidR="00FB1418" w:rsidRPr="00AA5035" w:rsidRDefault="00CD19AB" w:rsidP="00FB1418">
      <w:pPr>
        <w:ind w:right="-1440"/>
        <w:rPr>
          <w:rFonts w:ascii="Arial" w:hAnsi="Arial" w:cs="Arial"/>
          <w:sz w:val="20"/>
          <w:szCs w:val="20"/>
          <w:lang w:val="pt-PT"/>
        </w:rPr>
      </w:pPr>
      <w:r>
        <w:rPr>
          <w:rFonts w:ascii="Arial" w:eastAsia="Arial" w:hAnsi="Arial" w:cs="Arial"/>
          <w:b/>
          <w:bCs/>
          <w:sz w:val="20"/>
          <w:szCs w:val="20"/>
          <w:bdr w:val="nil"/>
          <w:lang w:val="pt-PT"/>
        </w:rPr>
        <w:t>Garantia/Aviso Legal:</w:t>
      </w:r>
      <w:r>
        <w:rPr>
          <w:rFonts w:ascii="Arial" w:eastAsia="Arial" w:hAnsi="Arial" w:cs="Arial"/>
          <w:sz w:val="20"/>
          <w:szCs w:val="20"/>
          <w:bdr w:val="nil"/>
          <w:lang w:val="pt-PT"/>
        </w:rPr>
        <w:t xml:space="preserve"> A menos que especificado de modo contrário, todos os produtos destinam-se apenas a uso para investigação. Não é adequado para utilização em diagnóstico, ou procedimentos terapêuticos. A Select BioProducts não se responsabiliza pelo desempenho destes produtos em aplicações clínicas ou de diagnóstico.</w:t>
      </w:r>
    </w:p>
    <w:p w:rsidR="00FB1418" w:rsidRPr="00AA5035" w:rsidRDefault="00F26874" w:rsidP="005F1FD5">
      <w:pPr>
        <w:jc w:val="both"/>
        <w:rPr>
          <w:rFonts w:ascii="Arial" w:hAnsi="Arial" w:cs="Arial"/>
          <w:noProof/>
          <w:sz w:val="18"/>
          <w:szCs w:val="16"/>
          <w:lang w:val="pt-PT"/>
        </w:rPr>
      </w:pPr>
    </w:p>
    <w:p w:rsidR="002630EF" w:rsidRPr="00C15040" w:rsidRDefault="00CD19AB" w:rsidP="002630EF">
      <w:pPr>
        <w:jc w:val="right"/>
        <w:rPr>
          <w:rFonts w:ascii="Arial" w:hAnsi="Arial" w:cs="Arial"/>
          <w:sz w:val="20"/>
        </w:rPr>
      </w:pPr>
      <w:r>
        <w:rPr>
          <w:rFonts w:ascii="Arial" w:eastAsia="Arial" w:hAnsi="Arial" w:cs="Arial"/>
          <w:sz w:val="20"/>
          <w:szCs w:val="20"/>
          <w:bdr w:val="nil"/>
          <w:lang w:val="pt-PT"/>
        </w:rPr>
        <w:t>9299340000</w:t>
      </w:r>
      <w:bookmarkStart w:id="0" w:name="_GoBack"/>
      <w:bookmarkEnd w:id="0"/>
    </w:p>
    <w:sectPr w:rsidR="002630EF" w:rsidRPr="00C15040" w:rsidSect="005B33F0">
      <w:footerReference w:type="first" r:id="rId18"/>
      <w:pgSz w:w="12240" w:h="15840"/>
      <w:pgMar w:top="1440" w:right="1800" w:bottom="117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9AB" w:rsidRDefault="00CD19AB">
      <w:r>
        <w:separator/>
      </w:r>
    </w:p>
  </w:endnote>
  <w:endnote w:type="continuationSeparator" w:id="0">
    <w:p w:rsidR="00CD19AB" w:rsidRDefault="00CD19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3F0" w:rsidRDefault="00F26874" w:rsidP="005B33F0">
    <w:pPr>
      <w:autoSpaceDE w:val="0"/>
      <w:autoSpaceDN w:val="0"/>
      <w:adjustRightInd w:val="0"/>
      <w:spacing w:line="210" w:lineRule="atLeast"/>
      <w:rPr>
        <w:rFonts w:ascii="Arial" w:eastAsia="MS Mincho" w:hAnsi="Arial" w:cs="Arial"/>
        <w:b/>
        <w:bCs/>
        <w:sz w:val="18"/>
        <w:szCs w:val="18"/>
        <w:lang w:eastAsia="ja-JP"/>
      </w:rPr>
    </w:pPr>
  </w:p>
  <w:p w:rsidR="005B33F0" w:rsidRPr="00AA5035" w:rsidRDefault="00CD19AB" w:rsidP="003B2EC8">
    <w:pPr>
      <w:tabs>
        <w:tab w:val="left" w:pos="7200"/>
      </w:tabs>
      <w:autoSpaceDE w:val="0"/>
      <w:autoSpaceDN w:val="0"/>
      <w:adjustRightInd w:val="0"/>
      <w:spacing w:line="210" w:lineRule="atLeast"/>
      <w:rPr>
        <w:rFonts w:ascii="Arial" w:eastAsia="MS Mincho" w:hAnsi="Arial" w:cs="Arial"/>
        <w:b/>
        <w:bCs/>
        <w:sz w:val="18"/>
        <w:szCs w:val="18"/>
        <w:lang w:val="pt-PT" w:eastAsia="ja-JP"/>
      </w:rPr>
    </w:pPr>
    <w:r>
      <w:rPr>
        <w:rFonts w:ascii="Arial" w:eastAsia="Arial" w:hAnsi="Arial" w:cs="Arial"/>
        <w:b/>
        <w:bCs/>
        <w:sz w:val="18"/>
        <w:szCs w:val="18"/>
        <w:bdr w:val="nil"/>
        <w:lang w:val="pt-PT" w:eastAsia="ja-JP"/>
      </w:rPr>
      <w:t xml:space="preserve">Lit M00066  </w:t>
    </w:r>
    <w:r>
      <w:rPr>
        <w:rFonts w:ascii="Arial" w:eastAsia="Arial" w:hAnsi="Arial" w:cs="Arial"/>
        <w:b/>
        <w:bCs/>
        <w:sz w:val="18"/>
        <w:szCs w:val="18"/>
        <w:bdr w:val="nil"/>
        <w:lang w:val="pt-PT" w:eastAsia="ja-JP"/>
      </w:rPr>
      <w:tab/>
      <w:t>Rev.2, julho de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9AB" w:rsidRDefault="00CD19AB">
      <w:r>
        <w:separator/>
      </w:r>
    </w:p>
  </w:footnote>
  <w:footnote w:type="continuationSeparator" w:id="0">
    <w:p w:rsidR="00CD19AB" w:rsidRDefault="00CD19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stylePaneFormatFilter w:val="3F0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0B6115"/>
    <w:rsid w:val="000B6115"/>
    <w:rsid w:val="00AA5035"/>
    <w:rsid w:val="00CD19AB"/>
    <w:rsid w:val="00EE70A7"/>
    <w:rsid w:val="00F26874"/>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7DE"/>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7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7239"/>
    <w:pPr>
      <w:tabs>
        <w:tab w:val="center" w:pos="4320"/>
        <w:tab w:val="right" w:pos="8640"/>
      </w:tabs>
    </w:pPr>
  </w:style>
  <w:style w:type="paragraph" w:styleId="Footer">
    <w:name w:val="footer"/>
    <w:basedOn w:val="Normal"/>
    <w:rsid w:val="00AF7239"/>
    <w:pPr>
      <w:tabs>
        <w:tab w:val="center" w:pos="4320"/>
        <w:tab w:val="right" w:pos="8640"/>
      </w:tabs>
    </w:pPr>
  </w:style>
  <w:style w:type="character" w:styleId="Hyperlink">
    <w:name w:val="Hyperlink"/>
    <w:rsid w:val="00B37B06"/>
    <w:rPr>
      <w:color w:val="0000FF"/>
      <w:u w:val="single"/>
    </w:rPr>
  </w:style>
  <w:style w:type="paragraph" w:customStyle="1" w:styleId="AboutAHead">
    <w:name w:val="About.. A Head"/>
    <w:basedOn w:val="Normal"/>
    <w:uiPriority w:val="99"/>
    <w:rsid w:val="00FB1418"/>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FB1418"/>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BF3A57"/>
    <w:rPr>
      <w:rFonts w:ascii="Tahoma" w:hAnsi="Tahoma" w:cs="Tahoma"/>
      <w:sz w:val="16"/>
      <w:szCs w:val="16"/>
    </w:rPr>
  </w:style>
  <w:style w:type="character" w:customStyle="1" w:styleId="BalloonTextChar">
    <w:name w:val="Balloon Text Char"/>
    <w:basedOn w:val="DefaultParagraphFont"/>
    <w:link w:val="BalloonText"/>
    <w:rsid w:val="00BF3A57"/>
    <w:rPr>
      <w:rFonts w:ascii="Tahoma" w:eastAsia="Batang"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1263</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INSTRUCTION MANUAL – GYROMINI NUTATING MIXER</vt:lpstr>
    </vt:vector>
  </TitlesOfParts>
  <Company>Corning Incorporated</Company>
  <LinksUpToDate>false</LinksUpToDate>
  <CharactersWithSpaces>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creator>pankowje</dc:creator>
  <cp:keywords>Non-Corning</cp:keywords>
  <cp:lastModifiedBy>nprutting</cp:lastModifiedBy>
  <cp:revision>11</cp:revision>
  <cp:lastPrinted>2016-07-18T15:51:00Z</cp:lastPrinted>
  <dcterms:created xsi:type="dcterms:W3CDTF">2016-08-09T16:35:00Z</dcterms:created>
  <dcterms:modified xsi:type="dcterms:W3CDTF">2016-10-28T21:22:00Z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3f738ee5-24c7-44ed-b369-8eb135db9708</vt:lpwstr>
  </property>
</Properties>
</file>