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1A2198" w:rsidRDefault="003A43AF" w:rsidP="00F43EA6">
      <w:pPr>
        <w:autoSpaceDE w:val="0"/>
        <w:autoSpaceDN w:val="0"/>
        <w:adjustRightInd w:val="0"/>
        <w:rPr>
          <w:rFonts w:ascii="Eurostile" w:hAnsi="Eurostile"/>
          <w:b/>
          <w:sz w:val="52"/>
          <w:szCs w:val="52"/>
          <w:lang w:val="pt-PT"/>
        </w:rPr>
      </w:pPr>
      <w:r>
        <w:rPr>
          <w:rFonts w:ascii="Eurostile" w:hAnsi="Eurostile"/>
          <w:b/>
          <w:noProof/>
          <w:sz w:val="52"/>
          <w:szCs w:val="52"/>
          <w:lang w:eastAsia="en-US"/>
        </w:rPr>
        <w:pict>
          <v:line id="Line 29" o:spid="_x0000_s1036" style="position:absolute;z-index:251658240;visibility:visible" from="-37.45pt,35.85pt" to="474.05pt,35.85pt" strokeweight="3pt"/>
        </w:pict>
      </w:r>
      <w:r w:rsidR="000C2AAA">
        <w:rPr>
          <w:rFonts w:ascii="Eurostile" w:eastAsia="Eurostile" w:hAnsi="Eurostile" w:cs="Eurostile"/>
          <w:b/>
          <w:bCs/>
          <w:noProof/>
          <w:sz w:val="52"/>
          <w:szCs w:val="52"/>
          <w:bdr w:val="nil"/>
          <w:lang w:val="pt-PT" w:eastAsia="en-US"/>
        </w:rPr>
        <w:t>MISTURADOR VORTEX SELECT</w:t>
      </w:r>
    </w:p>
    <w:p w:rsidR="00F43EA6" w:rsidRPr="001A2198" w:rsidRDefault="003A43AF" w:rsidP="00F43EA6">
      <w:pPr>
        <w:autoSpaceDE w:val="0"/>
        <w:autoSpaceDN w:val="0"/>
        <w:adjustRightInd w:val="0"/>
        <w:rPr>
          <w:rFonts w:ascii="Arial" w:hAnsi="Arial" w:cs="Arial"/>
          <w:b/>
          <w:bCs/>
          <w:sz w:val="32"/>
          <w:szCs w:val="32"/>
          <w:lang w:val="pt-PT"/>
        </w:rPr>
      </w:pPr>
      <w:r w:rsidRPr="003A43AF">
        <w:rPr>
          <w:rFonts w:ascii="Copperplate Gothic Light" w:hAnsi="Copperplate Gothic Light"/>
          <w:noProof/>
          <w:sz w:val="62"/>
          <w:lang w:eastAsia="en-US"/>
        </w:rPr>
        <w:pict>
          <v:line id="Line 30" o:spid="_x0000_s1026" style="position:absolute;z-index:251659264;visibility:visible" from="-37.45pt,2.6pt" to="474.05pt,2.6pt" strokecolor="#005a7c" strokeweight="3pt"/>
        </w:pict>
      </w:r>
      <w:r w:rsidR="000C2AAA">
        <w:rPr>
          <w:rFonts w:ascii="Eurostile" w:eastAsia="Eurostile" w:hAnsi="Eurostile" w:cs="Eurostile"/>
          <w:b/>
          <w:bCs/>
          <w:noProof/>
          <w:sz w:val="48"/>
          <w:szCs w:val="48"/>
          <w:bdr w:val="nil"/>
          <w:lang w:val="pt-PT" w:eastAsia="en-US"/>
        </w:rPr>
        <w:t>Manual do Utilizador</w:t>
      </w:r>
    </w:p>
    <w:p w:rsidR="00F43EA6"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406239"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406239"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406239"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F43EA6" w:rsidRPr="001A2198" w:rsidRDefault="000C2AAA"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r>
        <w:rPr>
          <w:noProof/>
          <w:lang w:eastAsia="zh-TW"/>
        </w:rPr>
        <w:drawing>
          <wp:anchor distT="0" distB="0" distL="114300" distR="114300" simplePos="0" relativeHeight="251660288" behindDoc="1" locked="0" layoutInCell="1" allowOverlap="1">
            <wp:simplePos x="0" y="0"/>
            <wp:positionH relativeFrom="column">
              <wp:posOffset>989330</wp:posOffset>
            </wp:positionH>
            <wp:positionV relativeFrom="paragraph">
              <wp:posOffset>116205</wp:posOffset>
            </wp:positionV>
            <wp:extent cx="3648075" cy="3324225"/>
            <wp:effectExtent l="0" t="0" r="9525" b="9525"/>
            <wp:wrapNone/>
            <wp:docPr id="48" name="Picture 48" descr="SBP Select Vortex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BP Select Vortexer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648075" cy="3324225"/>
                    </a:xfrm>
                    <a:prstGeom prst="rect">
                      <a:avLst/>
                    </a:prstGeom>
                    <a:noFill/>
                    <a:ln>
                      <a:noFill/>
                    </a:ln>
                  </pic:spPr>
                </pic:pic>
              </a:graphicData>
            </a:graphic>
          </wp:anchor>
        </w:drawing>
      </w:r>
    </w:p>
    <w:p w:rsidR="00F43EA6"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1A2198" w:rsidRDefault="00F03237" w:rsidP="00D427DE">
      <w:pPr>
        <w:autoSpaceDE w:val="0"/>
        <w:autoSpaceDN w:val="0"/>
        <w:adjustRightInd w:val="0"/>
        <w:spacing w:line="210" w:lineRule="atLeast"/>
        <w:rPr>
          <w:rFonts w:ascii="Arial" w:eastAsia="MS Mincho" w:hAnsi="Arial" w:cs="Arial"/>
          <w:b/>
          <w:bCs/>
          <w:lang w:val="pt-PT" w:eastAsia="ja-JP"/>
        </w:rPr>
      </w:pPr>
    </w:p>
    <w:p w:rsidR="00B37B06" w:rsidRPr="001A2198" w:rsidRDefault="00F03237" w:rsidP="00D427DE">
      <w:pPr>
        <w:autoSpaceDE w:val="0"/>
        <w:autoSpaceDN w:val="0"/>
        <w:adjustRightInd w:val="0"/>
        <w:spacing w:line="210" w:lineRule="atLeast"/>
        <w:rPr>
          <w:rFonts w:ascii="Arial" w:eastAsia="MS Mincho" w:hAnsi="Arial" w:cs="Arial"/>
          <w:b/>
          <w:bCs/>
          <w:sz w:val="18"/>
          <w:szCs w:val="18"/>
          <w:lang w:val="pt-PT" w:eastAsia="ja-JP"/>
        </w:rPr>
      </w:pPr>
    </w:p>
    <w:p w:rsidR="00CF5CB4" w:rsidRPr="001A2198" w:rsidRDefault="00F03237" w:rsidP="00D427DE">
      <w:pPr>
        <w:autoSpaceDE w:val="0"/>
        <w:autoSpaceDN w:val="0"/>
        <w:adjustRightInd w:val="0"/>
        <w:spacing w:line="210" w:lineRule="atLeast"/>
        <w:rPr>
          <w:rFonts w:ascii="Arial" w:eastAsia="MS Mincho" w:hAnsi="Arial" w:cs="Arial"/>
          <w:b/>
          <w:bCs/>
          <w:sz w:val="18"/>
          <w:szCs w:val="18"/>
          <w:lang w:val="pt-PT" w:eastAsia="ja-JP"/>
        </w:rPr>
      </w:pPr>
    </w:p>
    <w:p w:rsidR="00CF5CB4" w:rsidRPr="001A2198" w:rsidRDefault="00F03237" w:rsidP="00D427DE">
      <w:pPr>
        <w:autoSpaceDE w:val="0"/>
        <w:autoSpaceDN w:val="0"/>
        <w:adjustRightInd w:val="0"/>
        <w:spacing w:line="210" w:lineRule="atLeast"/>
        <w:rPr>
          <w:rFonts w:ascii="Arial" w:eastAsia="MS Mincho" w:hAnsi="Arial" w:cs="Arial"/>
          <w:b/>
          <w:bCs/>
          <w:sz w:val="18"/>
          <w:szCs w:val="18"/>
          <w:lang w:val="pt-PT" w:eastAsia="ja-JP"/>
        </w:rPr>
      </w:pPr>
    </w:p>
    <w:p w:rsidR="00CF5CB4" w:rsidRPr="001A2198" w:rsidRDefault="00F03237" w:rsidP="00D427DE">
      <w:pPr>
        <w:autoSpaceDE w:val="0"/>
        <w:autoSpaceDN w:val="0"/>
        <w:adjustRightInd w:val="0"/>
        <w:spacing w:line="210" w:lineRule="atLeast"/>
        <w:rPr>
          <w:rFonts w:ascii="Arial" w:eastAsia="MS Mincho" w:hAnsi="Arial" w:cs="Arial"/>
          <w:b/>
          <w:bCs/>
          <w:sz w:val="18"/>
          <w:szCs w:val="18"/>
          <w:lang w:val="pt-PT" w:eastAsia="ja-JP"/>
        </w:rPr>
      </w:pPr>
    </w:p>
    <w:p w:rsidR="00CE6F5C" w:rsidRDefault="000C2AAA"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SBS100</w:t>
      </w:r>
    </w:p>
    <w:p w:rsidR="00CE6F5C" w:rsidRDefault="000C2AAA"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SBS100-2</w:t>
      </w:r>
    </w:p>
    <w:p w:rsidR="00CE6F5C" w:rsidRPr="00CC1FE0" w:rsidRDefault="000C2AAA"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SBS100-3</w:t>
      </w: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910804" w:rsidTr="00CE6F5C">
        <w:tc>
          <w:tcPr>
            <w:tcW w:w="4428" w:type="dxa"/>
          </w:tcPr>
          <w:p w:rsidR="00CE6F5C" w:rsidRDefault="003A43AF" w:rsidP="00D427DE">
            <w:pPr>
              <w:autoSpaceDE w:val="0"/>
              <w:autoSpaceDN w:val="0"/>
              <w:adjustRightInd w:val="0"/>
              <w:spacing w:line="210" w:lineRule="atLeast"/>
              <w:rPr>
                <w:rFonts w:ascii="Arial" w:eastAsia="MS Mincho" w:hAnsi="Arial" w:cs="Arial"/>
                <w:b/>
                <w:bCs/>
                <w:sz w:val="18"/>
                <w:szCs w:val="18"/>
                <w:lang w:eastAsia="ja-JP"/>
              </w:rPr>
            </w:pPr>
            <w:r>
              <w:rPr>
                <w:rFonts w:ascii="Arial" w:eastAsia="MS Mincho" w:hAnsi="Arial" w:cs="Arial"/>
                <w:b/>
                <w:bCs/>
                <w:sz w:val="18"/>
                <w:szCs w:val="18"/>
                <w:lang w:eastAsia="ja-JP"/>
              </w:rPr>
            </w:r>
            <w:r>
              <w:rPr>
                <w:rFonts w:ascii="Arial" w:eastAsia="MS Mincho" w:hAnsi="Arial" w:cs="Arial"/>
                <w:b/>
                <w:bCs/>
                <w:sz w:val="18"/>
                <w:szCs w:val="18"/>
                <w:lang w:eastAsia="ja-JP"/>
              </w:rPr>
              <w:pict>
                <v:group id="Group 64" o:spid="_x0000_s1027" style="width:125.5pt;height:39.4pt;mso-position-horizontal-relative:char;mso-position-vertical-relative:line" coordorigin="1854,14011" coordsize="2510,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alt="CE" style="position:absolute;left:1854;top:14051;width:563;height:399;visibility:visible">
                    <v:imagedata r:id="rId10" o:title="CE"/>
                  </v:shape>
                  <v:shape id="Picture 66" o:spid="_x0000_s1029" type="#_x0000_t75" alt="RoHS100" style="position:absolute;left:2556;top:14051;width:412;height:387;visibility:visible">
                    <v:imagedata r:id="rId11" o:title="RoHS100"/>
                  </v:shape>
                  <v:shape id="Picture 67" o:spid="_x0000_s1030" type="#_x0000_t75" alt="ETL" style="position:absolute;left:3711;top:14071;width:653;height:507;visibility:visible">
                    <v:imagedata r:id="rId12" o:title="ETL"/>
                  </v:shape>
                  <v:shape id="Picture 68" o:spid="_x0000_s1031" type="#_x0000_t75" alt="ETL EU" style="position:absolute;left:2928;top:14011;width:788;height:788;visibility:visible">
                    <v:imagedata r:id="rId13" o:title="ETL EU"/>
                  </v:shape>
                  <w10:wrap type="none"/>
                  <w10:anchorlock/>
                </v:group>
              </w:pict>
            </w:r>
          </w:p>
        </w:tc>
        <w:tc>
          <w:tcPr>
            <w:tcW w:w="4428" w:type="dxa"/>
          </w:tcPr>
          <w:p w:rsidR="00CE6F5C" w:rsidRDefault="000C2AAA" w:rsidP="00CE6F5C">
            <w:pPr>
              <w:autoSpaceDE w:val="0"/>
              <w:autoSpaceDN w:val="0"/>
              <w:adjustRightInd w:val="0"/>
              <w:spacing w:line="210" w:lineRule="atLeast"/>
              <w:jc w:val="right"/>
              <w:rPr>
                <w:rFonts w:ascii="Arial" w:eastAsia="MS Mincho" w:hAnsi="Arial" w:cs="Arial"/>
                <w:b/>
                <w:bCs/>
                <w:sz w:val="18"/>
                <w:szCs w:val="18"/>
                <w:lang w:eastAsia="ja-JP"/>
              </w:rPr>
            </w:pPr>
            <w:r w:rsidRPr="00CE6F5C">
              <w:rPr>
                <w:rFonts w:ascii="Arial" w:eastAsia="MS Mincho" w:hAnsi="Arial" w:cs="Arial"/>
                <w:b/>
                <w:bCs/>
                <w:noProof/>
                <w:sz w:val="18"/>
                <w:szCs w:val="18"/>
                <w:lang w:eastAsia="zh-TW"/>
              </w:rPr>
              <w:drawing>
                <wp:inline distT="0" distB="0" distL="0" distR="0">
                  <wp:extent cx="1701800" cy="685800"/>
                  <wp:effectExtent l="19050" t="0" r="0" b="0"/>
                  <wp:docPr id="4" name="Picture 4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Bio Logo cop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6065E" w:rsidRDefault="000C2AAA">
      <w:pPr>
        <w:rPr>
          <w:rFonts w:ascii="Arial" w:eastAsia="MS Mincho" w:hAnsi="Arial" w:cs="Arial"/>
          <w:b/>
          <w:bCs/>
          <w:sz w:val="18"/>
          <w:szCs w:val="18"/>
          <w:lang w:eastAsia="ja-JP"/>
        </w:rPr>
      </w:pPr>
      <w:r>
        <w:rPr>
          <w:rFonts w:ascii="Arial" w:eastAsia="MS Mincho" w:hAnsi="Arial" w:cs="Arial"/>
          <w:b/>
          <w:bCs/>
          <w:sz w:val="18"/>
          <w:szCs w:val="18"/>
          <w:lang w:eastAsia="ja-JP"/>
        </w:rPr>
        <w:br w:type="page"/>
      </w: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CF5CB4" w:rsidRDefault="00F03237" w:rsidP="00D427DE">
      <w:pPr>
        <w:autoSpaceDE w:val="0"/>
        <w:autoSpaceDN w:val="0"/>
        <w:adjustRightInd w:val="0"/>
        <w:spacing w:line="210" w:lineRule="atLeast"/>
        <w:rPr>
          <w:rFonts w:ascii="Arial" w:eastAsia="MS Mincho" w:hAnsi="Arial" w:cs="Arial"/>
          <w:b/>
          <w:bCs/>
          <w:sz w:val="18"/>
          <w:szCs w:val="18"/>
          <w:lang w:eastAsia="ja-JP"/>
        </w:rPr>
      </w:pPr>
    </w:p>
    <w:p w:rsidR="006B4C45" w:rsidRDefault="00F03237" w:rsidP="00D427DE">
      <w:pPr>
        <w:autoSpaceDE w:val="0"/>
        <w:autoSpaceDN w:val="0"/>
        <w:adjustRightInd w:val="0"/>
        <w:spacing w:line="210" w:lineRule="atLeast"/>
        <w:rPr>
          <w:rFonts w:ascii="Arial" w:eastAsia="MS Mincho" w:hAnsi="Arial" w:cs="Arial"/>
          <w:b/>
          <w:bCs/>
          <w:lang w:eastAsia="ja-JP"/>
        </w:rPr>
      </w:pPr>
    </w:p>
    <w:p w:rsidR="00C26C62" w:rsidRDefault="00F03237" w:rsidP="00CF5CB4">
      <w:pPr>
        <w:autoSpaceDE w:val="0"/>
        <w:autoSpaceDN w:val="0"/>
        <w:adjustRightInd w:val="0"/>
        <w:spacing w:after="58" w:line="252" w:lineRule="atLeast"/>
        <w:jc w:val="both"/>
        <w:rPr>
          <w:rFonts w:ascii="Arial" w:hAnsi="Arial" w:cs="Arial"/>
          <w:b/>
          <w:bCs/>
          <w:sz w:val="20"/>
          <w:szCs w:val="20"/>
        </w:rPr>
      </w:pPr>
    </w:p>
    <w:p w:rsidR="00C26C62" w:rsidRDefault="00F03237" w:rsidP="00CF5CB4">
      <w:pPr>
        <w:autoSpaceDE w:val="0"/>
        <w:autoSpaceDN w:val="0"/>
        <w:adjustRightInd w:val="0"/>
        <w:spacing w:after="58" w:line="252" w:lineRule="atLeast"/>
        <w:jc w:val="both"/>
        <w:rPr>
          <w:rFonts w:ascii="Arial" w:hAnsi="Arial" w:cs="Arial"/>
          <w:b/>
          <w:bCs/>
          <w:sz w:val="20"/>
          <w:szCs w:val="20"/>
        </w:rPr>
      </w:pPr>
    </w:p>
    <w:p w:rsidR="00C26C62" w:rsidRDefault="00F03237" w:rsidP="00CF5CB4">
      <w:pPr>
        <w:autoSpaceDE w:val="0"/>
        <w:autoSpaceDN w:val="0"/>
        <w:adjustRightInd w:val="0"/>
        <w:spacing w:after="58" w:line="252" w:lineRule="atLeast"/>
        <w:jc w:val="both"/>
        <w:rPr>
          <w:rFonts w:ascii="Arial" w:hAnsi="Arial" w:cs="Arial"/>
          <w:b/>
          <w:bCs/>
          <w:sz w:val="20"/>
          <w:szCs w:val="20"/>
        </w:rPr>
      </w:pPr>
    </w:p>
    <w:p w:rsidR="00C26C62" w:rsidRDefault="00F03237" w:rsidP="00CF5CB4">
      <w:pPr>
        <w:autoSpaceDE w:val="0"/>
        <w:autoSpaceDN w:val="0"/>
        <w:adjustRightInd w:val="0"/>
        <w:spacing w:after="58" w:line="252" w:lineRule="atLeast"/>
        <w:jc w:val="both"/>
        <w:rPr>
          <w:rFonts w:ascii="Arial" w:hAnsi="Arial" w:cs="Arial"/>
          <w:b/>
          <w:bCs/>
          <w:sz w:val="20"/>
          <w:szCs w:val="20"/>
        </w:rPr>
      </w:pPr>
    </w:p>
    <w:p w:rsidR="00C26C62" w:rsidRDefault="00F03237" w:rsidP="00CF5CB4">
      <w:pPr>
        <w:autoSpaceDE w:val="0"/>
        <w:autoSpaceDN w:val="0"/>
        <w:adjustRightInd w:val="0"/>
        <w:spacing w:after="58" w:line="252" w:lineRule="atLeast"/>
        <w:jc w:val="both"/>
        <w:rPr>
          <w:rFonts w:ascii="Arial" w:hAnsi="Arial" w:cs="Arial"/>
          <w:b/>
          <w:bCs/>
          <w:sz w:val="20"/>
          <w:szCs w:val="20"/>
        </w:rPr>
      </w:pPr>
    </w:p>
    <w:p w:rsidR="00C26C62" w:rsidRDefault="00F03237" w:rsidP="00CF5CB4">
      <w:pPr>
        <w:autoSpaceDE w:val="0"/>
        <w:autoSpaceDN w:val="0"/>
        <w:adjustRightInd w:val="0"/>
        <w:spacing w:after="58" w:line="252" w:lineRule="atLeast"/>
        <w:jc w:val="both"/>
        <w:rPr>
          <w:rFonts w:ascii="Arial" w:hAnsi="Arial" w:cs="Arial"/>
          <w:b/>
          <w:bCs/>
          <w:sz w:val="20"/>
          <w:szCs w:val="20"/>
        </w:rPr>
      </w:pPr>
    </w:p>
    <w:tbl>
      <w:tblPr>
        <w:tblStyle w:val="TableGrid"/>
        <w:tblW w:w="0" w:type="auto"/>
        <w:tblLook w:val="04A0"/>
      </w:tblPr>
      <w:tblGrid>
        <w:gridCol w:w="8856"/>
      </w:tblGrid>
      <w:tr w:rsidR="00910804" w:rsidRPr="00F03237" w:rsidTr="00C6065E">
        <w:tc>
          <w:tcPr>
            <w:tcW w:w="8856" w:type="dxa"/>
          </w:tcPr>
          <w:p w:rsidR="00C6065E" w:rsidRPr="001A2198" w:rsidRDefault="000C2AAA" w:rsidP="00C6065E">
            <w:pPr>
              <w:pStyle w:val="AboutAHead"/>
              <w:rPr>
                <w:rFonts w:ascii="Arial" w:hAnsi="Arial" w:cs="Arial"/>
                <w:lang w:val="pt-PT"/>
              </w:rPr>
            </w:pPr>
            <w:r>
              <w:rPr>
                <w:rFonts w:ascii="Arial" w:eastAsia="Arial" w:hAnsi="Arial" w:cs="Arial"/>
                <w:sz w:val="24"/>
                <w:szCs w:val="24"/>
                <w:bdr w:val="nil"/>
                <w:lang w:val="pt-PT"/>
              </w:rPr>
              <w:t>Acerca deste manual</w:t>
            </w:r>
          </w:p>
          <w:p w:rsidR="00C6065E" w:rsidRPr="001A2198" w:rsidRDefault="000C2AAA" w:rsidP="00C6065E">
            <w:pPr>
              <w:pStyle w:val="Aboutbody"/>
              <w:rPr>
                <w:rFonts w:ascii="Arial" w:hAnsi="Arial" w:cs="Arial"/>
                <w:sz w:val="22"/>
                <w:lang w:val="pt-PT"/>
              </w:rPr>
            </w:pPr>
            <w:r>
              <w:rPr>
                <w:rFonts w:ascii="Arial" w:eastAsia="Arial" w:hAnsi="Arial" w:cs="Arial"/>
                <w:sz w:val="22"/>
                <w:szCs w:val="22"/>
                <w:bdr w:val="nil"/>
                <w:lang w:val="pt-PT"/>
              </w:rPr>
              <w:t xml:space="preserve">Este manual foi elaborado para auxiliar na utilização otimizada do seu Misturador Vortex Select. O manual está disponível em inglês, francês, alemão, italiano, português e espanhol no nosso website, em </w:t>
            </w:r>
            <w:r>
              <w:rPr>
                <w:rFonts w:ascii="Arial" w:eastAsia="Arial" w:hAnsi="Arial" w:cs="Arial"/>
                <w:b/>
                <w:bCs/>
                <w:sz w:val="22"/>
                <w:szCs w:val="22"/>
                <w:bdr w:val="nil"/>
                <w:lang w:val="pt-PT"/>
              </w:rPr>
              <w:t>www.selectbioproducts.com</w:t>
            </w:r>
          </w:p>
        </w:tc>
      </w:tr>
    </w:tbl>
    <w:p w:rsidR="00C6065E" w:rsidRPr="001A2198" w:rsidRDefault="00F03237" w:rsidP="00CF5CB4">
      <w:pPr>
        <w:autoSpaceDE w:val="0"/>
        <w:autoSpaceDN w:val="0"/>
        <w:adjustRightInd w:val="0"/>
        <w:spacing w:after="58" w:line="252" w:lineRule="atLeast"/>
        <w:jc w:val="both"/>
        <w:rPr>
          <w:rFonts w:ascii="Arial" w:hAnsi="Arial" w:cs="Arial"/>
          <w:b/>
          <w:bCs/>
          <w:sz w:val="20"/>
          <w:szCs w:val="20"/>
          <w:lang w:val="pt-PT"/>
        </w:rPr>
      </w:pPr>
    </w:p>
    <w:p w:rsidR="00C6065E" w:rsidRPr="001A2198" w:rsidRDefault="000C2AAA">
      <w:pPr>
        <w:rPr>
          <w:rFonts w:ascii="Arial" w:hAnsi="Arial" w:cs="Arial"/>
          <w:b/>
          <w:bCs/>
          <w:sz w:val="20"/>
          <w:szCs w:val="20"/>
          <w:lang w:val="pt-PT"/>
        </w:rPr>
      </w:pPr>
      <w:r w:rsidRPr="001A2198">
        <w:rPr>
          <w:rFonts w:ascii="Arial" w:hAnsi="Arial" w:cs="Arial"/>
          <w:b/>
          <w:bCs/>
          <w:sz w:val="20"/>
          <w:szCs w:val="20"/>
          <w:lang w:val="pt-PT"/>
        </w:rPr>
        <w:br w:type="page"/>
      </w: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b/>
          <w:bCs/>
          <w:sz w:val="20"/>
          <w:szCs w:val="20"/>
          <w:bdr w:val="nil"/>
          <w:lang w:val="pt-PT"/>
        </w:rPr>
        <w:lastRenderedPageBreak/>
        <w:t>Introdução</w:t>
      </w:r>
    </w:p>
    <w:p w:rsidR="00CF5CB4" w:rsidRPr="001A2198" w:rsidRDefault="000C2AAA" w:rsidP="00F03237">
      <w:pPr>
        <w:autoSpaceDE w:val="0"/>
        <w:autoSpaceDN w:val="0"/>
        <w:adjustRightInd w:val="0"/>
        <w:spacing w:after="40" w:line="252" w:lineRule="atLeast"/>
        <w:jc w:val="both"/>
        <w:rPr>
          <w:rFonts w:ascii="Arial" w:hAnsi="Arial" w:cs="Arial"/>
          <w:sz w:val="20"/>
          <w:szCs w:val="20"/>
          <w:lang w:val="pt-PT"/>
        </w:rPr>
      </w:pPr>
      <w:r>
        <w:rPr>
          <w:rFonts w:ascii="Arial" w:eastAsia="Arial" w:hAnsi="Arial" w:cs="Arial"/>
          <w:sz w:val="20"/>
          <w:szCs w:val="20"/>
          <w:bdr w:val="nil"/>
          <w:lang w:val="pt-PT"/>
        </w:rPr>
        <w:t>O Misturador Vortex Select da Select BioProducts é um misturador vortex de laboratório para fins polivalentes.  A velocidade de mistura é ajustável, até 3.400 rpm.  Um interruptor de três posições permite que o misturador funcione continuamente, ou através de ativação por “toque”.  O mecanismo de agitação está especialmente desenhado para oferecer uma maior estabilidade, aguentando várias cargas.  A base em metal e pés em borracha proporcionam estabilidade adicional e previnem o “deslocamento” da unidade na bancada, mesmo na sua velocidade máxima.</w:t>
      </w:r>
    </w:p>
    <w:p w:rsidR="00CF5CB4" w:rsidRPr="001A2198" w:rsidRDefault="000C2AAA" w:rsidP="00F03237">
      <w:pPr>
        <w:autoSpaceDE w:val="0"/>
        <w:autoSpaceDN w:val="0"/>
        <w:adjustRightInd w:val="0"/>
        <w:spacing w:after="40" w:line="252" w:lineRule="atLeast"/>
        <w:jc w:val="both"/>
        <w:rPr>
          <w:rFonts w:ascii="Arial" w:hAnsi="Arial" w:cs="Arial"/>
          <w:sz w:val="20"/>
          <w:szCs w:val="20"/>
          <w:lang w:val="pt-PT"/>
        </w:rPr>
      </w:pPr>
      <w:r>
        <w:rPr>
          <w:rFonts w:ascii="Arial" w:eastAsia="Arial" w:hAnsi="Arial" w:cs="Arial"/>
          <w:sz w:val="20"/>
          <w:szCs w:val="20"/>
          <w:bdr w:val="nil"/>
          <w:lang w:val="pt-PT"/>
        </w:rPr>
        <w:t xml:space="preserve">Leia </w:t>
      </w:r>
      <w:r w:rsidR="001A2198">
        <w:rPr>
          <w:rFonts w:ascii="Arial" w:eastAsia="Arial" w:hAnsi="Arial" w:cs="Arial"/>
          <w:sz w:val="20"/>
          <w:szCs w:val="20"/>
          <w:bdr w:val="nil"/>
          <w:lang w:val="pt-PT"/>
        </w:rPr>
        <w:t>atentamente</w:t>
      </w:r>
      <w:bookmarkStart w:id="0" w:name="_GoBack"/>
      <w:bookmarkEnd w:id="0"/>
      <w:r>
        <w:rPr>
          <w:rFonts w:ascii="Arial" w:eastAsia="Arial" w:hAnsi="Arial" w:cs="Arial"/>
          <w:sz w:val="20"/>
          <w:szCs w:val="20"/>
          <w:bdr w:val="nil"/>
          <w:lang w:val="pt-PT"/>
        </w:rPr>
        <w:t xml:space="preserve"> este manual, antes de tentar colocar em funcionamento o Misturador Vortex.  Todas as pessoas que usem esta peça de equipamento deverão rever a secção referente às Precauções de Segurança deste manual.</w:t>
      </w:r>
    </w:p>
    <w:p w:rsidR="00CF5CB4" w:rsidRPr="001A2198" w:rsidRDefault="000C2AAA" w:rsidP="00CF5CB4">
      <w:pPr>
        <w:autoSpaceDE w:val="0"/>
        <w:autoSpaceDN w:val="0"/>
        <w:adjustRightInd w:val="0"/>
        <w:jc w:val="both"/>
        <w:rPr>
          <w:rFonts w:ascii="Arial" w:hAnsi="Arial" w:cs="Arial"/>
          <w:sz w:val="20"/>
          <w:szCs w:val="20"/>
          <w:lang w:val="pt-PT"/>
        </w:rPr>
      </w:pPr>
      <w:r>
        <w:rPr>
          <w:rFonts w:ascii="Arial" w:eastAsia="Arial" w:hAnsi="Arial" w:cs="Arial"/>
          <w:b/>
          <w:bCs/>
          <w:sz w:val="20"/>
          <w:szCs w:val="20"/>
          <w:bdr w:val="nil"/>
          <w:lang w:val="pt-PT"/>
        </w:rPr>
        <w:t>Especificações</w:t>
      </w:r>
    </w:p>
    <w:p w:rsidR="00CF5CB4" w:rsidRPr="001A2198"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Intervalo de velocidade</w:t>
      </w:r>
      <w:r>
        <w:rPr>
          <w:rFonts w:ascii="Arial" w:eastAsia="Arial" w:hAnsi="Arial" w:cs="Arial"/>
          <w:sz w:val="20"/>
          <w:szCs w:val="20"/>
          <w:bdr w:val="nil"/>
          <w:lang w:val="pt-PT"/>
        </w:rPr>
        <w:tab/>
        <w:t>3400 rpm (60 Hz)</w:t>
      </w:r>
    </w:p>
    <w:p w:rsidR="00CF5CB4" w:rsidRPr="001A2198" w:rsidRDefault="000C2AAA" w:rsidP="0078338E">
      <w:pPr>
        <w:tabs>
          <w:tab w:val="left" w:pos="3600"/>
        </w:tabs>
        <w:autoSpaceDE w:val="0"/>
        <w:autoSpaceDN w:val="0"/>
        <w:adjustRightInd w:val="0"/>
        <w:ind w:left="2880" w:firstLine="720"/>
        <w:jc w:val="both"/>
        <w:rPr>
          <w:rFonts w:ascii="Arial" w:hAnsi="Arial" w:cs="Arial"/>
          <w:sz w:val="20"/>
          <w:szCs w:val="20"/>
          <w:lang w:val="pt-PT"/>
        </w:rPr>
      </w:pPr>
      <w:r>
        <w:rPr>
          <w:rFonts w:ascii="Arial" w:eastAsia="Arial" w:hAnsi="Arial" w:cs="Arial"/>
          <w:sz w:val="20"/>
          <w:szCs w:val="20"/>
          <w:bdr w:val="nil"/>
          <w:lang w:val="pt-PT"/>
        </w:rPr>
        <w:t>2850 rpm (50Hz)</w:t>
      </w:r>
    </w:p>
    <w:p w:rsidR="00CF5CB4" w:rsidRPr="001A2198"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Modos de funcionamento</w:t>
      </w:r>
      <w:r>
        <w:rPr>
          <w:rFonts w:ascii="Arial" w:eastAsia="Arial" w:hAnsi="Arial" w:cs="Arial"/>
          <w:sz w:val="20"/>
          <w:szCs w:val="20"/>
          <w:bdr w:val="nil"/>
          <w:lang w:val="pt-PT"/>
        </w:rPr>
        <w:tab/>
        <w:t>Toque ou Contínuo</w:t>
      </w:r>
    </w:p>
    <w:p w:rsidR="00CF5CB4" w:rsidRPr="001A2198"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Intervalo de funcionamento de ambiente</w:t>
      </w:r>
      <w:r>
        <w:rPr>
          <w:rFonts w:ascii="Arial" w:eastAsia="Arial" w:hAnsi="Arial" w:cs="Arial"/>
          <w:sz w:val="20"/>
          <w:szCs w:val="20"/>
          <w:bdr w:val="nil"/>
          <w:lang w:val="pt-PT"/>
        </w:rPr>
        <w:tab/>
        <w:t>entre +4 ºc e 65 ºc</w:t>
      </w:r>
    </w:p>
    <w:p w:rsidR="00CF5CB4" w:rsidRPr="00CE6F5C"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 xml:space="preserve">Dimensões (l x p x a)  </w:t>
      </w:r>
      <w:r>
        <w:rPr>
          <w:rFonts w:ascii="Arial" w:eastAsia="Arial" w:hAnsi="Arial" w:cs="Arial"/>
          <w:sz w:val="20"/>
          <w:szCs w:val="20"/>
          <w:bdr w:val="nil"/>
          <w:lang w:val="pt-PT"/>
        </w:rPr>
        <w:tab/>
        <w:t>14 x 16 x 12 cm</w:t>
      </w:r>
    </w:p>
    <w:p w:rsidR="00CF5CB4" w:rsidRPr="001A2198"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Peso</w:t>
      </w:r>
      <w:r>
        <w:rPr>
          <w:rFonts w:ascii="Arial" w:eastAsia="Arial" w:hAnsi="Arial" w:cs="Arial"/>
          <w:sz w:val="20"/>
          <w:szCs w:val="20"/>
          <w:bdr w:val="nil"/>
          <w:lang w:val="pt-PT"/>
        </w:rPr>
        <w:tab/>
        <w:t>2,2 kg</w:t>
      </w:r>
    </w:p>
    <w:p w:rsidR="00CF5CB4" w:rsidRPr="001A2198"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Valores Elétricos</w:t>
      </w:r>
      <w:r>
        <w:rPr>
          <w:rFonts w:ascii="Arial" w:eastAsia="Arial" w:hAnsi="Arial" w:cs="Arial"/>
          <w:sz w:val="20"/>
          <w:szCs w:val="20"/>
          <w:bdr w:val="nil"/>
          <w:lang w:val="pt-PT"/>
        </w:rPr>
        <w:tab/>
        <w:t>120V, 60Hz, 0,6A</w:t>
      </w:r>
    </w:p>
    <w:p w:rsidR="00CF5CB4" w:rsidRPr="001A2198" w:rsidRDefault="000C2AAA" w:rsidP="0078338E">
      <w:pPr>
        <w:tabs>
          <w:tab w:val="left" w:pos="3600"/>
        </w:tabs>
        <w:autoSpaceDE w:val="0"/>
        <w:autoSpaceDN w:val="0"/>
        <w:adjustRightInd w:val="0"/>
        <w:jc w:val="both"/>
        <w:rPr>
          <w:rFonts w:ascii="Arial" w:hAnsi="Arial" w:cs="Arial"/>
          <w:sz w:val="20"/>
          <w:szCs w:val="20"/>
          <w:lang w:val="pt-PT"/>
        </w:rPr>
      </w:pPr>
      <w:r>
        <w:rPr>
          <w:rFonts w:ascii="Arial" w:eastAsia="Arial" w:hAnsi="Arial" w:cs="Arial"/>
          <w:sz w:val="20"/>
          <w:szCs w:val="20"/>
          <w:bdr w:val="nil"/>
          <w:lang w:val="pt-PT"/>
        </w:rPr>
        <w:tab/>
        <w:t>230V, 50Hz, 0,3A</w:t>
      </w:r>
    </w:p>
    <w:p w:rsidR="00CF5CB4" w:rsidRPr="00F03237" w:rsidRDefault="00F03237" w:rsidP="00F03237">
      <w:pPr>
        <w:autoSpaceDE w:val="0"/>
        <w:autoSpaceDN w:val="0"/>
        <w:adjustRightInd w:val="0"/>
        <w:spacing w:line="252" w:lineRule="atLeast"/>
        <w:jc w:val="both"/>
        <w:rPr>
          <w:rFonts w:ascii="Arial" w:hAnsi="Arial" w:cs="Arial"/>
          <w:b/>
          <w:bCs/>
          <w:sz w:val="14"/>
          <w:szCs w:val="14"/>
          <w:lang w:val="pt-PT"/>
        </w:rPr>
      </w:pP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b/>
          <w:bCs/>
          <w:sz w:val="20"/>
          <w:szCs w:val="20"/>
          <w:bdr w:val="nil"/>
          <w:lang w:val="pt-PT"/>
        </w:rPr>
        <w:t>Desempacotar o Misturador Vortex</w:t>
      </w: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sz w:val="20"/>
          <w:szCs w:val="20"/>
          <w:bdr w:val="nil"/>
          <w:lang w:val="pt-PT"/>
        </w:rPr>
        <w:t>Quando receber o Misturador Vortex, examine a embalagem de cartão exterior e verifique se tem danos.  Na eventualidade de haver danos decorrentes do envio, terá de ser submetida uma queixa à empresa transportadora dentro de 10 dias após a receção.  Guarde todas as embalagens para serem inspecionadas pela empresa transportadora.</w:t>
      </w:r>
    </w:p>
    <w:p w:rsidR="00CF5CB4" w:rsidRPr="001A2198" w:rsidRDefault="000C2AAA" w:rsidP="00CF5CB4">
      <w:pPr>
        <w:autoSpaceDE w:val="0"/>
        <w:autoSpaceDN w:val="0"/>
        <w:adjustRightInd w:val="0"/>
        <w:spacing w:line="252" w:lineRule="atLeast"/>
        <w:jc w:val="both"/>
        <w:rPr>
          <w:rFonts w:ascii="Arial" w:hAnsi="Arial" w:cs="Arial"/>
          <w:sz w:val="20"/>
          <w:szCs w:val="20"/>
          <w:lang w:val="pt-PT"/>
        </w:rPr>
      </w:pPr>
      <w:r>
        <w:rPr>
          <w:rFonts w:ascii="Arial" w:eastAsia="Arial" w:hAnsi="Arial" w:cs="Arial"/>
          <w:sz w:val="20"/>
          <w:szCs w:val="20"/>
          <w:bdr w:val="nil"/>
          <w:lang w:val="pt-PT"/>
        </w:rPr>
        <w:t>Retire cuidadosamente a unidade da embalagem e verifique se está completa.  Deverão estar incluídos na embalagem de cartão os seguintes itens:</w:t>
      </w:r>
    </w:p>
    <w:p w:rsidR="00CF5CB4" w:rsidRPr="001A2198" w:rsidRDefault="000C2AAA" w:rsidP="0078338E">
      <w:pPr>
        <w:autoSpaceDE w:val="0"/>
        <w:autoSpaceDN w:val="0"/>
        <w:adjustRightInd w:val="0"/>
        <w:ind w:left="1440"/>
        <w:jc w:val="both"/>
        <w:rPr>
          <w:rFonts w:ascii="Arial" w:hAnsi="Arial" w:cs="Arial"/>
          <w:sz w:val="20"/>
          <w:szCs w:val="20"/>
          <w:lang w:val="pt-PT"/>
        </w:rPr>
      </w:pPr>
      <w:r>
        <w:rPr>
          <w:rFonts w:ascii="Arial" w:eastAsia="Arial" w:hAnsi="Arial" w:cs="Arial"/>
          <w:sz w:val="20"/>
          <w:szCs w:val="20"/>
          <w:bdr w:val="nil"/>
          <w:lang w:val="pt-PT"/>
        </w:rPr>
        <w:t>Misturador vortex com cabeça da taça</w:t>
      </w:r>
    </w:p>
    <w:p w:rsidR="00CF5CB4" w:rsidRPr="001A2198" w:rsidRDefault="000C2AAA" w:rsidP="0078338E">
      <w:pPr>
        <w:autoSpaceDE w:val="0"/>
        <w:autoSpaceDN w:val="0"/>
        <w:adjustRightInd w:val="0"/>
        <w:spacing w:line="252" w:lineRule="atLeast"/>
        <w:ind w:left="1440"/>
        <w:jc w:val="both"/>
        <w:rPr>
          <w:rFonts w:ascii="Arial" w:hAnsi="Arial" w:cs="Arial"/>
          <w:sz w:val="20"/>
          <w:szCs w:val="20"/>
          <w:lang w:val="pt-PT"/>
        </w:rPr>
      </w:pPr>
      <w:r>
        <w:rPr>
          <w:rFonts w:ascii="Arial" w:eastAsia="Arial" w:hAnsi="Arial" w:cs="Arial"/>
          <w:sz w:val="20"/>
          <w:szCs w:val="20"/>
          <w:bdr w:val="nil"/>
          <w:lang w:val="pt-PT"/>
        </w:rPr>
        <w:t>Cabo elétrico</w:t>
      </w:r>
    </w:p>
    <w:p w:rsidR="00CF5CB4" w:rsidRPr="001A2198" w:rsidRDefault="000C2AAA" w:rsidP="0078338E">
      <w:pPr>
        <w:autoSpaceDE w:val="0"/>
        <w:autoSpaceDN w:val="0"/>
        <w:adjustRightInd w:val="0"/>
        <w:spacing w:line="252" w:lineRule="atLeast"/>
        <w:ind w:left="1440"/>
        <w:jc w:val="both"/>
        <w:rPr>
          <w:rFonts w:ascii="Arial" w:hAnsi="Arial" w:cs="Arial"/>
          <w:sz w:val="20"/>
          <w:szCs w:val="20"/>
          <w:lang w:val="pt-PT"/>
        </w:rPr>
      </w:pPr>
      <w:r>
        <w:rPr>
          <w:rFonts w:ascii="Arial" w:eastAsia="Arial" w:hAnsi="Arial" w:cs="Arial"/>
          <w:sz w:val="20"/>
          <w:szCs w:val="20"/>
          <w:bdr w:val="nil"/>
          <w:lang w:val="pt-PT"/>
        </w:rPr>
        <w:t>Manual de instruções</w:t>
      </w:r>
    </w:p>
    <w:p w:rsidR="00CF5CB4" w:rsidRPr="001A2198" w:rsidRDefault="00F03237" w:rsidP="00F03237">
      <w:pPr>
        <w:autoSpaceDE w:val="0"/>
        <w:autoSpaceDN w:val="0"/>
        <w:adjustRightInd w:val="0"/>
        <w:spacing w:line="252" w:lineRule="atLeast"/>
        <w:ind w:left="1440"/>
        <w:jc w:val="both"/>
        <w:rPr>
          <w:rFonts w:ascii="Arial" w:hAnsi="Arial" w:cs="Arial"/>
          <w:sz w:val="20"/>
          <w:szCs w:val="20"/>
          <w:lang w:val="pt-PT"/>
        </w:rPr>
      </w:pPr>
    </w:p>
    <w:p w:rsidR="00CF5CB4" w:rsidRPr="001A2198" w:rsidRDefault="000C2AAA" w:rsidP="00F03237">
      <w:pPr>
        <w:autoSpaceDE w:val="0"/>
        <w:autoSpaceDN w:val="0"/>
        <w:adjustRightInd w:val="0"/>
        <w:spacing w:after="40" w:line="252" w:lineRule="atLeast"/>
        <w:jc w:val="both"/>
        <w:rPr>
          <w:rFonts w:ascii="Arial" w:hAnsi="Arial" w:cs="Arial"/>
          <w:sz w:val="20"/>
          <w:szCs w:val="20"/>
          <w:lang w:val="pt-PT"/>
        </w:rPr>
      </w:pPr>
      <w:r>
        <w:rPr>
          <w:rFonts w:ascii="Arial" w:eastAsia="Arial" w:hAnsi="Arial" w:cs="Arial"/>
          <w:sz w:val="20"/>
          <w:szCs w:val="20"/>
          <w:bdr w:val="nil"/>
          <w:lang w:val="pt-PT"/>
        </w:rPr>
        <w:t>Se faltar algum destes itens, contacte imediatamente o seu distribuidor Select BioProducts.  Guarde a embalagem original, até que se tenha verificado que a unidade está a funcionar corretamente.</w:t>
      </w: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sz w:val="20"/>
          <w:szCs w:val="20"/>
          <w:bdr w:val="nil"/>
          <w:lang w:val="pt-PT"/>
        </w:rPr>
        <w:t>Verifique se a unidade está classificada para a voltagem apropriada, confirmando na etiqueta, na parte traseira, o n.º elétrico / de série.</w:t>
      </w:r>
    </w:p>
    <w:p w:rsidR="00CF5CB4" w:rsidRPr="00F03237" w:rsidRDefault="00F03237" w:rsidP="00F03237">
      <w:pPr>
        <w:autoSpaceDE w:val="0"/>
        <w:autoSpaceDN w:val="0"/>
        <w:adjustRightInd w:val="0"/>
        <w:spacing w:line="252" w:lineRule="atLeast"/>
        <w:jc w:val="both"/>
        <w:rPr>
          <w:rFonts w:ascii="Arial" w:hAnsi="Arial" w:cs="Arial"/>
          <w:b/>
          <w:bCs/>
          <w:sz w:val="14"/>
          <w:szCs w:val="14"/>
          <w:lang w:val="pt-PT"/>
        </w:rPr>
      </w:pP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b/>
          <w:bCs/>
          <w:sz w:val="20"/>
          <w:szCs w:val="20"/>
          <w:bdr w:val="nil"/>
          <w:lang w:val="pt-PT"/>
        </w:rPr>
        <w:t>Instalação</w:t>
      </w: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sz w:val="20"/>
          <w:szCs w:val="20"/>
          <w:bdr w:val="nil"/>
          <w:lang w:val="pt-PT"/>
        </w:rPr>
        <w:t xml:space="preserve">Coloque o misturador numa superfície nivelada e estável, perto de uma tomada elétrica de terra.  A superfície deve ser limpa e estar livre de pó, para assegurar que os pés agarram a superfície de forma firme.  Permita um espaço suficiente de todos os lados da unidade, para uma ventilação adequada. </w:t>
      </w:r>
    </w:p>
    <w:p w:rsidR="00CF5CB4" w:rsidRPr="001A2198" w:rsidRDefault="000C2AAA" w:rsidP="00F03237">
      <w:pPr>
        <w:autoSpaceDE w:val="0"/>
        <w:autoSpaceDN w:val="0"/>
        <w:adjustRightInd w:val="0"/>
        <w:spacing w:after="40" w:line="252" w:lineRule="atLeast"/>
        <w:jc w:val="both"/>
        <w:rPr>
          <w:rFonts w:ascii="Arial" w:hAnsi="Arial" w:cs="Arial"/>
          <w:sz w:val="21"/>
          <w:szCs w:val="21"/>
          <w:lang w:val="pt-PT"/>
        </w:rPr>
      </w:pPr>
      <w:r>
        <w:rPr>
          <w:rFonts w:ascii="Arial" w:eastAsia="Arial" w:hAnsi="Arial" w:cs="Arial"/>
          <w:sz w:val="20"/>
          <w:szCs w:val="20"/>
          <w:bdr w:val="nil"/>
          <w:lang w:val="pt-PT"/>
        </w:rPr>
        <w:t xml:space="preserve">Com o interruptor de energia na posição DESLIGADO, ligue a extensão elétrica numa tomada de terra.  </w:t>
      </w: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b/>
          <w:bCs/>
          <w:sz w:val="20"/>
          <w:szCs w:val="20"/>
          <w:bdr w:val="nil"/>
          <w:lang w:val="pt-PT"/>
        </w:rPr>
        <w:t>Funcionamento do Misturador Vortex</w:t>
      </w: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sz w:val="20"/>
          <w:szCs w:val="20"/>
          <w:bdr w:val="nil"/>
          <w:lang w:val="pt-PT"/>
        </w:rPr>
        <w:t>Todos os controlos para o seu funcionamento estão localizados no painel frontal.  O interruptor de energia, localizado do lado esquerdo do painel, tem três posições - TOQUE, DESLIGADO e LIGADO.  Quando colocado na posição TOQUE, o misturador é ativado carregando na cabeça de mistura.  Quando é retirada a pressão da cabeça de mistura, o seu funcionamento cessará.  Quando colocado na posição LIGADO, o misturador funcionará continuamente, até que o interruptor seja movido, ou para a posição DESLIGADO, ou para a posição TOQUE.</w:t>
      </w: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sz w:val="20"/>
          <w:szCs w:val="20"/>
          <w:bdr w:val="nil"/>
          <w:lang w:val="pt-PT"/>
        </w:rPr>
        <w:lastRenderedPageBreak/>
        <w:t xml:space="preserve">O controlo da velocidade, localizado do lado direito do painel, é ajustável de forma contínua.  </w:t>
      </w:r>
      <w:r>
        <w:rPr>
          <w:rFonts w:ascii="Arial" w:eastAsia="Arial" w:hAnsi="Arial" w:cs="Arial"/>
          <w:b/>
          <w:bCs/>
          <w:sz w:val="20"/>
          <w:szCs w:val="20"/>
          <w:bdr w:val="nil"/>
          <w:lang w:val="pt-PT"/>
        </w:rPr>
        <w:t xml:space="preserve">A velocidade oscilante aumenta a um </w:t>
      </w:r>
      <w:r>
        <w:rPr>
          <w:rFonts w:ascii="Arial" w:eastAsia="Arial" w:hAnsi="Arial" w:cs="Arial"/>
          <w:sz w:val="20"/>
          <w:szCs w:val="20"/>
          <w:bdr w:val="nil"/>
          <w:lang w:val="pt-PT"/>
        </w:rPr>
        <w:t>ritmo</w:t>
      </w:r>
      <w:r>
        <w:rPr>
          <w:rFonts w:ascii="Arial" w:eastAsia="Arial" w:hAnsi="Arial" w:cs="Arial"/>
          <w:b/>
          <w:bCs/>
          <w:sz w:val="20"/>
          <w:szCs w:val="20"/>
          <w:bdr w:val="nil"/>
          <w:lang w:val="pt-PT"/>
        </w:rPr>
        <w:t xml:space="preserve"> não uniforme</w:t>
      </w:r>
      <w:r>
        <w:rPr>
          <w:rFonts w:ascii="Arial" w:eastAsia="Arial" w:hAnsi="Arial" w:cs="Arial"/>
          <w:sz w:val="20"/>
          <w:szCs w:val="20"/>
          <w:bdr w:val="nil"/>
          <w:lang w:val="pt-PT"/>
        </w:rPr>
        <w:t>, até um máximo de 3.400 rpm, conforme o botão é rodado no sentido dos ponteiros do relógio.  Antes de ligar o misturador, configure o controlo de velocidade para o mínimo.</w:t>
      </w:r>
    </w:p>
    <w:p w:rsidR="00CF5CB4" w:rsidRPr="00F03237" w:rsidRDefault="00F03237" w:rsidP="00F03237">
      <w:pPr>
        <w:autoSpaceDE w:val="0"/>
        <w:autoSpaceDN w:val="0"/>
        <w:adjustRightInd w:val="0"/>
        <w:spacing w:line="252" w:lineRule="atLeast"/>
        <w:jc w:val="both"/>
        <w:rPr>
          <w:rFonts w:ascii="Arial" w:hAnsi="Arial" w:cs="Arial"/>
          <w:sz w:val="4"/>
          <w:szCs w:val="4"/>
          <w:lang w:val="pt-PT"/>
        </w:rPr>
      </w:pP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sz w:val="20"/>
          <w:szCs w:val="20"/>
          <w:bdr w:val="nil"/>
          <w:lang w:val="pt-PT"/>
        </w:rPr>
        <w:t>Para iniciar o seu funcionamento, mova o interruptor de energia, ou para a posição TOQUE, ou para a posição LIGADO e rode o controlo da velocidade para a configuração desejada.  Se o interruptor de energia estiver na posição LIGADO, a cabeça de mistura irá começar a mover-se imediatamente.  Se o interruptor de energia estiver na posição TOQUE, o funcionamento iniciar-se-á quando um objeto for colocado na cabeça de mistura e for aplicada uma ligeira pressão para baixar a cabeça.  A mistura cessará quando forem removidos o objeto e a pressão.</w:t>
      </w:r>
    </w:p>
    <w:p w:rsidR="00CF5CB4" w:rsidRPr="00F03237" w:rsidRDefault="00F03237" w:rsidP="00F03237">
      <w:pPr>
        <w:autoSpaceDE w:val="0"/>
        <w:autoSpaceDN w:val="0"/>
        <w:adjustRightInd w:val="0"/>
        <w:spacing w:line="252" w:lineRule="atLeast"/>
        <w:jc w:val="both"/>
        <w:rPr>
          <w:rFonts w:ascii="Arial" w:hAnsi="Arial" w:cs="Arial"/>
          <w:b/>
          <w:bCs/>
          <w:sz w:val="4"/>
          <w:szCs w:val="4"/>
          <w:lang w:val="pt-PT"/>
        </w:rPr>
      </w:pP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b/>
          <w:bCs/>
          <w:sz w:val="20"/>
          <w:szCs w:val="20"/>
          <w:bdr w:val="nil"/>
          <w:lang w:val="pt-PT"/>
        </w:rPr>
        <w:t>Precauções de segurança</w:t>
      </w: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sz w:val="20"/>
          <w:szCs w:val="20"/>
          <w:bdr w:val="nil"/>
          <w:lang w:val="pt-PT"/>
        </w:rPr>
        <w:t>Devem ter-se as seguintes precauções, aquando da operação ou trabalho realizado perto do Misturador Vortex:</w:t>
      </w:r>
    </w:p>
    <w:p w:rsidR="00406239" w:rsidRDefault="000C2AAA" w:rsidP="00CF5CB4">
      <w:pPr>
        <w:autoSpaceDE w:val="0"/>
        <w:autoSpaceDN w:val="0"/>
        <w:adjustRightInd w:val="0"/>
        <w:spacing w:after="58" w:line="252" w:lineRule="atLeast"/>
        <w:jc w:val="both"/>
        <w:rPr>
          <w:rFonts w:ascii="Arial" w:hAnsi="Arial" w:cs="Arial"/>
          <w:sz w:val="20"/>
          <w:szCs w:val="20"/>
        </w:rPr>
      </w:pPr>
      <w:r>
        <w:rPr>
          <w:noProof/>
          <w:sz w:val="20"/>
          <w:szCs w:val="20"/>
          <w:lang w:eastAsia="zh-TW"/>
        </w:rPr>
        <w:drawing>
          <wp:inline distT="0" distB="0" distL="0" distR="0">
            <wp:extent cx="643255" cy="53276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3255" cy="532765"/>
                    </a:xfrm>
                    <a:prstGeom prst="rect">
                      <a:avLst/>
                    </a:prstGeom>
                    <a:noFill/>
                    <a:ln>
                      <a:noFill/>
                    </a:ln>
                  </pic:spPr>
                </pic:pic>
              </a:graphicData>
            </a:graphic>
          </wp:inline>
        </w:drawing>
      </w:r>
    </w:p>
    <w:p w:rsidR="00406239" w:rsidRPr="001A2198" w:rsidRDefault="000C2AAA" w:rsidP="00406239">
      <w:pPr>
        <w:tabs>
          <w:tab w:val="left" w:pos="585"/>
        </w:tabs>
        <w:autoSpaceDE w:val="0"/>
        <w:autoSpaceDN w:val="0"/>
        <w:adjustRightInd w:val="0"/>
        <w:spacing w:after="29" w:line="252" w:lineRule="atLeast"/>
        <w:jc w:val="both"/>
        <w:rPr>
          <w:rFonts w:ascii="Arial" w:hAnsi="Arial" w:cs="Arial"/>
          <w:b/>
          <w:bCs/>
          <w:spacing w:val="-15"/>
          <w:sz w:val="22"/>
          <w:szCs w:val="22"/>
          <w:lang w:val="pt-PT"/>
        </w:rPr>
      </w:pPr>
      <w:r>
        <w:rPr>
          <w:rFonts w:ascii="Arial" w:eastAsia="Arial" w:hAnsi="Arial" w:cs="Arial"/>
          <w:spacing w:val="-15"/>
          <w:sz w:val="22"/>
          <w:szCs w:val="22"/>
          <w:bdr w:val="nil"/>
          <w:lang w:val="pt-PT"/>
        </w:rPr>
        <w:t xml:space="preserve">•  </w:t>
      </w:r>
      <w:r>
        <w:rPr>
          <w:rFonts w:ascii="Arial" w:eastAsia="Arial" w:hAnsi="Arial" w:cs="Arial"/>
          <w:b/>
          <w:bCs/>
          <w:spacing w:val="-15"/>
          <w:sz w:val="22"/>
          <w:szCs w:val="22"/>
          <w:bdr w:val="nil"/>
          <w:lang w:val="pt-PT"/>
        </w:rPr>
        <w:t>CUIDADO; EXISTE UM PONTO DE ENTALAMENTO ENTRE A CABEÇA DA TAÇA E O SISTEMA DE FECHO.</w:t>
      </w:r>
    </w:p>
    <w:p w:rsidR="00406239" w:rsidRPr="001A2198" w:rsidRDefault="000C2AAA" w:rsidP="00406239">
      <w:pPr>
        <w:tabs>
          <w:tab w:val="left" w:pos="585"/>
        </w:tabs>
        <w:autoSpaceDE w:val="0"/>
        <w:autoSpaceDN w:val="0"/>
        <w:adjustRightInd w:val="0"/>
        <w:spacing w:after="29" w:line="252" w:lineRule="atLeast"/>
        <w:jc w:val="both"/>
        <w:rPr>
          <w:rFonts w:ascii="Arial" w:hAnsi="Arial" w:cs="Arial"/>
          <w:b/>
          <w:bCs/>
          <w:spacing w:val="-15"/>
          <w:sz w:val="22"/>
          <w:szCs w:val="22"/>
          <w:lang w:val="pt-PT"/>
        </w:rPr>
      </w:pPr>
      <w:r>
        <w:rPr>
          <w:rFonts w:ascii="Arial" w:eastAsia="Arial" w:hAnsi="Arial" w:cs="Arial"/>
          <w:spacing w:val="-15"/>
          <w:sz w:val="22"/>
          <w:szCs w:val="22"/>
          <w:bdr w:val="nil"/>
          <w:lang w:val="pt-PT"/>
        </w:rPr>
        <w:t xml:space="preserve">•  </w:t>
      </w:r>
      <w:r>
        <w:rPr>
          <w:rFonts w:ascii="Arial" w:eastAsia="Arial" w:hAnsi="Arial" w:cs="Arial"/>
          <w:b/>
          <w:bCs/>
          <w:spacing w:val="-15"/>
          <w:sz w:val="22"/>
          <w:szCs w:val="22"/>
          <w:bdr w:val="nil"/>
          <w:lang w:val="pt-PT"/>
        </w:rPr>
        <w:t>Nunca coloque a unidade a funcionar sem a cabeça de mistura estar encaixada de forma segura.</w:t>
      </w:r>
    </w:p>
    <w:p w:rsidR="00406239" w:rsidRPr="001A2198" w:rsidRDefault="000C2AAA" w:rsidP="00406239">
      <w:pPr>
        <w:tabs>
          <w:tab w:val="left" w:pos="585"/>
        </w:tabs>
        <w:autoSpaceDE w:val="0"/>
        <w:autoSpaceDN w:val="0"/>
        <w:adjustRightInd w:val="0"/>
        <w:spacing w:after="29" w:line="252" w:lineRule="atLeast"/>
        <w:jc w:val="both"/>
        <w:rPr>
          <w:rFonts w:ascii="Arial" w:hAnsi="Arial" w:cs="Arial"/>
          <w:b/>
          <w:bCs/>
          <w:spacing w:val="-15"/>
          <w:sz w:val="22"/>
          <w:szCs w:val="22"/>
          <w:lang w:val="pt-PT"/>
        </w:rPr>
      </w:pPr>
      <w:r>
        <w:rPr>
          <w:rFonts w:ascii="Arial" w:eastAsia="Arial" w:hAnsi="Arial" w:cs="Arial"/>
          <w:b/>
          <w:bCs/>
          <w:spacing w:val="-15"/>
          <w:sz w:val="22"/>
          <w:szCs w:val="22"/>
          <w:bdr w:val="nil"/>
          <w:lang w:val="pt-PT"/>
        </w:rPr>
        <w:t>• Use sempre proteção ocular à prova de estilhaços.</w:t>
      </w:r>
    </w:p>
    <w:p w:rsidR="00406239" w:rsidRPr="001A2198" w:rsidRDefault="000C2AAA" w:rsidP="00406239">
      <w:pPr>
        <w:tabs>
          <w:tab w:val="left" w:pos="585"/>
        </w:tabs>
        <w:autoSpaceDE w:val="0"/>
        <w:autoSpaceDN w:val="0"/>
        <w:adjustRightInd w:val="0"/>
        <w:spacing w:after="29"/>
        <w:jc w:val="both"/>
        <w:rPr>
          <w:rFonts w:ascii="Arial" w:hAnsi="Arial" w:cs="Arial"/>
          <w:b/>
          <w:bCs/>
          <w:spacing w:val="-15"/>
          <w:sz w:val="22"/>
          <w:szCs w:val="22"/>
          <w:lang w:val="pt-PT"/>
        </w:rPr>
      </w:pPr>
      <w:r>
        <w:rPr>
          <w:rFonts w:ascii="Arial" w:eastAsia="Arial" w:hAnsi="Arial" w:cs="Arial"/>
          <w:b/>
          <w:bCs/>
          <w:spacing w:val="-15"/>
          <w:sz w:val="22"/>
          <w:szCs w:val="22"/>
          <w:bdr w:val="nil"/>
          <w:lang w:val="pt-PT"/>
        </w:rPr>
        <w:t>• Não utilize ou misture solventes e materiais inflamáveis no misturador, ou perto dele.</w:t>
      </w:r>
    </w:p>
    <w:p w:rsidR="00406239" w:rsidRPr="001A2198" w:rsidRDefault="000C2AAA" w:rsidP="00406239">
      <w:pPr>
        <w:tabs>
          <w:tab w:val="left" w:pos="585"/>
        </w:tabs>
        <w:autoSpaceDE w:val="0"/>
        <w:autoSpaceDN w:val="0"/>
        <w:adjustRightInd w:val="0"/>
        <w:spacing w:after="29"/>
        <w:jc w:val="both"/>
        <w:rPr>
          <w:rFonts w:ascii="Arial" w:hAnsi="Arial" w:cs="Arial"/>
          <w:b/>
          <w:bCs/>
          <w:spacing w:val="-15"/>
          <w:sz w:val="22"/>
          <w:szCs w:val="22"/>
          <w:lang w:val="pt-PT"/>
        </w:rPr>
      </w:pPr>
      <w:r>
        <w:rPr>
          <w:rFonts w:ascii="Arial" w:eastAsia="Arial" w:hAnsi="Arial" w:cs="Arial"/>
          <w:b/>
          <w:bCs/>
          <w:spacing w:val="-15"/>
          <w:sz w:val="22"/>
          <w:szCs w:val="22"/>
          <w:bdr w:val="nil"/>
          <w:lang w:val="pt-PT"/>
        </w:rPr>
        <w:t>• Agite amostras perigosas em locais confinados apropriados.</w:t>
      </w:r>
    </w:p>
    <w:p w:rsidR="00406239" w:rsidRPr="001A2198" w:rsidRDefault="000C2AAA" w:rsidP="00406239">
      <w:pPr>
        <w:tabs>
          <w:tab w:val="left" w:pos="585"/>
        </w:tabs>
        <w:autoSpaceDE w:val="0"/>
        <w:autoSpaceDN w:val="0"/>
        <w:adjustRightInd w:val="0"/>
        <w:spacing w:line="220" w:lineRule="atLeast"/>
        <w:jc w:val="both"/>
        <w:rPr>
          <w:rFonts w:ascii="Arial" w:hAnsi="Arial" w:cs="Arial"/>
          <w:b/>
          <w:bCs/>
          <w:spacing w:val="-15"/>
          <w:sz w:val="22"/>
          <w:szCs w:val="22"/>
          <w:lang w:val="pt-PT"/>
        </w:rPr>
      </w:pPr>
      <w:r>
        <w:rPr>
          <w:rFonts w:ascii="Arial" w:eastAsia="Arial" w:hAnsi="Arial" w:cs="Arial"/>
          <w:b/>
          <w:bCs/>
          <w:spacing w:val="-15"/>
          <w:sz w:val="22"/>
          <w:szCs w:val="22"/>
          <w:bdr w:val="nil"/>
          <w:lang w:val="pt-PT"/>
        </w:rPr>
        <w:t>• A reparação deve ser realizada apenas por indivíduos qualificados.</w:t>
      </w:r>
    </w:p>
    <w:p w:rsidR="00406239" w:rsidRPr="001A2198" w:rsidRDefault="000C2AAA" w:rsidP="00F03237">
      <w:pPr>
        <w:tabs>
          <w:tab w:val="left" w:pos="585"/>
        </w:tabs>
        <w:autoSpaceDE w:val="0"/>
        <w:autoSpaceDN w:val="0"/>
        <w:adjustRightInd w:val="0"/>
        <w:spacing w:line="220" w:lineRule="atLeast"/>
        <w:jc w:val="both"/>
        <w:rPr>
          <w:rFonts w:ascii="Arial" w:hAnsi="Arial" w:cs="Arial"/>
          <w:b/>
          <w:bCs/>
          <w:spacing w:val="-15"/>
          <w:sz w:val="22"/>
          <w:szCs w:val="22"/>
          <w:lang w:val="pt-PT"/>
        </w:rPr>
      </w:pPr>
      <w:r>
        <w:rPr>
          <w:rFonts w:ascii="Arial" w:eastAsia="Arial" w:hAnsi="Arial" w:cs="Arial"/>
          <w:b/>
          <w:bCs/>
          <w:spacing w:val="-15"/>
          <w:sz w:val="22"/>
          <w:szCs w:val="22"/>
          <w:bdr w:val="nil"/>
          <w:lang w:val="pt-PT"/>
        </w:rPr>
        <w:t>• Poderá ocorrer ineficiência da proteção, se utilizado de uma forma não especificada pelo fabricante.</w:t>
      </w:r>
    </w:p>
    <w:p w:rsidR="00CF5CB4" w:rsidRPr="00F03237" w:rsidRDefault="00F03237" w:rsidP="00F03237">
      <w:pPr>
        <w:autoSpaceDE w:val="0"/>
        <w:autoSpaceDN w:val="0"/>
        <w:adjustRightInd w:val="0"/>
        <w:spacing w:line="252" w:lineRule="atLeast"/>
        <w:jc w:val="both"/>
        <w:rPr>
          <w:rFonts w:ascii="Arial" w:hAnsi="Arial" w:cs="Arial"/>
          <w:b/>
          <w:bCs/>
          <w:sz w:val="4"/>
          <w:szCs w:val="4"/>
          <w:lang w:val="pt-PT"/>
        </w:rPr>
      </w:pPr>
    </w:p>
    <w:p w:rsidR="00CF5CB4" w:rsidRPr="001A2198" w:rsidRDefault="000C2AAA" w:rsidP="00CF5CB4">
      <w:pPr>
        <w:autoSpaceDE w:val="0"/>
        <w:autoSpaceDN w:val="0"/>
        <w:adjustRightInd w:val="0"/>
        <w:spacing w:after="58" w:line="252" w:lineRule="atLeast"/>
        <w:jc w:val="both"/>
        <w:rPr>
          <w:rFonts w:ascii="Arial" w:hAnsi="Arial" w:cs="Arial"/>
          <w:b/>
          <w:bCs/>
          <w:sz w:val="20"/>
          <w:szCs w:val="20"/>
          <w:lang w:val="pt-PT"/>
        </w:rPr>
      </w:pPr>
      <w:r>
        <w:rPr>
          <w:rFonts w:ascii="Arial" w:eastAsia="Arial" w:hAnsi="Arial" w:cs="Arial"/>
          <w:b/>
          <w:bCs/>
          <w:sz w:val="20"/>
          <w:szCs w:val="20"/>
          <w:bdr w:val="nil"/>
          <w:lang w:val="pt-PT"/>
        </w:rPr>
        <w:t>Acessórios</w:t>
      </w:r>
    </w:p>
    <w:p w:rsidR="00CF5CB4" w:rsidRPr="001A2198" w:rsidRDefault="000C2AAA" w:rsidP="00F03237">
      <w:pPr>
        <w:autoSpaceDE w:val="0"/>
        <w:autoSpaceDN w:val="0"/>
        <w:adjustRightInd w:val="0"/>
        <w:spacing w:line="252" w:lineRule="atLeast"/>
        <w:jc w:val="both"/>
        <w:rPr>
          <w:rFonts w:ascii="Arial" w:hAnsi="Arial" w:cs="Arial"/>
          <w:b/>
          <w:bCs/>
          <w:sz w:val="20"/>
          <w:szCs w:val="20"/>
          <w:lang w:val="pt-PT"/>
        </w:rPr>
      </w:pPr>
      <w:r>
        <w:rPr>
          <w:rFonts w:ascii="Arial" w:eastAsia="Arial" w:hAnsi="Arial" w:cs="Arial"/>
          <w:sz w:val="20"/>
          <w:szCs w:val="20"/>
          <w:bdr w:val="nil"/>
          <w:lang w:val="pt-PT"/>
        </w:rPr>
        <w:t xml:space="preserve">Estão disponíveis várias cabeças de mistura adicionais para o Misturador Vortex.  Para trocar as cabeças, remova a cabeça da taça, segurando a caixa de modo seguro, enquanto puxa a cabeça.   Em seguida, pode ser colocada e fixada no eixo uma cabeça opcional, pressionando a cabeça para baixo, de modo firme.  </w:t>
      </w:r>
      <w:r>
        <w:rPr>
          <w:rFonts w:ascii="Arial" w:eastAsia="Arial" w:hAnsi="Arial" w:cs="Arial"/>
          <w:b/>
          <w:bCs/>
          <w:sz w:val="20"/>
          <w:szCs w:val="20"/>
          <w:bdr w:val="nil"/>
          <w:lang w:val="pt-PT"/>
        </w:rPr>
        <w:t xml:space="preserve">Aquando da remoção das cabeças acessórias, puxe para cima apenas pelo conetor de plástico preto.  </w:t>
      </w:r>
      <w:r>
        <w:rPr>
          <w:rFonts w:ascii="Arial" w:eastAsia="Arial" w:hAnsi="Arial" w:cs="Arial"/>
          <w:sz w:val="20"/>
          <w:szCs w:val="20"/>
          <w:bdr w:val="nil"/>
          <w:lang w:val="pt-PT"/>
        </w:rPr>
        <w:t xml:space="preserve">Puxar pela zona da espuma, ou do prato de metal, poderá causar danos na cabeça acessória.     </w:t>
      </w:r>
    </w:p>
    <w:p w:rsidR="00CF5CB4" w:rsidRPr="00F03237" w:rsidRDefault="00F03237" w:rsidP="00CF5CB4">
      <w:pPr>
        <w:rPr>
          <w:sz w:val="8"/>
          <w:szCs w:val="8"/>
          <w:lang w:val="pt-PT"/>
        </w:rPr>
      </w:pPr>
    </w:p>
    <w:p w:rsidR="00CF5CB4" w:rsidRPr="001A2198" w:rsidRDefault="000C2AAA" w:rsidP="00F03237">
      <w:pPr>
        <w:tabs>
          <w:tab w:val="left" w:pos="585"/>
        </w:tabs>
        <w:autoSpaceDE w:val="0"/>
        <w:autoSpaceDN w:val="0"/>
        <w:adjustRightInd w:val="0"/>
        <w:spacing w:after="100" w:line="252" w:lineRule="atLeast"/>
        <w:jc w:val="both"/>
        <w:rPr>
          <w:rFonts w:ascii="Arial" w:hAnsi="Arial" w:cs="Arial"/>
          <w:sz w:val="20"/>
          <w:szCs w:val="20"/>
          <w:lang w:val="pt-PT"/>
        </w:rPr>
      </w:pPr>
      <w:r>
        <w:rPr>
          <w:rFonts w:ascii="Arial" w:eastAsia="Arial" w:hAnsi="Arial" w:cs="Arial"/>
          <w:b/>
          <w:bCs/>
          <w:spacing w:val="-15"/>
          <w:sz w:val="20"/>
          <w:szCs w:val="20"/>
          <w:bdr w:val="nil"/>
          <w:lang w:val="pt-PT"/>
        </w:rPr>
        <w:t>Não exceda a configuração de velocidade “Acessória Máx”, quando estiver a utilizar qualquer uma das cabeças acessórias.  Se o fizer, poderá causar danos no misturador vortex.</w:t>
      </w:r>
    </w:p>
    <w:p w:rsidR="00CF5CB4" w:rsidRPr="001A2198" w:rsidRDefault="000C2AAA" w:rsidP="00F03237">
      <w:pPr>
        <w:autoSpaceDE w:val="0"/>
        <w:autoSpaceDN w:val="0"/>
        <w:adjustRightInd w:val="0"/>
        <w:spacing w:line="252" w:lineRule="atLeast"/>
        <w:jc w:val="both"/>
        <w:rPr>
          <w:rFonts w:ascii="Arial" w:hAnsi="Arial" w:cs="Arial"/>
          <w:sz w:val="20"/>
          <w:szCs w:val="20"/>
          <w:lang w:val="pt-PT"/>
        </w:rPr>
      </w:pPr>
      <w:r>
        <w:rPr>
          <w:rFonts w:ascii="Arial" w:eastAsia="Arial" w:hAnsi="Arial" w:cs="Arial"/>
          <w:sz w:val="20"/>
          <w:szCs w:val="20"/>
          <w:bdr w:val="nil"/>
          <w:lang w:val="pt-PT"/>
        </w:rPr>
        <w:t>As cabeças de mistura opcionais são as seguintes:</w:t>
      </w:r>
    </w:p>
    <w:p w:rsidR="00CF5CB4" w:rsidRPr="00F03237" w:rsidRDefault="00F03237" w:rsidP="002A02B7">
      <w:pPr>
        <w:autoSpaceDE w:val="0"/>
        <w:autoSpaceDN w:val="0"/>
        <w:adjustRightInd w:val="0"/>
        <w:ind w:left="720"/>
        <w:jc w:val="both"/>
        <w:rPr>
          <w:rFonts w:ascii="Arial" w:hAnsi="Arial" w:cs="Arial"/>
          <w:sz w:val="2"/>
          <w:szCs w:val="2"/>
          <w:lang w:val="pt-PT"/>
        </w:rPr>
      </w:pP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SBS100-21</w:t>
      </w:r>
      <w:r>
        <w:rPr>
          <w:rFonts w:ascii="Arial" w:eastAsia="Arial" w:hAnsi="Arial" w:cs="Arial"/>
          <w:sz w:val="20"/>
          <w:szCs w:val="20"/>
          <w:bdr w:val="nil"/>
          <w:lang w:val="pt-PT"/>
        </w:rPr>
        <w:tab/>
        <w:t>Cabeça para microtubos, em espuma, para 80 tubos</w:t>
      </w: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SBS100-22</w:t>
      </w:r>
      <w:r>
        <w:rPr>
          <w:rFonts w:ascii="Arial" w:eastAsia="Arial" w:hAnsi="Arial" w:cs="Arial"/>
          <w:sz w:val="20"/>
          <w:szCs w:val="20"/>
          <w:bdr w:val="nil"/>
          <w:lang w:val="pt-PT"/>
        </w:rPr>
        <w:tab/>
        <w:t>Cabeça para micropratos, em espuma, para 1 microprato ou 64 tubos de 0,2 ml</w:t>
      </w: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SBS100-23</w:t>
      </w:r>
      <w:r>
        <w:rPr>
          <w:rFonts w:ascii="Arial" w:eastAsia="Arial" w:hAnsi="Arial" w:cs="Arial"/>
          <w:sz w:val="20"/>
          <w:szCs w:val="20"/>
          <w:bdr w:val="nil"/>
          <w:lang w:val="pt-PT"/>
        </w:rPr>
        <w:tab/>
        <w:t>Cabeça para tubos de 10-13 mm e 15 ml, para 16 tubos</w:t>
      </w: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SBS100-24</w:t>
      </w:r>
      <w:r>
        <w:rPr>
          <w:rFonts w:ascii="Arial" w:eastAsia="Arial" w:hAnsi="Arial" w:cs="Arial"/>
          <w:sz w:val="20"/>
          <w:szCs w:val="20"/>
          <w:bdr w:val="nil"/>
          <w:lang w:val="pt-PT"/>
        </w:rPr>
        <w:tab/>
        <w:t>Cabeça para tubos de 50 ml, para 6 tubos</w:t>
      </w: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SBS100-25</w:t>
      </w:r>
      <w:r>
        <w:rPr>
          <w:rFonts w:ascii="Arial" w:eastAsia="Arial" w:hAnsi="Arial" w:cs="Arial"/>
          <w:sz w:val="20"/>
          <w:szCs w:val="20"/>
          <w:bdr w:val="nil"/>
          <w:lang w:val="pt-PT"/>
        </w:rPr>
        <w:tab/>
        <w:t>Cabeça para 12 tubos de 1,5 ml, colocados horizontalmente</w:t>
      </w: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SBS100-26</w:t>
      </w:r>
      <w:r>
        <w:rPr>
          <w:rFonts w:ascii="Arial" w:eastAsia="Arial" w:hAnsi="Arial" w:cs="Arial"/>
          <w:sz w:val="20"/>
          <w:szCs w:val="20"/>
          <w:bdr w:val="nil"/>
          <w:lang w:val="pt-PT"/>
        </w:rPr>
        <w:tab/>
        <w:t>Cabeça para 4 tubos de 15ml, colocados horizontalmente</w:t>
      </w:r>
    </w:p>
    <w:p w:rsidR="00CF5CB4" w:rsidRPr="001A2198" w:rsidRDefault="000C2AAA" w:rsidP="00F03237">
      <w:pPr>
        <w:autoSpaceDE w:val="0"/>
        <w:autoSpaceDN w:val="0"/>
        <w:adjustRightInd w:val="0"/>
        <w:spacing w:line="360" w:lineRule="auto"/>
        <w:ind w:left="720" w:right="-630"/>
        <w:jc w:val="both"/>
        <w:rPr>
          <w:rFonts w:ascii="Arial" w:hAnsi="Arial" w:cs="Arial"/>
          <w:sz w:val="20"/>
          <w:szCs w:val="20"/>
          <w:lang w:val="pt-PT"/>
        </w:rPr>
      </w:pPr>
      <w:r>
        <w:rPr>
          <w:rFonts w:ascii="Arial" w:eastAsia="Arial" w:hAnsi="Arial" w:cs="Arial"/>
          <w:sz w:val="20"/>
          <w:szCs w:val="20"/>
          <w:bdr w:val="nil"/>
          <w:lang w:val="pt-PT"/>
        </w:rPr>
        <w:t>SBS100-27</w:t>
      </w:r>
      <w:r>
        <w:rPr>
          <w:rFonts w:ascii="Arial" w:eastAsia="Arial" w:hAnsi="Arial" w:cs="Arial"/>
          <w:sz w:val="20"/>
          <w:szCs w:val="20"/>
          <w:bdr w:val="nil"/>
          <w:lang w:val="pt-PT"/>
        </w:rPr>
        <w:tab/>
        <w:t>Cabeça para 2 tubos de 50 ml, colocados horizontalmente</w:t>
      </w:r>
    </w:p>
    <w:p w:rsidR="00CF5CB4" w:rsidRPr="001A2198" w:rsidRDefault="000C2AAA" w:rsidP="00CF5CB4">
      <w:pPr>
        <w:autoSpaceDE w:val="0"/>
        <w:autoSpaceDN w:val="0"/>
        <w:adjustRightInd w:val="0"/>
        <w:spacing w:after="115" w:line="252" w:lineRule="atLeast"/>
        <w:jc w:val="both"/>
        <w:rPr>
          <w:rFonts w:ascii="Arial" w:hAnsi="Arial" w:cs="Arial"/>
          <w:b/>
          <w:bCs/>
          <w:sz w:val="20"/>
          <w:szCs w:val="20"/>
          <w:lang w:val="pt-PT"/>
        </w:rPr>
      </w:pPr>
      <w:r>
        <w:rPr>
          <w:rFonts w:ascii="Arial" w:eastAsia="Arial" w:hAnsi="Arial" w:cs="Arial"/>
          <w:sz w:val="20"/>
          <w:szCs w:val="20"/>
          <w:bdr w:val="nil"/>
          <w:lang w:val="pt-PT"/>
        </w:rPr>
        <w:t>Contacte o ser Distribuidor Select BioProducts para mais informação sobre encomendas de cabeças adicionais</w:t>
      </w: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b/>
          <w:bCs/>
          <w:sz w:val="20"/>
          <w:szCs w:val="20"/>
          <w:bdr w:val="nil"/>
          <w:lang w:val="pt-PT"/>
        </w:rPr>
        <w:lastRenderedPageBreak/>
        <w:t>Cuidados e manutenção</w:t>
      </w:r>
    </w:p>
    <w:p w:rsidR="00CF5CB4" w:rsidRPr="001A2198" w:rsidRDefault="000C2AAA" w:rsidP="00CF5CB4">
      <w:pPr>
        <w:autoSpaceDE w:val="0"/>
        <w:autoSpaceDN w:val="0"/>
        <w:adjustRightInd w:val="0"/>
        <w:spacing w:after="58" w:line="252" w:lineRule="atLeast"/>
        <w:jc w:val="both"/>
        <w:rPr>
          <w:rFonts w:ascii="Arial" w:hAnsi="Arial" w:cs="Arial"/>
          <w:b/>
          <w:bCs/>
          <w:sz w:val="20"/>
          <w:szCs w:val="20"/>
          <w:lang w:val="pt-PT"/>
        </w:rPr>
      </w:pPr>
      <w:r>
        <w:rPr>
          <w:noProof/>
          <w:lang w:eastAsia="zh-TW"/>
        </w:rPr>
        <w:drawing>
          <wp:anchor distT="0" distB="0" distL="114300" distR="114300" simplePos="0" relativeHeight="251665408" behindDoc="0" locked="0" layoutInCell="1" allowOverlap="1">
            <wp:simplePos x="0" y="0"/>
            <wp:positionH relativeFrom="column">
              <wp:posOffset>65405</wp:posOffset>
            </wp:positionH>
            <wp:positionV relativeFrom="paragraph">
              <wp:posOffset>96520</wp:posOffset>
            </wp:positionV>
            <wp:extent cx="643255" cy="552450"/>
            <wp:effectExtent l="0" t="0" r="4445"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3255" cy="552450"/>
                    </a:xfrm>
                    <a:prstGeom prst="rect">
                      <a:avLst/>
                    </a:prstGeom>
                    <a:noFill/>
                    <a:ln>
                      <a:noFill/>
                    </a:ln>
                  </pic:spPr>
                </pic:pic>
              </a:graphicData>
            </a:graphic>
          </wp:anchor>
        </w:drawing>
      </w:r>
    </w:p>
    <w:p w:rsidR="00CF5CB4" w:rsidRPr="001A2198" w:rsidRDefault="000C2AAA" w:rsidP="00CF5CB4">
      <w:pPr>
        <w:autoSpaceDE w:val="0"/>
        <w:autoSpaceDN w:val="0"/>
        <w:adjustRightInd w:val="0"/>
        <w:spacing w:after="58" w:line="252" w:lineRule="atLeast"/>
        <w:jc w:val="both"/>
        <w:rPr>
          <w:rFonts w:ascii="Arial" w:hAnsi="Arial" w:cs="Arial"/>
          <w:b/>
          <w:bCs/>
          <w:sz w:val="20"/>
          <w:szCs w:val="20"/>
          <w:lang w:val="pt-PT"/>
        </w:rPr>
      </w:pPr>
      <w:r>
        <w:rPr>
          <w:rFonts w:ascii="Arial" w:eastAsia="Arial" w:hAnsi="Arial" w:cs="Arial"/>
          <w:b/>
          <w:bCs/>
          <w:sz w:val="20"/>
          <w:szCs w:val="20"/>
          <w:bdr w:val="nil"/>
          <w:lang w:val="pt-PT"/>
        </w:rPr>
        <w:t xml:space="preserve">Advertência:  Desligue o misturador vortex da corrente elétrica, antes de tentar proceder a qualquer limpeza ou manutenção.  </w:t>
      </w:r>
    </w:p>
    <w:p w:rsidR="00CF5CB4" w:rsidRPr="001A2198" w:rsidRDefault="00F03237" w:rsidP="00CF5CB4">
      <w:pPr>
        <w:autoSpaceDE w:val="0"/>
        <w:autoSpaceDN w:val="0"/>
        <w:adjustRightInd w:val="0"/>
        <w:spacing w:after="58" w:line="252" w:lineRule="atLeast"/>
        <w:jc w:val="both"/>
        <w:rPr>
          <w:rFonts w:ascii="Arial" w:hAnsi="Arial" w:cs="Arial"/>
          <w:sz w:val="20"/>
          <w:szCs w:val="20"/>
          <w:lang w:val="pt-PT"/>
        </w:rPr>
      </w:pP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sz w:val="20"/>
          <w:szCs w:val="20"/>
          <w:bdr w:val="nil"/>
          <w:lang w:val="pt-PT"/>
        </w:rPr>
        <w:t>Após cada utilização, limpe o misturador com um pano suave.  Não realize a imersão da unidade, ou verta líquidos sobre esta, pois poderá ocorrer choque elétrico.  Limpe quaisquer derrames imediatamente, tomando as devidas precauções.  Se necessário, a cabeça de mistura poderá ser removida.  Primeiro, desligue o misturador vortex da corrente elétrica e, então, remova o conjunto da cabeça da taça, segurando na caixa de forma segura, enquanto puxa a cabeça para cima.  A cabeça poderá, então, ser limpa com um detergente suave.  Assegure-se de que a cabeça é seca minuciosamente, antes de a recolocar na unidade.</w:t>
      </w:r>
    </w:p>
    <w:p w:rsidR="00CF5CB4" w:rsidRPr="001A2198" w:rsidRDefault="000C2AAA" w:rsidP="00CF5CB4">
      <w:pPr>
        <w:autoSpaceDE w:val="0"/>
        <w:autoSpaceDN w:val="0"/>
        <w:adjustRightInd w:val="0"/>
        <w:spacing w:after="115" w:line="252" w:lineRule="atLeast"/>
        <w:jc w:val="both"/>
        <w:rPr>
          <w:rFonts w:ascii="Arial" w:hAnsi="Arial" w:cs="Arial"/>
          <w:sz w:val="20"/>
          <w:szCs w:val="20"/>
          <w:lang w:val="pt-PT"/>
        </w:rPr>
      </w:pPr>
      <w:r>
        <w:rPr>
          <w:rFonts w:ascii="Arial" w:eastAsia="Arial" w:hAnsi="Arial" w:cs="Arial"/>
          <w:sz w:val="20"/>
          <w:szCs w:val="20"/>
          <w:bdr w:val="nil"/>
          <w:lang w:val="pt-PT"/>
        </w:rPr>
        <w:t>O motor e o mecanismo de mistura no Misturador Vortex não requerem qualquer manutenção ou lubrificação de rotina.</w:t>
      </w:r>
    </w:p>
    <w:p w:rsidR="00CF5CB4" w:rsidRPr="001A2198" w:rsidRDefault="00F03237" w:rsidP="00CF5CB4">
      <w:pPr>
        <w:autoSpaceDE w:val="0"/>
        <w:autoSpaceDN w:val="0"/>
        <w:adjustRightInd w:val="0"/>
        <w:spacing w:after="58" w:line="252" w:lineRule="atLeast"/>
        <w:jc w:val="both"/>
        <w:rPr>
          <w:rFonts w:ascii="Arial" w:hAnsi="Arial" w:cs="Arial"/>
          <w:b/>
          <w:bCs/>
          <w:sz w:val="20"/>
          <w:szCs w:val="20"/>
          <w:lang w:val="pt-PT"/>
        </w:rPr>
      </w:pP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b/>
          <w:bCs/>
          <w:sz w:val="20"/>
          <w:szCs w:val="20"/>
          <w:bdr w:val="nil"/>
          <w:lang w:val="pt-PT"/>
        </w:rPr>
        <w:t>Apoio técnico</w:t>
      </w:r>
    </w:p>
    <w:p w:rsidR="00CF5CB4" w:rsidRPr="001A2198" w:rsidRDefault="000C2AAA" w:rsidP="00CF5CB4">
      <w:pPr>
        <w:autoSpaceDE w:val="0"/>
        <w:autoSpaceDN w:val="0"/>
        <w:adjustRightInd w:val="0"/>
        <w:spacing w:after="58" w:line="252" w:lineRule="atLeast"/>
        <w:jc w:val="both"/>
        <w:rPr>
          <w:rFonts w:ascii="Arial" w:hAnsi="Arial" w:cs="Arial"/>
          <w:sz w:val="20"/>
          <w:szCs w:val="20"/>
          <w:lang w:val="pt-PT"/>
        </w:rPr>
      </w:pPr>
      <w:r>
        <w:rPr>
          <w:rFonts w:ascii="Arial" w:eastAsia="Arial" w:hAnsi="Arial" w:cs="Arial"/>
          <w:sz w:val="20"/>
          <w:szCs w:val="20"/>
          <w:bdr w:val="nil"/>
          <w:lang w:val="pt-PT"/>
        </w:rPr>
        <w:t>Se tiver alguma dúvida relativa ao Misturador Vortex, contacte o seu Distribuidor Select BioProducts.</w:t>
      </w:r>
    </w:p>
    <w:p w:rsidR="00CF5CB4" w:rsidRPr="001A2198" w:rsidRDefault="00F03237" w:rsidP="00CF5CB4">
      <w:pPr>
        <w:autoSpaceDE w:val="0"/>
        <w:autoSpaceDN w:val="0"/>
        <w:adjustRightInd w:val="0"/>
        <w:spacing w:after="58" w:line="252" w:lineRule="atLeast"/>
        <w:jc w:val="both"/>
        <w:rPr>
          <w:rFonts w:ascii="Arial" w:hAnsi="Arial" w:cs="Arial"/>
          <w:sz w:val="20"/>
          <w:szCs w:val="20"/>
          <w:lang w:val="pt-PT"/>
        </w:rPr>
      </w:pPr>
    </w:p>
    <w:p w:rsidR="00CF5CB4" w:rsidRPr="001A2198" w:rsidRDefault="000C2AAA" w:rsidP="00CF5CB4">
      <w:pPr>
        <w:rPr>
          <w:lang w:val="pt-PT"/>
        </w:rPr>
      </w:pPr>
      <w:r>
        <w:rPr>
          <w:rFonts w:ascii="Arial" w:eastAsia="Arial" w:hAnsi="Arial" w:cs="Arial"/>
          <w:sz w:val="20"/>
          <w:szCs w:val="20"/>
          <w:bdr w:val="nil"/>
          <w:lang w:val="pt-PT"/>
        </w:rPr>
        <w:t>Para questões relativas ao apoio técnico, contacte o seu Distribuidor Select BioProducts.  Antes de devolver qualquer unidade para apoio técnico, terá de ser obtido, primeiro, um número de Autorização de Devolução (AD).  Os equipamentos enviados sem autorização prévia serão devolvidos, ficando os custos ao encargo do cliente.  Ao devolver uma unidade à Select BioProducts para apoio técnico, esta deve ser enviada na embalagem original.  Se isto não for possível, assegure-se de que a unidade é suficientemente bem embalada.  Qualquer dano resultante de uma embalagem inadequada será da responsabilidade do cliente.  A unidade deve ser acompanhada de uma explicação por escrito, juntamente com o número de AD.</w:t>
      </w:r>
    </w:p>
    <w:p w:rsidR="00CF5CB4" w:rsidRPr="001A2198" w:rsidRDefault="00F03237" w:rsidP="00CF5CB4">
      <w:pPr>
        <w:autoSpaceDE w:val="0"/>
        <w:autoSpaceDN w:val="0"/>
        <w:adjustRightInd w:val="0"/>
        <w:spacing w:after="58" w:line="252" w:lineRule="atLeast"/>
        <w:jc w:val="both"/>
        <w:rPr>
          <w:rFonts w:ascii="Arial" w:hAnsi="Arial" w:cs="Arial"/>
          <w:sz w:val="20"/>
          <w:szCs w:val="20"/>
          <w:lang w:val="pt-PT"/>
        </w:rPr>
      </w:pPr>
    </w:p>
    <w:p w:rsidR="00D427DE" w:rsidRPr="001A2198" w:rsidRDefault="00F03237" w:rsidP="00D427DE">
      <w:pPr>
        <w:tabs>
          <w:tab w:val="left" w:pos="1440"/>
        </w:tabs>
        <w:autoSpaceDE w:val="0"/>
        <w:autoSpaceDN w:val="0"/>
        <w:adjustRightInd w:val="0"/>
        <w:spacing w:line="210" w:lineRule="atLeast"/>
        <w:rPr>
          <w:rFonts w:ascii="Arial" w:eastAsia="MS Mincho" w:hAnsi="Arial" w:cs="Arial"/>
          <w:b/>
          <w:bCs/>
          <w:sz w:val="22"/>
          <w:szCs w:val="22"/>
          <w:lang w:val="pt-PT" w:eastAsia="ja-JP"/>
        </w:rPr>
      </w:pPr>
    </w:p>
    <w:p w:rsidR="00D427DE" w:rsidRPr="001A2198" w:rsidRDefault="000C2AAA" w:rsidP="00F43EA6">
      <w:pPr>
        <w:autoSpaceDE w:val="0"/>
        <w:autoSpaceDN w:val="0"/>
        <w:adjustRightInd w:val="0"/>
        <w:spacing w:line="210" w:lineRule="atLeast"/>
        <w:rPr>
          <w:rFonts w:ascii="Arial" w:eastAsia="MS Mincho" w:hAnsi="Arial" w:cs="Arial"/>
          <w:b/>
          <w:bCs/>
          <w:sz w:val="20"/>
          <w:szCs w:val="20"/>
          <w:lang w:val="pt-PT" w:eastAsia="ja-JP"/>
        </w:rPr>
      </w:pPr>
      <w:r>
        <w:rPr>
          <w:rFonts w:ascii="Arial" w:eastAsia="Arial" w:hAnsi="Arial" w:cs="Arial"/>
          <w:b/>
          <w:bCs/>
          <w:sz w:val="20"/>
          <w:szCs w:val="20"/>
          <w:bdr w:val="nil"/>
          <w:lang w:val="pt-PT" w:eastAsia="ja-JP"/>
        </w:rPr>
        <w:t>SÍMBOLOS E CONVENÇÕES</w:t>
      </w:r>
    </w:p>
    <w:p w:rsidR="00F50E54" w:rsidRPr="001A2198" w:rsidRDefault="00F03237" w:rsidP="00F43EA6">
      <w:pPr>
        <w:autoSpaceDE w:val="0"/>
        <w:autoSpaceDN w:val="0"/>
        <w:adjustRightInd w:val="0"/>
        <w:spacing w:line="210" w:lineRule="atLeast"/>
        <w:rPr>
          <w:rFonts w:ascii="Arial" w:eastAsia="MS Mincho" w:hAnsi="Arial" w:cs="Arial"/>
          <w:b/>
          <w:bCs/>
          <w:sz w:val="20"/>
          <w:szCs w:val="20"/>
          <w:lang w:val="pt-PT" w:eastAsia="ja-JP"/>
        </w:rPr>
      </w:pPr>
    </w:p>
    <w:p w:rsidR="00D427DE" w:rsidRPr="001A2198" w:rsidRDefault="000C2AAA" w:rsidP="00D427DE">
      <w:pPr>
        <w:rPr>
          <w:rFonts w:ascii="Arial" w:hAnsi="Arial" w:cs="Arial"/>
          <w:b/>
          <w:sz w:val="20"/>
          <w:szCs w:val="20"/>
          <w:lang w:val="pt-PT"/>
        </w:rPr>
      </w:pPr>
      <w:r>
        <w:rPr>
          <w:rFonts w:eastAsia="Times New Roman"/>
          <w:sz w:val="20"/>
          <w:szCs w:val="20"/>
          <w:bdr w:val="nil"/>
          <w:lang w:val="pt-PT"/>
        </w:rPr>
        <w:tab/>
      </w:r>
      <w:r>
        <w:rPr>
          <w:rFonts w:ascii="Arial" w:eastAsia="Arial" w:hAnsi="Arial" w:cs="Arial"/>
          <w:sz w:val="20"/>
          <w:szCs w:val="20"/>
          <w:bdr w:val="nil"/>
          <w:lang w:val="pt-PT"/>
        </w:rPr>
        <w:t xml:space="preserve">O gráfico seguinte é um glossário ilustrado dos símbolos que poderão ser </w:t>
      </w:r>
      <w:r>
        <w:rPr>
          <w:rFonts w:ascii="Arial" w:eastAsia="Arial" w:hAnsi="Arial" w:cs="Arial"/>
          <w:sz w:val="20"/>
          <w:szCs w:val="20"/>
          <w:bdr w:val="nil"/>
          <w:lang w:val="pt-PT"/>
        </w:rPr>
        <w:tab/>
        <w:t>utilizados neste manual, ou no produto</w:t>
      </w:r>
      <w:r>
        <w:rPr>
          <w:rFonts w:ascii="Arial" w:eastAsia="Arial" w:hAnsi="Arial" w:cs="Arial"/>
          <w:b/>
          <w:bCs/>
          <w:sz w:val="20"/>
          <w:szCs w:val="20"/>
          <w:bdr w:val="nil"/>
          <w:lang w:val="pt-PT"/>
        </w:rPr>
        <w:t>.</w:t>
      </w:r>
    </w:p>
    <w:p w:rsidR="00D427DE" w:rsidRPr="001A2198" w:rsidRDefault="00F03237" w:rsidP="00D427DE">
      <w:pPr>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910804" w:rsidRPr="00F03237" w:rsidTr="000716C1">
        <w:tc>
          <w:tcPr>
            <w:tcW w:w="1188" w:type="dxa"/>
            <w:shd w:val="clear" w:color="auto" w:fill="auto"/>
          </w:tcPr>
          <w:p w:rsidR="00D427DE" w:rsidRPr="000716C1" w:rsidRDefault="000C2AAA" w:rsidP="000716C1">
            <w:pPr>
              <w:jc w:val="right"/>
              <w:rPr>
                <w:sz w:val="20"/>
                <w:szCs w:val="20"/>
              </w:rPr>
            </w:pPr>
            <w:r>
              <w:rPr>
                <w:noProof/>
                <w:sz w:val="20"/>
                <w:szCs w:val="20"/>
                <w:lang w:eastAsia="zh-TW"/>
              </w:rPr>
              <w:drawing>
                <wp:inline distT="0" distB="0" distL="0" distR="0">
                  <wp:extent cx="643255" cy="552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3255" cy="552450"/>
                          </a:xfrm>
                          <a:prstGeom prst="rect">
                            <a:avLst/>
                          </a:prstGeom>
                          <a:noFill/>
                          <a:ln>
                            <a:noFill/>
                          </a:ln>
                        </pic:spPr>
                      </pic:pic>
                    </a:graphicData>
                  </a:graphic>
                </wp:inline>
              </w:drawing>
            </w:r>
          </w:p>
        </w:tc>
        <w:tc>
          <w:tcPr>
            <w:tcW w:w="7668" w:type="dxa"/>
            <w:shd w:val="clear" w:color="auto" w:fill="auto"/>
            <w:vAlign w:val="center"/>
          </w:tcPr>
          <w:p w:rsidR="00D427DE" w:rsidRPr="001A2198" w:rsidRDefault="000C2AAA" w:rsidP="000716C1">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A advertência elétrica indica a presença de um risco potencial que poderá resultar em choque elétrico.</w:t>
            </w:r>
          </w:p>
        </w:tc>
      </w:tr>
      <w:tr w:rsidR="00910804" w:rsidRPr="00F03237" w:rsidTr="000716C1">
        <w:trPr>
          <w:trHeight w:val="1088"/>
        </w:trPr>
        <w:tc>
          <w:tcPr>
            <w:tcW w:w="1188" w:type="dxa"/>
            <w:shd w:val="clear" w:color="auto" w:fill="auto"/>
          </w:tcPr>
          <w:p w:rsidR="00D427DE" w:rsidRPr="000716C1" w:rsidRDefault="000C2AAA" w:rsidP="000716C1">
            <w:pPr>
              <w:jc w:val="right"/>
              <w:rPr>
                <w:sz w:val="20"/>
                <w:szCs w:val="20"/>
              </w:rPr>
            </w:pPr>
            <w:r>
              <w:rPr>
                <w:noProof/>
                <w:sz w:val="20"/>
                <w:szCs w:val="20"/>
                <w:lang w:eastAsia="zh-TW"/>
              </w:rPr>
              <w:drawing>
                <wp:inline distT="0" distB="0" distL="0" distR="0">
                  <wp:extent cx="643255" cy="5327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3255" cy="532765"/>
                          </a:xfrm>
                          <a:prstGeom prst="rect">
                            <a:avLst/>
                          </a:prstGeom>
                          <a:noFill/>
                          <a:ln>
                            <a:noFill/>
                          </a:ln>
                        </pic:spPr>
                      </pic:pic>
                    </a:graphicData>
                  </a:graphic>
                </wp:inline>
              </w:drawing>
            </w:r>
          </w:p>
        </w:tc>
        <w:tc>
          <w:tcPr>
            <w:tcW w:w="7668" w:type="dxa"/>
            <w:shd w:val="clear" w:color="auto" w:fill="auto"/>
            <w:vAlign w:val="center"/>
          </w:tcPr>
          <w:p w:rsidR="00D427DE" w:rsidRPr="001A2198" w:rsidRDefault="000C2AAA" w:rsidP="00671DA8">
            <w:pPr>
              <w:rPr>
                <w:rFonts w:ascii="Arial" w:hAnsi="Arial" w:cs="Arial"/>
                <w:sz w:val="20"/>
                <w:szCs w:val="20"/>
                <w:lang w:val="pt-PT"/>
              </w:rPr>
            </w:pPr>
            <w:r>
              <w:rPr>
                <w:rFonts w:ascii="Arial" w:eastAsia="Arial" w:hAnsi="Arial" w:cs="Arial"/>
                <w:b/>
                <w:bCs/>
                <w:sz w:val="20"/>
                <w:szCs w:val="20"/>
                <w:bdr w:val="nil"/>
                <w:lang w:val="pt-PT"/>
              </w:rPr>
              <w:t>CUIDADO</w:t>
            </w:r>
            <w:r>
              <w:rPr>
                <w:rFonts w:ascii="Arial" w:eastAsia="Arial" w:hAnsi="Arial" w:cs="Arial"/>
                <w:sz w:val="20"/>
                <w:szCs w:val="20"/>
                <w:bdr w:val="nil"/>
                <w:lang w:val="pt-PT"/>
              </w:rPr>
              <w:t xml:space="preserve"> Este símbolo reporta-o a instruções importantes de operação e manutenção (serviço), dentro do Manual de Instruções do produto. A falha em tomar em atenção esta informação poderá representar um risco de dano ou lesão em pessoas, ou no equipamento. </w:t>
            </w:r>
          </w:p>
        </w:tc>
      </w:tr>
      <w:tr w:rsidR="00910804" w:rsidRPr="00F03237" w:rsidTr="000716C1">
        <w:trPr>
          <w:trHeight w:val="890"/>
        </w:trPr>
        <w:tc>
          <w:tcPr>
            <w:tcW w:w="1188" w:type="dxa"/>
            <w:shd w:val="clear" w:color="auto" w:fill="auto"/>
          </w:tcPr>
          <w:p w:rsidR="00D427DE" w:rsidRPr="000716C1" w:rsidRDefault="000C2AAA" w:rsidP="000716C1">
            <w:pPr>
              <w:jc w:val="center"/>
              <w:rPr>
                <w:sz w:val="20"/>
                <w:szCs w:val="20"/>
              </w:rPr>
            </w:pPr>
            <w:r>
              <w:rPr>
                <w:noProof/>
                <w:sz w:val="20"/>
                <w:szCs w:val="20"/>
                <w:lang w:eastAsia="zh-TW"/>
              </w:rPr>
              <w:drawing>
                <wp:inline distT="0" distB="0" distL="0" distR="0">
                  <wp:extent cx="452120" cy="4419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52120" cy="441960"/>
                          </a:xfrm>
                          <a:prstGeom prst="rect">
                            <a:avLst/>
                          </a:prstGeom>
                          <a:noFill/>
                          <a:ln>
                            <a:noFill/>
                          </a:ln>
                        </pic:spPr>
                      </pic:pic>
                    </a:graphicData>
                  </a:graphic>
                </wp:inline>
              </w:drawing>
            </w:r>
          </w:p>
        </w:tc>
        <w:tc>
          <w:tcPr>
            <w:tcW w:w="7668" w:type="dxa"/>
            <w:shd w:val="clear" w:color="auto" w:fill="auto"/>
            <w:vAlign w:val="center"/>
          </w:tcPr>
          <w:p w:rsidR="00D427DE" w:rsidRPr="001A2198" w:rsidRDefault="000C2AAA" w:rsidP="00671DA8">
            <w:pPr>
              <w:rPr>
                <w:rFonts w:ascii="Arial" w:hAnsi="Arial" w:cs="Arial"/>
                <w:sz w:val="20"/>
                <w:szCs w:val="20"/>
                <w:lang w:val="pt-PT"/>
              </w:rPr>
            </w:pPr>
            <w:r>
              <w:rPr>
                <w:rFonts w:ascii="Arial" w:eastAsia="Arial" w:hAnsi="Arial" w:cs="Arial"/>
                <w:sz w:val="20"/>
                <w:szCs w:val="20"/>
                <w:bdr w:val="nil"/>
                <w:lang w:val="pt-PT"/>
              </w:rPr>
              <w:t>Este símbolo identifica um terminal de Terra Protetor (TP), fornecido para ligação do condutor terra protetor (verde, ou verde/amarelo) do sistema de alimentação.</w:t>
            </w:r>
          </w:p>
        </w:tc>
      </w:tr>
    </w:tbl>
    <w:p w:rsidR="00AF7239" w:rsidRPr="001A2198" w:rsidRDefault="00F03237" w:rsidP="00030C4B">
      <w:pPr>
        <w:jc w:val="center"/>
        <w:rPr>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030985" w:rsidRDefault="000C2AAA" w:rsidP="00030985">
      <w:pPr>
        <w:autoSpaceDE w:val="0"/>
        <w:autoSpaceDN w:val="0"/>
        <w:adjustRightInd w:val="0"/>
        <w:rPr>
          <w:rFonts w:ascii="Arial" w:hAnsi="Arial" w:cs="Arial"/>
          <w:b/>
          <w:sz w:val="22"/>
          <w:szCs w:val="22"/>
        </w:rPr>
      </w:pPr>
      <w:r>
        <w:rPr>
          <w:rFonts w:ascii="Arial" w:eastAsia="Arial" w:hAnsi="Arial" w:cs="Arial"/>
          <w:b/>
          <w:bCs/>
          <w:sz w:val="22"/>
          <w:szCs w:val="22"/>
          <w:bdr w:val="nil"/>
          <w:lang w:val="pt-PT"/>
        </w:rPr>
        <w:t>DESCARTAR O EQUIPAMENTO-REGULAMENTOS EUROPEUS</w:t>
      </w:r>
    </w:p>
    <w:p w:rsidR="00594D87" w:rsidRPr="00BA6D20" w:rsidRDefault="00F03237" w:rsidP="00030985">
      <w:pPr>
        <w:autoSpaceDE w:val="0"/>
        <w:autoSpaceDN w:val="0"/>
        <w:adjustRightInd w:val="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910804" w:rsidRPr="00F03237" w:rsidTr="00FF73E6">
        <w:tc>
          <w:tcPr>
            <w:tcW w:w="2178" w:type="dxa"/>
          </w:tcPr>
          <w:p w:rsidR="00FF73E6" w:rsidRDefault="000C2AAA" w:rsidP="00030985">
            <w:pPr>
              <w:autoSpaceDE w:val="0"/>
              <w:autoSpaceDN w:val="0"/>
              <w:adjustRightInd w:val="0"/>
              <w:rPr>
                <w:rFonts w:ascii="Arial" w:hAnsi="Arial" w:cs="Arial"/>
                <w:sz w:val="22"/>
                <w:szCs w:val="22"/>
              </w:rPr>
            </w:pPr>
            <w:r w:rsidRPr="00FF73E6">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FF73E6" w:rsidRPr="001A2198" w:rsidRDefault="000C2AAA" w:rsidP="00FF73E6">
            <w:pPr>
              <w:jc w:val="both"/>
              <w:rPr>
                <w:rFonts w:ascii="Arial" w:hAnsi="Arial" w:cs="Arial"/>
                <w:i/>
                <w:iCs/>
                <w:lang w:val="pt-PT"/>
              </w:rPr>
            </w:pPr>
            <w:r>
              <w:rPr>
                <w:rFonts w:ascii="Arial" w:eastAsia="Arial" w:hAnsi="Arial" w:cs="Arial"/>
                <w:i/>
                <w:iCs/>
                <w:bdr w:val="nil"/>
                <w:lang w:val="pt-PT"/>
              </w:rPr>
              <w:t xml:space="preserve">De acordo com a Diretiva 2012/19/EU do Parlamento Europeu e do Conselho de 4 de julho de 2012 sobre Resíduos de Equipamentos Elétricos e Eletrónicos (REEE), o Misturador Vortex Select está marcado com o caixote do lixo com uma cruz e não pode ser eliminado com resíduos domésticos. </w:t>
            </w:r>
          </w:p>
          <w:p w:rsidR="00FF73E6" w:rsidRPr="001A2198" w:rsidRDefault="00F03237" w:rsidP="00FF73E6">
            <w:pPr>
              <w:jc w:val="both"/>
              <w:rPr>
                <w:rFonts w:ascii="Arial" w:hAnsi="Arial" w:cs="Arial"/>
                <w:i/>
                <w:iCs/>
                <w:lang w:val="pt-PT"/>
              </w:rPr>
            </w:pPr>
          </w:p>
          <w:p w:rsidR="00FF73E6" w:rsidRPr="001A2198" w:rsidRDefault="000C2AAA" w:rsidP="00FF73E6">
            <w:pPr>
              <w:autoSpaceDE w:val="0"/>
              <w:autoSpaceDN w:val="0"/>
              <w:jc w:val="both"/>
              <w:rPr>
                <w:rFonts w:ascii="Arial" w:hAnsi="Arial" w:cs="Arial"/>
                <w:i/>
                <w:iCs/>
                <w:lang w:val="pt-PT"/>
              </w:rPr>
            </w:pPr>
            <w:r>
              <w:rPr>
                <w:rFonts w:ascii="Arial" w:eastAsia="Arial" w:hAnsi="Arial" w:cs="Arial"/>
                <w:i/>
                <w:iCs/>
                <w:bdr w:val="nil"/>
                <w:lang w:val="pt-PT"/>
              </w:rPr>
              <w:t xml:space="preserve">Consequentemente, o comprador irá seguir as instruções para reutilização e reciclagem de Resíduos de Equipamentos Elétricos e Eletrónicos (REEE), fornecidas com os produtos e disponíveis na seguinte ligação: </w:t>
            </w:r>
            <w:hyperlink r:id="rId19" w:history="1">
              <w:r>
                <w:rPr>
                  <w:rFonts w:ascii="Arial" w:eastAsia="Arial" w:hAnsi="Arial" w:cs="Arial"/>
                  <w:i/>
                  <w:iCs/>
                  <w:color w:val="0000FF"/>
                  <w:u w:val="single"/>
                  <w:bdr w:val="nil"/>
                  <w:lang w:val="pt-PT"/>
                </w:rPr>
                <w:t>www.corning.com/weee</w:t>
              </w:r>
            </w:hyperlink>
          </w:p>
          <w:p w:rsidR="00FF73E6" w:rsidRPr="001A2198" w:rsidRDefault="00F03237" w:rsidP="00030985">
            <w:pPr>
              <w:autoSpaceDE w:val="0"/>
              <w:autoSpaceDN w:val="0"/>
              <w:adjustRightInd w:val="0"/>
              <w:rPr>
                <w:rFonts w:ascii="Arial" w:hAnsi="Arial" w:cs="Arial"/>
                <w:sz w:val="22"/>
                <w:szCs w:val="22"/>
                <w:lang w:val="pt-PT"/>
              </w:rPr>
            </w:pPr>
          </w:p>
        </w:tc>
      </w:tr>
    </w:tbl>
    <w:p w:rsidR="00030985" w:rsidRPr="001A2198" w:rsidRDefault="00F03237" w:rsidP="00030985">
      <w:pPr>
        <w:autoSpaceDE w:val="0"/>
        <w:autoSpaceDN w:val="0"/>
        <w:adjustRightInd w:val="0"/>
        <w:rPr>
          <w:rFonts w:ascii="Arial" w:hAnsi="Arial" w:cs="Arial"/>
          <w:sz w:val="22"/>
          <w:szCs w:val="22"/>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F50E54" w:rsidRPr="001A2198" w:rsidRDefault="00F03237" w:rsidP="00030C4B">
      <w:pPr>
        <w:jc w:val="center"/>
        <w:rPr>
          <w:rFonts w:ascii="Arial" w:hAnsi="Arial" w:cs="Arial"/>
          <w:b/>
          <w:lang w:val="pt-PT"/>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030985" w:rsidRPr="001A2198" w:rsidRDefault="00F03237" w:rsidP="00D427DE">
      <w:pPr>
        <w:autoSpaceDE w:val="0"/>
        <w:autoSpaceDN w:val="0"/>
        <w:adjustRightInd w:val="0"/>
        <w:jc w:val="center"/>
        <w:rPr>
          <w:rFonts w:eastAsia="Times New Roman"/>
          <w:b/>
          <w:sz w:val="36"/>
          <w:lang w:val="pt-PT" w:eastAsia="en-US"/>
        </w:rPr>
      </w:pPr>
    </w:p>
    <w:p w:rsidR="00030985" w:rsidRPr="001A2198" w:rsidRDefault="00F03237" w:rsidP="00D427DE">
      <w:pPr>
        <w:autoSpaceDE w:val="0"/>
        <w:autoSpaceDN w:val="0"/>
        <w:adjustRightInd w:val="0"/>
        <w:jc w:val="center"/>
        <w:rPr>
          <w:rFonts w:eastAsia="Times New Roman"/>
          <w:b/>
          <w:sz w:val="36"/>
          <w:lang w:val="pt-PT" w:eastAsia="en-US"/>
        </w:rPr>
      </w:pPr>
    </w:p>
    <w:p w:rsidR="00030985" w:rsidRPr="001A2198" w:rsidRDefault="00F03237" w:rsidP="00D427DE">
      <w:pPr>
        <w:autoSpaceDE w:val="0"/>
        <w:autoSpaceDN w:val="0"/>
        <w:adjustRightInd w:val="0"/>
        <w:jc w:val="center"/>
        <w:rPr>
          <w:rFonts w:eastAsia="Times New Roman"/>
          <w:b/>
          <w:sz w:val="36"/>
          <w:lang w:val="pt-PT" w:eastAsia="en-US"/>
        </w:rPr>
      </w:pPr>
    </w:p>
    <w:p w:rsidR="00030985" w:rsidRPr="001A2198" w:rsidRDefault="00F03237" w:rsidP="00D427DE">
      <w:pPr>
        <w:autoSpaceDE w:val="0"/>
        <w:autoSpaceDN w:val="0"/>
        <w:adjustRightInd w:val="0"/>
        <w:jc w:val="center"/>
        <w:rPr>
          <w:rFonts w:eastAsia="Times New Roman"/>
          <w:b/>
          <w:sz w:val="36"/>
          <w:lang w:val="pt-PT" w:eastAsia="en-US"/>
        </w:rPr>
      </w:pPr>
    </w:p>
    <w:p w:rsidR="00030985"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6E154E" w:rsidRPr="001A2198" w:rsidRDefault="00F03237" w:rsidP="00D427DE">
      <w:pPr>
        <w:autoSpaceDE w:val="0"/>
        <w:autoSpaceDN w:val="0"/>
        <w:adjustRightInd w:val="0"/>
        <w:jc w:val="center"/>
        <w:rPr>
          <w:rFonts w:eastAsia="Times New Roman"/>
          <w:b/>
          <w:sz w:val="36"/>
          <w:lang w:val="pt-PT" w:eastAsia="en-US"/>
        </w:rPr>
      </w:pPr>
    </w:p>
    <w:p w:rsidR="00BB4042" w:rsidRPr="001A2198" w:rsidRDefault="000C2AAA">
      <w:pPr>
        <w:rPr>
          <w:rFonts w:eastAsia="Times New Roman"/>
          <w:b/>
          <w:sz w:val="36"/>
          <w:lang w:val="pt-PT" w:eastAsia="en-US"/>
        </w:rPr>
      </w:pPr>
      <w:r w:rsidRPr="001A2198">
        <w:rPr>
          <w:rFonts w:eastAsia="Times New Roman"/>
          <w:b/>
          <w:sz w:val="36"/>
          <w:lang w:val="pt-PT" w:eastAsia="en-US"/>
        </w:rPr>
        <w:br w:type="page"/>
      </w:r>
    </w:p>
    <w:p w:rsidR="00D427DE" w:rsidRPr="001A2198" w:rsidRDefault="000C2AAA" w:rsidP="00D427DE">
      <w:pPr>
        <w:autoSpaceDE w:val="0"/>
        <w:autoSpaceDN w:val="0"/>
        <w:adjustRightInd w:val="0"/>
        <w:jc w:val="center"/>
        <w:rPr>
          <w:rFonts w:eastAsia="Times New Roman"/>
          <w:b/>
          <w:sz w:val="36"/>
          <w:lang w:val="pt-PT" w:eastAsia="en-US"/>
        </w:rPr>
      </w:pPr>
      <w:r>
        <w:rPr>
          <w:rFonts w:eastAsia="Times New Roman"/>
          <w:b/>
          <w:bCs/>
          <w:sz w:val="36"/>
          <w:szCs w:val="36"/>
          <w:bdr w:val="nil"/>
          <w:lang w:val="pt-PT" w:eastAsia="en-US"/>
        </w:rPr>
        <w:lastRenderedPageBreak/>
        <w:t>Garantia Limitada</w:t>
      </w:r>
    </w:p>
    <w:p w:rsidR="00D427DE" w:rsidRPr="00F03237" w:rsidRDefault="00F03237" w:rsidP="00D427DE">
      <w:pPr>
        <w:autoSpaceDE w:val="0"/>
        <w:autoSpaceDN w:val="0"/>
        <w:adjustRightInd w:val="0"/>
        <w:jc w:val="both"/>
        <w:rPr>
          <w:sz w:val="28"/>
          <w:szCs w:val="16"/>
          <w:lang w:val="pt-PT"/>
        </w:rPr>
      </w:pPr>
    </w:p>
    <w:p w:rsidR="000556B1" w:rsidRPr="001A2198" w:rsidRDefault="000C2AAA" w:rsidP="005D7DF8">
      <w:pPr>
        <w:jc w:val="both"/>
        <w:rPr>
          <w:rFonts w:ascii="Arial" w:hAnsi="Arial" w:cs="Arial"/>
          <w:noProof/>
          <w:sz w:val="22"/>
          <w:szCs w:val="16"/>
          <w:lang w:val="pt-PT"/>
        </w:rPr>
      </w:pPr>
      <w:r>
        <w:rPr>
          <w:rFonts w:ascii="Arial" w:hAnsi="Arial" w:cs="Arial"/>
          <w:noProof/>
          <w:sz w:val="22"/>
          <w:szCs w:val="16"/>
          <w:bdr w:val="nil"/>
          <w:lang w:val="pt-PT"/>
        </w:rPr>
        <w:t xml:space="preserve">A </w:t>
      </w:r>
      <w:r>
        <w:rPr>
          <w:rFonts w:ascii="Arial" w:eastAsia="Arial" w:hAnsi="Arial" w:cs="Arial"/>
          <w:noProof/>
          <w:sz w:val="22"/>
          <w:szCs w:val="22"/>
          <w:bdr w:val="nil"/>
          <w:lang w:val="pt-PT"/>
        </w:rPr>
        <w:t>Select BioProducts garante que este produto será livre de defeitos materiais e de fabrico por um período de dois (2) anos desde a data de compra.  Esta garantia é válida apenas se o produto for utilizado para o seu propósito e dentro das linhas de orientação especificadas no manual de instruções fornecido.</w:t>
      </w:r>
    </w:p>
    <w:p w:rsidR="000556B1" w:rsidRPr="00F03237" w:rsidRDefault="00F03237" w:rsidP="005D7DF8">
      <w:pPr>
        <w:jc w:val="both"/>
        <w:rPr>
          <w:rFonts w:ascii="Arial" w:hAnsi="Arial" w:cs="Arial"/>
          <w:noProof/>
          <w:sz w:val="14"/>
          <w:szCs w:val="8"/>
          <w:lang w:val="pt-PT"/>
        </w:rPr>
      </w:pPr>
    </w:p>
    <w:p w:rsidR="000556B1" w:rsidRPr="00F03237" w:rsidRDefault="00F03237" w:rsidP="005D7DF8">
      <w:pPr>
        <w:jc w:val="both"/>
        <w:rPr>
          <w:rFonts w:ascii="Arial" w:hAnsi="Arial" w:cs="Arial"/>
          <w:noProof/>
          <w:sz w:val="14"/>
          <w:szCs w:val="8"/>
          <w:lang w:val="pt-PT"/>
        </w:rPr>
      </w:pPr>
    </w:p>
    <w:p w:rsidR="000556B1" w:rsidRPr="001A2198" w:rsidRDefault="000C2AAA" w:rsidP="005D7DF8">
      <w:pPr>
        <w:jc w:val="both"/>
        <w:rPr>
          <w:rFonts w:ascii="Arial" w:hAnsi="Arial" w:cs="Arial"/>
          <w:noProof/>
          <w:sz w:val="22"/>
          <w:szCs w:val="16"/>
          <w:lang w:val="pt-PT"/>
        </w:rPr>
      </w:pPr>
      <w:r>
        <w:rPr>
          <w:rFonts w:ascii="Arial" w:eastAsia="Arial" w:hAnsi="Arial" w:cs="Arial"/>
          <w:noProof/>
          <w:sz w:val="22"/>
          <w:szCs w:val="22"/>
          <w:bdr w:val="nil"/>
          <w:lang w:val="pt-PT"/>
        </w:rPr>
        <w:t>Se este produto necessitar de algum tipo de apoio técnico, contacte o departamento de Apoio Técnico da Select BioProducts, através do número 732-417-0700, para receber um número de autorização de devolução e instruções de envio.  Os produtos recebidos sem a devida autorização serão devolvidos.  Todos os itens devolvidos para serviço devem ser enviados através de um serviço de correio pré-pago, na sua embalagem original, ou outra embalagem de cartão apropriada, almofadadas de modo a prevenir danos.  A Select BioProducts não será responsável por danos incorridos devido a uma embalagem inadequada.  A Select BioProducts poderá eleger um serviço prestado no local para equipamentos de maior dimensão.</w:t>
      </w:r>
    </w:p>
    <w:p w:rsidR="000556B1" w:rsidRPr="00F03237" w:rsidRDefault="00F03237" w:rsidP="005D7DF8">
      <w:pPr>
        <w:jc w:val="both"/>
        <w:rPr>
          <w:rFonts w:ascii="Arial" w:hAnsi="Arial" w:cs="Arial"/>
          <w:noProof/>
          <w:sz w:val="14"/>
          <w:szCs w:val="8"/>
          <w:lang w:val="pt-PT"/>
        </w:rPr>
      </w:pPr>
    </w:p>
    <w:p w:rsidR="000556B1" w:rsidRPr="001A2198" w:rsidRDefault="000C2AAA" w:rsidP="005D7DF8">
      <w:pPr>
        <w:jc w:val="both"/>
        <w:rPr>
          <w:rFonts w:ascii="Arial" w:hAnsi="Arial" w:cs="Arial"/>
          <w:noProof/>
          <w:sz w:val="22"/>
          <w:szCs w:val="16"/>
          <w:lang w:val="pt-PT"/>
        </w:rPr>
      </w:pPr>
      <w:r>
        <w:rPr>
          <w:rFonts w:ascii="Arial" w:eastAsia="Arial" w:hAnsi="Arial" w:cs="Arial"/>
          <w:noProof/>
          <w:sz w:val="22"/>
          <w:szCs w:val="22"/>
          <w:bdr w:val="nil"/>
          <w:lang w:val="pt-PT"/>
        </w:rPr>
        <w:t>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0556B1" w:rsidRPr="00F03237" w:rsidRDefault="00F03237" w:rsidP="005D7DF8">
      <w:pPr>
        <w:jc w:val="both"/>
        <w:rPr>
          <w:rFonts w:ascii="Arial" w:hAnsi="Arial" w:cs="Arial"/>
          <w:noProof/>
          <w:sz w:val="14"/>
          <w:szCs w:val="8"/>
          <w:lang w:val="pt-PT"/>
        </w:rPr>
      </w:pPr>
    </w:p>
    <w:p w:rsidR="000556B1" w:rsidRPr="001A2198" w:rsidRDefault="000C2AAA" w:rsidP="005D7DF8">
      <w:pPr>
        <w:jc w:val="both"/>
        <w:rPr>
          <w:rFonts w:ascii="Arial" w:hAnsi="Arial" w:cs="Arial"/>
          <w:noProof/>
          <w:sz w:val="22"/>
          <w:szCs w:val="16"/>
          <w:lang w:val="pt-PT"/>
        </w:rPr>
      </w:pPr>
      <w:r>
        <w:rPr>
          <w:rFonts w:ascii="Arial" w:eastAsia="Arial" w:hAnsi="Arial" w:cs="Arial"/>
          <w:noProof/>
          <w:sz w:val="22"/>
          <w:szCs w:val="22"/>
          <w:bdr w:val="nil"/>
          <w:lang w:val="pt-PT"/>
        </w:rPr>
        <w:t>TODAS AS GARANTIAS, INCLUINDO A GARANTIA IMPLÍCITA DE COMERCIABILIDADE E ADEQUAÇÃO PARA UM PROPÓSITO PARTICULAR SÃO LIMITADAS, COM UMA DURAÇÃO DE 24 MESES DESDE A DATA ORIGINAL DE COMPRA.</w:t>
      </w:r>
    </w:p>
    <w:p w:rsidR="000556B1" w:rsidRPr="00F03237" w:rsidRDefault="00F03237" w:rsidP="005D7DF8">
      <w:pPr>
        <w:jc w:val="both"/>
        <w:rPr>
          <w:rFonts w:ascii="Arial" w:hAnsi="Arial" w:cs="Arial"/>
          <w:noProof/>
          <w:sz w:val="14"/>
          <w:szCs w:val="8"/>
          <w:lang w:val="pt-PT"/>
        </w:rPr>
      </w:pPr>
    </w:p>
    <w:p w:rsidR="000556B1" w:rsidRPr="001A2198" w:rsidRDefault="000C2AAA" w:rsidP="005D7DF8">
      <w:pPr>
        <w:jc w:val="both"/>
        <w:rPr>
          <w:rFonts w:ascii="Arial" w:hAnsi="Arial" w:cs="Arial"/>
          <w:noProof/>
          <w:sz w:val="22"/>
          <w:szCs w:val="16"/>
          <w:lang w:val="pt-PT"/>
        </w:rPr>
      </w:pPr>
      <w:r>
        <w:rPr>
          <w:rFonts w:ascii="Arial" w:eastAsia="Arial" w:hAnsi="Arial" w:cs="Arial"/>
          <w:noProof/>
          <w:sz w:val="22"/>
          <w:szCs w:val="22"/>
          <w:bdr w:val="nil"/>
          <w:lang w:val="pt-PT"/>
        </w:rPr>
        <w:t>A ÚNICA OBRIGAÇÃO DA SELECT BIOPRODUCTS, AO ABRIGO DESTA GARANTIA, ESTÁ LIMITADA À REPARAÇÃO OU SUBSTITUIÇÃO, CONFORME DECISÃO DA SELECT BIOPRODUCTS DE UM PRODUTO COM DEFEITO.  A SELECT BIOPRODUCTS NÃO É RESPONSÁVEL POR DANOS ACIDENTAIS OU CONSEQUENCIAIS, PERDA COMERCIAL, OU QUAISQUER OUTROS DANOS RESULTANTES DA UTILIZAÇÃO DESTE PRODUTO.</w:t>
      </w:r>
    </w:p>
    <w:p w:rsidR="000556B1" w:rsidRPr="00F03237" w:rsidRDefault="00F03237" w:rsidP="005D7DF8">
      <w:pPr>
        <w:jc w:val="both"/>
        <w:rPr>
          <w:rFonts w:ascii="Arial" w:hAnsi="Arial" w:cs="Arial"/>
          <w:noProof/>
          <w:sz w:val="14"/>
          <w:szCs w:val="8"/>
          <w:lang w:val="pt-PT"/>
        </w:rPr>
      </w:pPr>
    </w:p>
    <w:p w:rsidR="000556B1" w:rsidRPr="001A2198" w:rsidRDefault="000C2AAA" w:rsidP="005D7DF8">
      <w:pPr>
        <w:jc w:val="both"/>
        <w:rPr>
          <w:rFonts w:ascii="Arial" w:hAnsi="Arial" w:cs="Arial"/>
          <w:noProof/>
          <w:sz w:val="22"/>
          <w:szCs w:val="16"/>
          <w:lang w:val="pt-PT"/>
        </w:rPr>
      </w:pPr>
      <w:r>
        <w:rPr>
          <w:rFonts w:ascii="Arial" w:eastAsia="Arial" w:hAnsi="Arial" w:cs="Arial"/>
          <w:noProof/>
          <w:sz w:val="22"/>
          <w:szCs w:val="22"/>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0556B1" w:rsidRPr="00F03237" w:rsidRDefault="00F03237" w:rsidP="005D7DF8">
      <w:pPr>
        <w:jc w:val="both"/>
        <w:rPr>
          <w:rFonts w:ascii="Arial" w:hAnsi="Arial" w:cs="Arial"/>
          <w:noProof/>
          <w:sz w:val="14"/>
          <w:szCs w:val="8"/>
          <w:lang w:val="pt-PT"/>
        </w:rPr>
      </w:pPr>
    </w:p>
    <w:p w:rsidR="000556B1" w:rsidRPr="001A2198" w:rsidRDefault="000C2AAA" w:rsidP="005D7DF8">
      <w:pPr>
        <w:jc w:val="both"/>
        <w:rPr>
          <w:rFonts w:ascii="Arial" w:hAnsi="Arial" w:cs="Arial"/>
          <w:noProof/>
          <w:sz w:val="22"/>
          <w:szCs w:val="16"/>
          <w:lang w:val="pt-PT"/>
        </w:rPr>
      </w:pPr>
      <w:r>
        <w:rPr>
          <w:rFonts w:ascii="Arial" w:eastAsia="Arial" w:hAnsi="Arial" w:cs="Arial"/>
          <w:noProof/>
          <w:sz w:val="22"/>
          <w:szCs w:val="22"/>
          <w:bdr w:val="nil"/>
          <w:lang w:val="pt-PT"/>
        </w:rPr>
        <w:t xml:space="preserve">Nenhum indivíduo poderá aceitar pela, ou em nome da Select BioProducts., qualquer outra obrigação de responsabilidade, ou estender o período desta garantia. </w:t>
      </w:r>
    </w:p>
    <w:p w:rsidR="000556B1" w:rsidRPr="00F03237" w:rsidRDefault="00F03237" w:rsidP="005D7DF8">
      <w:pPr>
        <w:jc w:val="both"/>
        <w:rPr>
          <w:rFonts w:ascii="Arial" w:hAnsi="Arial" w:cs="Arial"/>
          <w:noProof/>
          <w:sz w:val="10"/>
          <w:szCs w:val="5"/>
          <w:lang w:val="pt-PT"/>
        </w:rPr>
      </w:pPr>
    </w:p>
    <w:p w:rsidR="000556B1" w:rsidRPr="00F03237" w:rsidRDefault="000C2AAA" w:rsidP="005D7DF8">
      <w:pPr>
        <w:jc w:val="both"/>
        <w:rPr>
          <w:rFonts w:ascii="Arial" w:hAnsi="Arial" w:cs="Arial"/>
          <w:noProof/>
          <w:sz w:val="10"/>
          <w:szCs w:val="5"/>
          <w:lang w:val="pt-PT"/>
        </w:rPr>
      </w:pPr>
      <w:r w:rsidRPr="00F03237">
        <w:rPr>
          <w:rFonts w:ascii="Arial" w:hAnsi="Arial" w:cs="Arial"/>
          <w:noProof/>
          <w:sz w:val="10"/>
          <w:szCs w:val="5"/>
          <w:lang w:val="pt-PT"/>
        </w:rPr>
        <w:t xml:space="preserve"> </w:t>
      </w:r>
    </w:p>
    <w:p w:rsidR="000556B1" w:rsidRPr="00F03237" w:rsidRDefault="00F03237" w:rsidP="005D7DF8">
      <w:pPr>
        <w:ind w:firstLine="90"/>
        <w:rPr>
          <w:rFonts w:ascii="Arial" w:hAnsi="Arial" w:cs="Arial"/>
          <w:noProof/>
          <w:sz w:val="10"/>
          <w:szCs w:val="5"/>
          <w:lang w:val="pt-PT"/>
        </w:rPr>
      </w:pPr>
    </w:p>
    <w:tbl>
      <w:tblPr>
        <w:tblStyle w:val="TableGrid"/>
        <w:tblW w:w="0" w:type="auto"/>
        <w:jc w:val="center"/>
        <w:tblLook w:val="04A0"/>
      </w:tblPr>
      <w:tblGrid>
        <w:gridCol w:w="5454"/>
      </w:tblGrid>
      <w:tr w:rsidR="00910804" w:rsidTr="00F03237">
        <w:trPr>
          <w:jc w:val="center"/>
        </w:trPr>
        <w:tc>
          <w:tcPr>
            <w:tcW w:w="5454" w:type="dxa"/>
          </w:tcPr>
          <w:p w:rsidR="00594D87" w:rsidRPr="001A2198" w:rsidRDefault="000C2AAA" w:rsidP="00594D87">
            <w:pPr>
              <w:ind w:firstLine="36"/>
              <w:jc w:val="center"/>
              <w:rPr>
                <w:rFonts w:ascii="Arial" w:hAnsi="Arial" w:cs="Arial"/>
                <w:b/>
                <w:i/>
                <w:lang w:val="pt-PT"/>
              </w:rPr>
            </w:pPr>
            <w:r>
              <w:rPr>
                <w:rFonts w:ascii="Arial" w:eastAsia="Arial" w:hAnsi="Arial" w:cs="Arial"/>
                <w:b/>
                <w:bCs/>
                <w:i/>
                <w:iCs/>
                <w:bdr w:val="nil"/>
                <w:lang w:val="pt-PT"/>
              </w:rPr>
              <w:t>Por favor, registe o seu produto online, em:</w:t>
            </w:r>
          </w:p>
          <w:p w:rsidR="00594D87" w:rsidRPr="00594D87" w:rsidRDefault="000C2AAA" w:rsidP="00594D87">
            <w:pPr>
              <w:ind w:firstLine="36"/>
              <w:jc w:val="center"/>
              <w:rPr>
                <w:rFonts w:ascii="Arial" w:hAnsi="Arial" w:cs="Arial"/>
                <w:b/>
                <w:i/>
              </w:rPr>
            </w:pPr>
            <w:r>
              <w:rPr>
                <w:rFonts w:ascii="Arial" w:eastAsia="Arial" w:hAnsi="Arial" w:cs="Arial"/>
                <w:b/>
                <w:bCs/>
                <w:i/>
                <w:iCs/>
                <w:bdr w:val="nil"/>
                <w:lang w:val="pt-PT"/>
              </w:rPr>
              <w:t>www.selectbioproducts.com</w:t>
            </w:r>
          </w:p>
        </w:tc>
      </w:tr>
    </w:tbl>
    <w:p w:rsidR="000556B1" w:rsidRPr="00F03237" w:rsidRDefault="00F03237" w:rsidP="000556B1">
      <w:pPr>
        <w:ind w:firstLine="90"/>
        <w:rPr>
          <w:rFonts w:ascii="Arial" w:hAnsi="Arial" w:cs="Arial"/>
          <w:noProof/>
          <w:sz w:val="8"/>
          <w:szCs w:val="8"/>
        </w:rPr>
      </w:pPr>
    </w:p>
    <w:p w:rsidR="00030985" w:rsidRPr="00F03237" w:rsidRDefault="003A43AF" w:rsidP="00030985">
      <w:pPr>
        <w:jc w:val="center"/>
        <w:rPr>
          <w:rFonts w:ascii="Arial" w:hAnsi="Arial" w:cs="Arial"/>
          <w:sz w:val="10"/>
          <w:szCs w:val="10"/>
        </w:rPr>
      </w:pPr>
      <w:r w:rsidRPr="00F03237">
        <w:rPr>
          <w:noProof/>
          <w:sz w:val="16"/>
          <w:szCs w:val="16"/>
          <w:lang w:eastAsia="en-US"/>
        </w:rPr>
        <w:pict>
          <v:rect id="Rectangle 29" o:spid="_x0000_s1032" style="position:absolute;left:0;text-align:left;margin-left:182.25pt;margin-top:560.7pt;width:250.5pt;height:40.5pt;z-index:251662336;visibility:visible" filled="f"/>
        </w:pict>
      </w:r>
    </w:p>
    <w:p w:rsidR="000556B1" w:rsidRPr="00F03237" w:rsidRDefault="003A43AF" w:rsidP="000556B1">
      <w:pPr>
        <w:ind w:firstLine="90"/>
        <w:rPr>
          <w:rFonts w:ascii="Arial" w:hAnsi="Arial" w:cs="Arial"/>
          <w:b/>
          <w:sz w:val="16"/>
          <w:szCs w:val="16"/>
        </w:rPr>
      </w:pPr>
      <w:r w:rsidRPr="00F03237">
        <w:rPr>
          <w:noProof/>
          <w:sz w:val="16"/>
          <w:szCs w:val="16"/>
          <w:lang w:eastAsia="en-US"/>
        </w:rPr>
        <w:pict>
          <v:rect id="Rectangle 33" o:spid="_x0000_s1033" style="position:absolute;left:0;text-align:left;margin-left:186.75pt;margin-top:514.05pt;width:250.5pt;height:40.5pt;z-index:251663360;visibility:visible" filled="f"/>
        </w:pict>
      </w:r>
    </w:p>
    <w:p w:rsidR="00030985" w:rsidRPr="001A2198" w:rsidRDefault="000C2AAA" w:rsidP="00030985">
      <w:pPr>
        <w:tabs>
          <w:tab w:val="left" w:pos="2430"/>
        </w:tabs>
        <w:ind w:right="-1440"/>
        <w:rPr>
          <w:rFonts w:ascii="Arial" w:hAnsi="Arial" w:cs="Arial"/>
          <w:sz w:val="16"/>
          <w:szCs w:val="16"/>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modo contrário, todos os produtos destinam-se apenas a uso para investigação. Não é adequado para utilização em diagnóstico, ou procedimentos terapêuticos. A Select BioProducts não se responsabiliza pelo desempenho destes produtos em aplicações clínicas ou de diagnóstico.</w:t>
      </w:r>
    </w:p>
    <w:p w:rsidR="00030985" w:rsidRPr="001A2198" w:rsidRDefault="00F03237" w:rsidP="000556B1">
      <w:pPr>
        <w:ind w:firstLine="90"/>
        <w:rPr>
          <w:rFonts w:ascii="Arial" w:hAnsi="Arial" w:cs="Arial"/>
          <w:b/>
          <w:lang w:val="pt-PT"/>
        </w:rPr>
      </w:pPr>
    </w:p>
    <w:p w:rsidR="00BB4042" w:rsidRPr="001A2198" w:rsidRDefault="000C2AAA">
      <w:pPr>
        <w:rPr>
          <w:rFonts w:ascii="Arial" w:hAnsi="Arial" w:cs="Arial"/>
          <w:b/>
          <w:lang w:val="pt-PT"/>
        </w:rPr>
      </w:pPr>
      <w:r w:rsidRPr="001A2198">
        <w:rPr>
          <w:rFonts w:ascii="Arial" w:hAnsi="Arial" w:cs="Arial"/>
          <w:b/>
          <w:lang w:val="pt-PT"/>
        </w:rPr>
        <w:br w:type="page"/>
      </w:r>
    </w:p>
    <w:p w:rsidR="000556B1" w:rsidRPr="001A2198" w:rsidRDefault="00F03237" w:rsidP="000556B1">
      <w:pPr>
        <w:ind w:firstLine="90"/>
        <w:rPr>
          <w:rFonts w:ascii="Arial" w:hAnsi="Arial" w:cs="Arial"/>
          <w:b/>
          <w:lang w:val="pt-PT"/>
        </w:rPr>
      </w:pPr>
    </w:p>
    <w:p w:rsidR="00D427DE"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594D87" w:rsidRPr="001A2198" w:rsidRDefault="00F03237" w:rsidP="00D427DE">
      <w:pPr>
        <w:jc w:val="center"/>
        <w:rPr>
          <w:rFonts w:ascii="Arial" w:hAnsi="Arial" w:cs="Arial"/>
          <w:sz w:val="18"/>
          <w:szCs w:val="18"/>
          <w:lang w:val="pt-PT"/>
        </w:rPr>
      </w:pPr>
    </w:p>
    <w:p w:rsidR="00D427DE" w:rsidRPr="001A2198" w:rsidRDefault="00F03237" w:rsidP="00D427DE">
      <w:pPr>
        <w:jc w:val="center"/>
        <w:rPr>
          <w:rFonts w:ascii="Arial" w:hAnsi="Arial" w:cs="Arial"/>
          <w:sz w:val="18"/>
          <w:szCs w:val="18"/>
          <w:lang w:val="pt-PT"/>
        </w:rPr>
      </w:pPr>
    </w:p>
    <w:p w:rsidR="00A05DF3" w:rsidRPr="001A2198" w:rsidRDefault="00F03237" w:rsidP="00D427DE">
      <w:pPr>
        <w:jc w:val="center"/>
        <w:rPr>
          <w:rFonts w:ascii="Arial" w:hAnsi="Arial" w:cs="Arial"/>
          <w:sz w:val="18"/>
          <w:szCs w:val="18"/>
          <w:lang w:val="pt-PT"/>
        </w:rPr>
      </w:pPr>
    </w:p>
    <w:p w:rsidR="00D427DE" w:rsidRPr="001A2198" w:rsidRDefault="00F03237" w:rsidP="00D427DE">
      <w:pPr>
        <w:jc w:val="center"/>
        <w:rPr>
          <w:rFonts w:ascii="Arial" w:hAnsi="Arial" w:cs="Arial"/>
          <w:sz w:val="18"/>
          <w:szCs w:val="18"/>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56"/>
        <w:gridCol w:w="2922"/>
        <w:gridCol w:w="2178"/>
      </w:tblGrid>
      <w:tr w:rsidR="00910804" w:rsidTr="00594D87">
        <w:tc>
          <w:tcPr>
            <w:tcW w:w="3756" w:type="dxa"/>
          </w:tcPr>
          <w:p w:rsidR="00594D87" w:rsidRDefault="000C2AAA" w:rsidP="00D0695B">
            <w:pPr>
              <w:rPr>
                <w:rFonts w:ascii="Arial" w:hAnsi="Arial" w:cs="Arial"/>
                <w:sz w:val="16"/>
                <w:szCs w:val="16"/>
              </w:rPr>
            </w:pPr>
            <w:r w:rsidRPr="00594D87">
              <w:rPr>
                <w:rFonts w:ascii="Arial" w:hAnsi="Arial" w:cs="Arial"/>
                <w:noProof/>
                <w:sz w:val="16"/>
                <w:szCs w:val="16"/>
                <w:lang w:eastAsia="zh-TW"/>
              </w:rPr>
              <w:drawing>
                <wp:inline distT="0" distB="0" distL="0" distR="0">
                  <wp:extent cx="2226945" cy="897255"/>
                  <wp:effectExtent l="19050" t="0" r="1905" b="0"/>
                  <wp:docPr id="6" name="Picture 6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lectBio Logo copy"/>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26945" cy="897255"/>
                          </a:xfrm>
                          <a:prstGeom prst="rect">
                            <a:avLst/>
                          </a:prstGeom>
                          <a:noFill/>
                          <a:ln>
                            <a:noFill/>
                          </a:ln>
                        </pic:spPr>
                      </pic:pic>
                    </a:graphicData>
                  </a:graphic>
                </wp:inline>
              </w:drawing>
            </w:r>
          </w:p>
        </w:tc>
        <w:tc>
          <w:tcPr>
            <w:tcW w:w="2922" w:type="dxa"/>
          </w:tcPr>
          <w:p w:rsidR="00594D87" w:rsidRDefault="000C2AAA" w:rsidP="00594D87">
            <w:r w:rsidRPr="001A2198">
              <w:rPr>
                <w:rFonts w:eastAsia="Times New Roman"/>
                <w:bdr w:val="nil"/>
                <w:lang w:val="en-GB"/>
              </w:rPr>
              <w:t>31 Mayfield Ave.</w:t>
            </w:r>
          </w:p>
          <w:p w:rsidR="00594D87" w:rsidRPr="00594D87" w:rsidRDefault="000C2AAA" w:rsidP="00594D87">
            <w:r w:rsidRPr="001A2198">
              <w:rPr>
                <w:rFonts w:eastAsia="Times New Roman"/>
                <w:bdr w:val="nil"/>
                <w:lang w:val="en-GB"/>
              </w:rPr>
              <w:t>Edison, NJ 08837 EUA</w:t>
            </w:r>
          </w:p>
        </w:tc>
        <w:tc>
          <w:tcPr>
            <w:tcW w:w="2178" w:type="dxa"/>
          </w:tcPr>
          <w:p w:rsidR="00594D87" w:rsidRDefault="00F03237" w:rsidP="00D0695B">
            <w:pPr>
              <w:rPr>
                <w:rFonts w:ascii="Arial" w:hAnsi="Arial" w:cs="Arial"/>
                <w:sz w:val="16"/>
                <w:szCs w:val="16"/>
              </w:rPr>
            </w:pPr>
          </w:p>
        </w:tc>
      </w:tr>
      <w:tr w:rsidR="00910804" w:rsidTr="00594D87">
        <w:tc>
          <w:tcPr>
            <w:tcW w:w="3756" w:type="dxa"/>
          </w:tcPr>
          <w:p w:rsidR="00594D87" w:rsidRDefault="00F03237" w:rsidP="00D0695B">
            <w:pPr>
              <w:rPr>
                <w:rFonts w:ascii="Arial" w:hAnsi="Arial" w:cs="Arial"/>
                <w:sz w:val="16"/>
                <w:szCs w:val="16"/>
              </w:rPr>
            </w:pPr>
          </w:p>
        </w:tc>
        <w:tc>
          <w:tcPr>
            <w:tcW w:w="2922" w:type="dxa"/>
          </w:tcPr>
          <w:p w:rsidR="00594D87" w:rsidRDefault="00F03237" w:rsidP="00D0695B">
            <w:pPr>
              <w:rPr>
                <w:rFonts w:ascii="Arial" w:hAnsi="Arial" w:cs="Arial"/>
                <w:sz w:val="16"/>
                <w:szCs w:val="16"/>
              </w:rPr>
            </w:pPr>
          </w:p>
        </w:tc>
        <w:tc>
          <w:tcPr>
            <w:tcW w:w="2178" w:type="dxa"/>
          </w:tcPr>
          <w:p w:rsidR="00594D87" w:rsidRPr="00594D87" w:rsidRDefault="000C2AAA" w:rsidP="00594D87">
            <w:pPr>
              <w:jc w:val="right"/>
              <w:rPr>
                <w:rFonts w:ascii="Arial" w:hAnsi="Arial" w:cs="Arial"/>
                <w:sz w:val="20"/>
              </w:rPr>
            </w:pPr>
            <w:r>
              <w:rPr>
                <w:rFonts w:ascii="Arial" w:eastAsia="Arial" w:hAnsi="Arial" w:cs="Arial"/>
                <w:sz w:val="20"/>
                <w:szCs w:val="20"/>
                <w:bdr w:val="nil"/>
                <w:lang w:val="pt-PT"/>
              </w:rPr>
              <w:t>9299360000</w:t>
            </w:r>
          </w:p>
        </w:tc>
      </w:tr>
    </w:tbl>
    <w:p w:rsidR="00030C4B" w:rsidRPr="00C33B20" w:rsidRDefault="003A43AF" w:rsidP="00D0695B">
      <w:pPr>
        <w:rPr>
          <w:rFonts w:ascii="Arial" w:hAnsi="Arial" w:cs="Arial"/>
          <w:sz w:val="16"/>
          <w:szCs w:val="16"/>
        </w:rPr>
      </w:pPr>
      <w:r w:rsidRPr="003A43AF">
        <w:rPr>
          <w:noProof/>
          <w:sz w:val="22"/>
          <w:szCs w:val="22"/>
          <w:lang w:eastAsia="en-US"/>
        </w:rPr>
        <w:pict>
          <v:shapetype id="_x0000_t202" coordsize="21600,21600" o:spt="202" path="m,l,21600r21600,l21600,xe">
            <v:stroke joinstyle="miter"/>
            <v:path gradientshapeok="t" o:connecttype="rect"/>
          </v:shapetype>
          <v:shape id="Text Box 76" o:spid="_x0000_s1034" type="#_x0000_t202" style="position:absolute;margin-left:147.4pt;margin-top:557.6pt;width:2in;height:41.15pt;z-index:251664384;visibility:visible;mso-position-horizontal-relative:text;mso-position-vertical-relative:text" filled="f" stroked="f">
            <v:textbox>
              <w:txbxContent>
                <w:p w:rsidR="00D0695B" w:rsidRPr="00594D87" w:rsidRDefault="00F03237" w:rsidP="00594D87"/>
              </w:txbxContent>
            </v:textbox>
          </v:shape>
        </w:pict>
      </w:r>
      <w:r w:rsidRPr="003A43AF">
        <w:rPr>
          <w:noProof/>
          <w:sz w:val="22"/>
          <w:szCs w:val="22"/>
          <w:lang w:eastAsia="en-US"/>
        </w:rPr>
        <w:pict>
          <v:shape id="Text Box 70" o:spid="_x0000_s1035" type="#_x0000_t202" style="position:absolute;margin-left:354.65pt;margin-top:607.85pt;width:78.35pt;height:25.3pt;z-index:251661312;visibility:visible;mso-position-horizontal-relative:text;mso-position-vertical-relative:text" stroked="f">
            <v:textbox>
              <w:txbxContent>
                <w:p w:rsidR="00C26C62" w:rsidRPr="00594D87" w:rsidRDefault="00F03237" w:rsidP="00594D87"/>
              </w:txbxContent>
            </v:textbox>
          </v:shape>
        </w:pict>
      </w:r>
    </w:p>
    <w:sectPr w:rsidR="00030C4B" w:rsidRPr="00C33B20" w:rsidSect="00CE6F5C">
      <w:footerReference w:type="first" r:id="rId21"/>
      <w:pgSz w:w="12240" w:h="15840"/>
      <w:pgMar w:top="1440" w:right="1800" w:bottom="99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AAA" w:rsidRDefault="000C2AAA">
      <w:r>
        <w:separator/>
      </w:r>
    </w:p>
  </w:endnote>
  <w:endnote w:type="continuationSeparator" w:id="0">
    <w:p w:rsidR="000C2AAA" w:rsidRDefault="000C2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F5C" w:rsidRPr="001A2198" w:rsidRDefault="000C2AAA" w:rsidP="00CE6F5C">
    <w:pPr>
      <w:autoSpaceDE w:val="0"/>
      <w:autoSpaceDN w:val="0"/>
      <w:adjustRightInd w:val="0"/>
      <w:spacing w:line="210" w:lineRule="atLeast"/>
      <w:rPr>
        <w:rFonts w:ascii="Arial" w:eastAsia="MS Mincho" w:hAnsi="Arial" w:cs="Arial"/>
        <w:b/>
        <w:bCs/>
        <w:sz w:val="18"/>
        <w:szCs w:val="18"/>
        <w:lang w:val="pt-PT" w:eastAsia="ja-JP"/>
      </w:rPr>
    </w:pPr>
    <w:r>
      <w:rPr>
        <w:rFonts w:ascii="Arial" w:eastAsia="Arial" w:hAnsi="Arial" w:cs="Arial"/>
        <w:b/>
        <w:bCs/>
        <w:sz w:val="18"/>
        <w:szCs w:val="18"/>
        <w:bdr w:val="nil"/>
        <w:lang w:val="pt-PT" w:eastAsia="ja-JP"/>
      </w:rPr>
      <w:t xml:space="preserve">Lit M00055  </w:t>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r>
    <w:r>
      <w:rPr>
        <w:rFonts w:ascii="Arial" w:eastAsia="Arial" w:hAnsi="Arial" w:cs="Arial"/>
        <w:b/>
        <w:bCs/>
        <w:sz w:val="18"/>
        <w:szCs w:val="18"/>
        <w:bdr w:val="nil"/>
        <w:lang w:val="pt-PT" w:eastAsia="ja-JP"/>
      </w:rPr>
      <w:tab/>
      <w:t>Rev.3, julho de 2016</w:t>
    </w:r>
  </w:p>
  <w:p w:rsidR="00CE6F5C" w:rsidRPr="001A2198" w:rsidRDefault="00F03237">
    <w:pPr>
      <w:pStyle w:val="Footer"/>
      <w:rPr>
        <w:lang w:val="pt-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AAA" w:rsidRDefault="000C2AAA">
      <w:r>
        <w:separator/>
      </w:r>
    </w:p>
  </w:footnote>
  <w:footnote w:type="continuationSeparator" w:id="0">
    <w:p w:rsidR="000C2AAA" w:rsidRDefault="000C2A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910804"/>
    <w:rsid w:val="000C2AAA"/>
    <w:rsid w:val="001A2198"/>
    <w:rsid w:val="003A43AF"/>
    <w:rsid w:val="00910804"/>
    <w:rsid w:val="00F0323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styleId="BalloonText">
    <w:name w:val="Balloon Text"/>
    <w:basedOn w:val="Normal"/>
    <w:link w:val="BalloonTextChar"/>
    <w:rsid w:val="00406239"/>
    <w:rPr>
      <w:rFonts w:ascii="Tahoma" w:hAnsi="Tahoma" w:cs="Tahoma"/>
      <w:sz w:val="16"/>
      <w:szCs w:val="16"/>
    </w:rPr>
  </w:style>
  <w:style w:type="character" w:customStyle="1" w:styleId="BalloonTextChar">
    <w:name w:val="Balloon Text Char"/>
    <w:link w:val="BalloonText"/>
    <w:rsid w:val="00406239"/>
    <w:rPr>
      <w:rFonts w:ascii="Tahoma" w:eastAsia="Batang" w:hAnsi="Tahoma" w:cs="Tahoma"/>
      <w:sz w:val="16"/>
      <w:szCs w:val="16"/>
      <w:lang w:eastAsia="ko-KR"/>
    </w:rPr>
  </w:style>
  <w:style w:type="paragraph" w:customStyle="1" w:styleId="AboutAHead">
    <w:name w:val="About.. A Head"/>
    <w:basedOn w:val="Normal"/>
    <w:uiPriority w:val="99"/>
    <w:rsid w:val="00030985"/>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030985"/>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corning.com/wee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C5D8DE41E7A94699207848F9CE7680" ma:contentTypeVersion="" ma:contentTypeDescription="Create a new document." ma:contentTypeScope="" ma:versionID="fe93f9c86c0a8b9c6d0ce535375c4cf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8E9C-4035-4A85-9553-F2DBAEBABD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A90542-0B72-41C7-8F7A-8EB9C974F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384A64A-2ADC-4592-A4C0-3608037D53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1810</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12117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15</cp:revision>
  <cp:lastPrinted>2016-07-18T15:05:00Z</cp:lastPrinted>
  <dcterms:created xsi:type="dcterms:W3CDTF">2016-08-09T16:36:00Z</dcterms:created>
  <dcterms:modified xsi:type="dcterms:W3CDTF">2016-10-28T21:34:00Z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102b0412-7390-4aa6-a475-50a5df4dcff6</vt:lpwstr>
  </property>
</Properties>
</file>