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24B" w:rsidRDefault="001D224B" w:rsidP="007D271E">
      <w:pPr>
        <w:autoSpaceDE w:val="0"/>
        <w:autoSpaceDN w:val="0"/>
        <w:adjustRightInd w:val="0"/>
        <w:rPr>
          <w:rFonts w:ascii="Eurostile" w:eastAsia="Eurostile" w:hAnsi="Eurostile" w:cs="Eurostile"/>
          <w:b/>
          <w:bCs/>
          <w:noProof/>
          <w:sz w:val="52"/>
          <w:szCs w:val="52"/>
          <w:bdr w:val="nil"/>
          <w:lang w:val="pt-PT" w:eastAsia="en-US"/>
        </w:rPr>
      </w:pPr>
    </w:p>
    <w:p w:rsidR="007D271E" w:rsidRPr="005249E4" w:rsidRDefault="005C7B3B" w:rsidP="007D271E">
      <w:pPr>
        <w:autoSpaceDE w:val="0"/>
        <w:autoSpaceDN w:val="0"/>
        <w:adjustRightInd w:val="0"/>
        <w:rPr>
          <w:rFonts w:ascii="Eurostile" w:hAnsi="Eurostile"/>
          <w:b/>
          <w:sz w:val="52"/>
          <w:szCs w:val="52"/>
          <w:lang w:val="pt-PT"/>
        </w:rPr>
      </w:pPr>
      <w:r w:rsidRPr="005C7B3B">
        <w:rPr>
          <w:rFonts w:ascii="Eurostile" w:hAnsi="Eurostile"/>
          <w:b/>
          <w:noProof/>
          <w:sz w:val="48"/>
          <w:szCs w:val="48"/>
          <w:lang w:eastAsia="en-US"/>
        </w:rPr>
        <w:pict>
          <v:line id="Line 15" o:spid="_x0000_s1029" style="position:absolute;z-index:251659264;visibility:visible" from="-40.2pt,78.5pt" to="471.3pt,78.5pt" strokeweight="3pt"/>
        </w:pict>
      </w:r>
      <w:r w:rsidR="003831FF">
        <w:rPr>
          <w:rFonts w:ascii="Eurostile" w:eastAsia="Eurostile" w:hAnsi="Eurostile" w:cs="Eurostile"/>
          <w:b/>
          <w:bCs/>
          <w:noProof/>
          <w:sz w:val="52"/>
          <w:szCs w:val="52"/>
          <w:bdr w:val="nil"/>
          <w:lang w:val="pt-PT" w:eastAsia="en-US"/>
        </w:rPr>
        <w:t>MINI MISTURADOR SELECT BIOPRODUCTS</w:t>
      </w:r>
    </w:p>
    <w:p w:rsidR="007D271E" w:rsidRPr="005249E4" w:rsidRDefault="005C7B3B" w:rsidP="007D271E">
      <w:pPr>
        <w:autoSpaceDE w:val="0"/>
        <w:autoSpaceDN w:val="0"/>
        <w:adjustRightInd w:val="0"/>
        <w:rPr>
          <w:rFonts w:ascii="Arial" w:hAnsi="Arial" w:cs="Arial"/>
          <w:b/>
          <w:bCs/>
          <w:sz w:val="32"/>
          <w:szCs w:val="32"/>
          <w:lang w:val="pt-PT"/>
        </w:rPr>
      </w:pPr>
      <w:r w:rsidRPr="005C7B3B">
        <w:rPr>
          <w:rFonts w:ascii="Eurostile" w:hAnsi="Eurostile"/>
          <w:b/>
          <w:noProof/>
          <w:sz w:val="48"/>
          <w:szCs w:val="48"/>
          <w:lang w:eastAsia="en-US"/>
        </w:rPr>
        <w:pict>
          <v:line id="Line 16" o:spid="_x0000_s1026" style="position:absolute;z-index:251660288;visibility:visible" from="-40.95pt,4.3pt" to="470.55pt,4.3pt" strokecolor="#005a7c" strokeweight="3pt"/>
        </w:pict>
      </w:r>
      <w:r w:rsidR="003831FF">
        <w:rPr>
          <w:rFonts w:ascii="Eurostile" w:eastAsia="Eurostile" w:hAnsi="Eurostile" w:cs="Eurostile"/>
          <w:b/>
          <w:bCs/>
          <w:noProof/>
          <w:sz w:val="48"/>
          <w:szCs w:val="48"/>
          <w:bdr w:val="nil"/>
          <w:lang w:val="pt-PT" w:eastAsia="en-US"/>
        </w:rPr>
        <w:t>Manual do Utilizador</w:t>
      </w:r>
    </w:p>
    <w:p w:rsidR="00972649"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3831FF" w:rsidP="00972649">
      <w:pPr>
        <w:autoSpaceDE w:val="0"/>
        <w:autoSpaceDN w:val="0"/>
        <w:adjustRightInd w:val="0"/>
        <w:jc w:val="center"/>
        <w:rPr>
          <w:rFonts w:ascii="Times-Bold" w:hAnsi="Times-Bold" w:cs="Times-Bold"/>
          <w:b/>
          <w:bCs/>
          <w:sz w:val="36"/>
          <w:szCs w:val="36"/>
          <w:lang w:val="pt-PT"/>
        </w:rPr>
      </w:pPr>
      <w:r>
        <w:rPr>
          <w:noProof/>
          <w:lang w:eastAsia="zh-TW"/>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26670</wp:posOffset>
            </wp:positionV>
            <wp:extent cx="3448050" cy="3046095"/>
            <wp:effectExtent l="0" t="0" r="0" b="1905"/>
            <wp:wrapSquare wrapText="bothSides"/>
            <wp:docPr id="15" name="Picture 5" descr="SBP Mini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P Mini Mixe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448050" cy="3046095"/>
                    </a:xfrm>
                    <a:prstGeom prst="rect">
                      <a:avLst/>
                    </a:prstGeom>
                    <a:noFill/>
                    <a:ln>
                      <a:noFill/>
                    </a:ln>
                  </pic:spPr>
                </pic:pic>
              </a:graphicData>
            </a:graphic>
          </wp:anchor>
        </w:drawing>
      </w: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5C7B3B" w:rsidP="00972649">
      <w:pPr>
        <w:autoSpaceDE w:val="0"/>
        <w:autoSpaceDN w:val="0"/>
        <w:adjustRightInd w:val="0"/>
        <w:jc w:val="center"/>
        <w:rPr>
          <w:rFonts w:ascii="Times-Bold" w:hAnsi="Times-Bold" w:cs="Times-Bold"/>
          <w:b/>
          <w:bCs/>
          <w:sz w:val="36"/>
          <w:szCs w:val="36"/>
          <w:lang w:val="pt-PT"/>
        </w:rPr>
      </w:pPr>
      <w:r w:rsidRPr="005C7B3B">
        <w:rPr>
          <w:rFonts w:ascii="Arial" w:hAnsi="Arial" w:cs="Arial"/>
          <w:b/>
          <w:bCs/>
          <w:noProof/>
          <w:sz w:val="22"/>
          <w:szCs w:val="22"/>
          <w:lang w:eastAsia="en-US"/>
        </w:rPr>
        <w:pict>
          <v:shapetype id="_x0000_t202" coordsize="21600,21600" o:spt="202" path="m,l,21600r21600,l21600,xe">
            <v:stroke joinstyle="miter"/>
            <v:path gradientshapeok="t" o:connecttype="rect"/>
          </v:shapetype>
          <v:shape id="Text Box 17" o:spid="_x0000_s1027" type="#_x0000_t202" style="position:absolute;left:0;text-align:left;margin-left:101.95pt;margin-top:13.75pt;width:270.75pt;height:91.25pt;z-index:251661312;visibility:visible" stroked="f">
            <v:textbox>
              <w:txbxContent>
                <w:p w:rsidR="007D271E" w:rsidRDefault="003831F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SBS600</w:t>
                  </w:r>
                </w:p>
                <w:p w:rsidR="007D271E" w:rsidRDefault="003831F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SBS600-2</w:t>
                  </w:r>
                </w:p>
                <w:p w:rsidR="007D271E" w:rsidRPr="00CC1FE0" w:rsidRDefault="003831F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SBS600-3</w:t>
                  </w:r>
                </w:p>
                <w:p w:rsidR="007D271E" w:rsidRDefault="009F0CA2" w:rsidP="00F21CC4"/>
              </w:txbxContent>
            </v:textbox>
          </v:shape>
        </w:pict>
      </w: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p w:rsidR="007D271E" w:rsidRPr="005249E4" w:rsidRDefault="009F0CA2" w:rsidP="00972649">
      <w:pPr>
        <w:autoSpaceDE w:val="0"/>
        <w:autoSpaceDN w:val="0"/>
        <w:adjustRightInd w:val="0"/>
        <w:jc w:val="center"/>
        <w:rPr>
          <w:rFonts w:ascii="Times-Bold" w:hAnsi="Times-Bold" w:cs="Times-Bold"/>
          <w:b/>
          <w:bCs/>
          <w:sz w:val="36"/>
          <w:szCs w:val="36"/>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6"/>
        <w:gridCol w:w="4716"/>
      </w:tblGrid>
      <w:tr w:rsidR="006F6410" w:rsidTr="00DF6AD7">
        <w:tc>
          <w:tcPr>
            <w:tcW w:w="4716" w:type="dxa"/>
          </w:tcPr>
          <w:p w:rsidR="00DF6AD7" w:rsidRDefault="003831FF" w:rsidP="00DF6AD7">
            <w:pPr>
              <w:autoSpaceDE w:val="0"/>
              <w:autoSpaceDN w:val="0"/>
              <w:adjustRightInd w:val="0"/>
              <w:rPr>
                <w:rFonts w:ascii="Times-Bold" w:hAnsi="Times-Bold" w:cs="Times-Bold"/>
                <w:b/>
                <w:bCs/>
                <w:sz w:val="36"/>
                <w:szCs w:val="36"/>
              </w:rPr>
            </w:pPr>
            <w:r>
              <w:rPr>
                <w:rFonts w:ascii="Times-Bold" w:hAnsi="Times-Bold" w:cs="Times-Bold"/>
                <w:b/>
                <w:bCs/>
                <w:noProof/>
                <w:sz w:val="36"/>
                <w:szCs w:val="36"/>
                <w:lang w:eastAsia="zh-TW"/>
              </w:rPr>
              <w:drawing>
                <wp:inline distT="0" distB="0" distL="0" distR="0">
                  <wp:extent cx="357505" cy="252730"/>
                  <wp:effectExtent l="19050" t="0" r="4445" b="0"/>
                  <wp:docPr id="21" name="Picture 35"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
                          <pic:cNvPicPr>
                            <a:picLocks noChangeAspect="1" noChangeArrowheads="1"/>
                          </pic:cNvPicPr>
                        </pic:nvPicPr>
                        <pic:blipFill>
                          <a:blip r:embed="rId7" cstate="print"/>
                          <a:stretch>
                            <a:fillRect/>
                          </a:stretch>
                        </pic:blipFill>
                        <pic:spPr bwMode="auto">
                          <a:xfrm>
                            <a:off x="0" y="0"/>
                            <a:ext cx="357505" cy="25273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261620" cy="245745"/>
                  <wp:effectExtent l="19050" t="0" r="5080" b="0"/>
                  <wp:docPr id="20" name="Picture 36"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03225" cy="403225"/>
                  <wp:effectExtent l="19050" t="0" r="0" b="0"/>
                  <wp:docPr id="19" name="Picture 39"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500380" cy="500380"/>
                  <wp:effectExtent l="19050" t="0" r="0" b="0"/>
                  <wp:docPr id="18" name="Picture 38"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14655" cy="320675"/>
                  <wp:effectExtent l="19050" t="0" r="4445" b="0"/>
                  <wp:docPr id="17" name="Picture 37"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TL"/>
                          <pic:cNvPicPr>
                            <a:picLocks noChangeAspect="1" noChangeArrowheads="1"/>
                          </pic:cNvPicPr>
                        </pic:nvPicPr>
                        <pic:blipFill>
                          <a:blip r:embed="rId11" cstate="print"/>
                          <a:stretch>
                            <a:fillRect/>
                          </a:stretch>
                        </pic:blipFill>
                        <pic:spPr bwMode="auto">
                          <a:xfrm>
                            <a:off x="0" y="0"/>
                            <a:ext cx="414655" cy="320675"/>
                          </a:xfrm>
                          <a:prstGeom prst="rect">
                            <a:avLst/>
                          </a:prstGeom>
                          <a:noFill/>
                        </pic:spPr>
                      </pic:pic>
                    </a:graphicData>
                  </a:graphic>
                </wp:inline>
              </w:drawing>
            </w:r>
          </w:p>
        </w:tc>
        <w:tc>
          <w:tcPr>
            <w:tcW w:w="4716" w:type="dxa"/>
          </w:tcPr>
          <w:p w:rsidR="00DF6AD7" w:rsidRDefault="003831FF" w:rsidP="00DF6AD7">
            <w:pPr>
              <w:autoSpaceDE w:val="0"/>
              <w:autoSpaceDN w:val="0"/>
              <w:adjustRightInd w:val="0"/>
              <w:jc w:val="right"/>
              <w:rPr>
                <w:rFonts w:ascii="Times-Bold" w:hAnsi="Times-Bold" w:cs="Times-Bold"/>
                <w:b/>
                <w:bCs/>
                <w:sz w:val="36"/>
                <w:szCs w:val="36"/>
              </w:rPr>
            </w:pPr>
            <w:r w:rsidRPr="00DF6AD7">
              <w:rPr>
                <w:rFonts w:ascii="Times-Bold" w:hAnsi="Times-Bold" w:cs="Times-Bold"/>
                <w:b/>
                <w:bCs/>
                <w:noProof/>
                <w:sz w:val="36"/>
                <w:szCs w:val="36"/>
                <w:lang w:eastAsia="zh-TW"/>
              </w:rPr>
              <w:drawing>
                <wp:inline distT="0" distB="0" distL="0" distR="0">
                  <wp:extent cx="1701800" cy="685800"/>
                  <wp:effectExtent l="19050" t="0" r="0" b="0"/>
                  <wp:docPr id="4" name="Picture 2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Bio Logo cop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DF6AD7" w:rsidRDefault="009F0CA2" w:rsidP="00972649">
      <w:pPr>
        <w:autoSpaceDE w:val="0"/>
        <w:autoSpaceDN w:val="0"/>
        <w:adjustRightInd w:val="0"/>
        <w:jc w:val="center"/>
        <w:rPr>
          <w:rFonts w:ascii="Times-Bold" w:hAnsi="Times-Bold" w:cs="Times-Bold"/>
          <w:b/>
          <w:bCs/>
          <w:sz w:val="36"/>
          <w:szCs w:val="36"/>
        </w:rPr>
      </w:pPr>
    </w:p>
    <w:p w:rsidR="00DF6AD7" w:rsidRDefault="003831FF">
      <w:pPr>
        <w:rPr>
          <w:rFonts w:ascii="Times-Bold" w:hAnsi="Times-Bold" w:cs="Times-Bold"/>
          <w:b/>
          <w:bCs/>
          <w:sz w:val="36"/>
          <w:szCs w:val="36"/>
        </w:rPr>
      </w:pPr>
      <w:r>
        <w:rPr>
          <w:rFonts w:ascii="Times-Bold" w:hAnsi="Times-Bold" w:cs="Times-Bold"/>
          <w:b/>
          <w:bCs/>
          <w:sz w:val="36"/>
          <w:szCs w:val="36"/>
        </w:rPr>
        <w:br w:type="page"/>
      </w:r>
    </w:p>
    <w:tbl>
      <w:tblPr>
        <w:tblStyle w:val="TableGrid"/>
        <w:tblW w:w="0" w:type="auto"/>
        <w:tblLook w:val="04A0"/>
      </w:tblPr>
      <w:tblGrid>
        <w:gridCol w:w="9432"/>
      </w:tblGrid>
      <w:tr w:rsidR="006F6410" w:rsidRPr="009F0CA2" w:rsidTr="00DF6AD7">
        <w:tc>
          <w:tcPr>
            <w:tcW w:w="9432" w:type="dxa"/>
          </w:tcPr>
          <w:p w:rsidR="00DF6AD7" w:rsidRPr="005249E4" w:rsidRDefault="003831FF" w:rsidP="009F0CA2">
            <w:pPr>
              <w:pStyle w:val="AboutAHead"/>
              <w:spacing w:before="0" w:after="40"/>
              <w:rPr>
                <w:rFonts w:ascii="Arial" w:hAnsi="Arial" w:cs="Arial"/>
                <w:lang w:val="pt-PT"/>
              </w:rPr>
            </w:pPr>
            <w:r>
              <w:rPr>
                <w:rFonts w:ascii="Arial" w:eastAsia="Arial" w:hAnsi="Arial" w:cs="Arial"/>
                <w:sz w:val="24"/>
                <w:szCs w:val="24"/>
                <w:bdr w:val="nil"/>
                <w:lang w:val="pt-PT"/>
              </w:rPr>
              <w:lastRenderedPageBreak/>
              <w:t>Acerca deste manual</w:t>
            </w:r>
          </w:p>
          <w:p w:rsidR="00DF6AD7" w:rsidRPr="005249E4" w:rsidRDefault="003831FF" w:rsidP="009F0CA2">
            <w:pPr>
              <w:pStyle w:val="Aboutbody"/>
              <w:spacing w:after="0"/>
              <w:rPr>
                <w:rFonts w:ascii="Arial" w:hAnsi="Arial" w:cs="Arial"/>
                <w:sz w:val="22"/>
                <w:lang w:val="pt-PT"/>
              </w:rPr>
            </w:pPr>
            <w:r>
              <w:rPr>
                <w:rFonts w:ascii="Arial" w:eastAsia="Arial" w:hAnsi="Arial" w:cs="Arial"/>
                <w:sz w:val="22"/>
                <w:szCs w:val="22"/>
                <w:bdr w:val="nil"/>
                <w:lang w:val="pt-PT"/>
              </w:rPr>
              <w:t xml:space="preserve">Este manual foi elaborado para auxiliar na utilização otimizada do seu Mini Misturador Select BioProducts.  O manual está disponível em inglês, francês, alemão, italiano, português e espanhol no nosso website, em </w:t>
            </w:r>
            <w:r>
              <w:rPr>
                <w:rFonts w:ascii="Arial" w:eastAsia="Arial" w:hAnsi="Arial" w:cs="Arial"/>
                <w:b/>
                <w:bCs/>
                <w:sz w:val="22"/>
                <w:szCs w:val="22"/>
                <w:bdr w:val="nil"/>
                <w:lang w:val="pt-PT"/>
              </w:rPr>
              <w:t>www.selectbioproducts.com</w:t>
            </w:r>
          </w:p>
        </w:tc>
      </w:tr>
    </w:tbl>
    <w:p w:rsidR="00147FDF" w:rsidRPr="009F0CA2" w:rsidRDefault="009F0CA2" w:rsidP="00C5421E">
      <w:pPr>
        <w:autoSpaceDE w:val="0"/>
        <w:autoSpaceDN w:val="0"/>
        <w:adjustRightInd w:val="0"/>
        <w:rPr>
          <w:rFonts w:ascii="Arial" w:hAnsi="Arial" w:cs="Arial"/>
          <w:b/>
          <w:bCs/>
          <w:sz w:val="6"/>
          <w:szCs w:val="6"/>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VISÃO GERAL</w:t>
      </w:r>
    </w:p>
    <w:p w:rsidR="006F1E3C"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w:t>
      </w:r>
      <w:r>
        <w:rPr>
          <w:rFonts w:ascii="Arial" w:eastAsia="Arial" w:hAnsi="Arial" w:cs="Arial"/>
          <w:b/>
          <w:bCs/>
          <w:sz w:val="20"/>
          <w:szCs w:val="20"/>
          <w:bdr w:val="nil"/>
          <w:lang w:val="pt-PT"/>
        </w:rPr>
        <w:t>Select BioProducts</w:t>
      </w:r>
      <w:r>
        <w:rPr>
          <w:rFonts w:ascii="Arial" w:eastAsia="Arial" w:hAnsi="Arial" w:cs="Arial"/>
          <w:sz w:val="20"/>
          <w:szCs w:val="20"/>
          <w:bdr w:val="nil"/>
          <w:lang w:val="pt-PT"/>
        </w:rPr>
        <w:t xml:space="preserve"> é um misturador tridimensional, tipicamente utilizado para a manutenção de uma suspensão uniforme de líquidos sobre membranas de transferência com um mínimo de volume. 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é, também, ideal para o processamento Western Blots e a coloração e descoloração de géis PAGE.</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atinge a sua mistura tridimensional, combinando o movimento de rotação de um misturador orbital com o movimento de balanço de um dispositivo de balanço de plataforma.</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estilo moderno da caixa do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é conseguido através da utilização de plástico FRABS moldado por injeção. A pequena plataforma é construída em alumínio revestido a pó, tendo no topo um tapete TPE em borracha.</w:t>
      </w:r>
    </w:p>
    <w:p w:rsidR="00972649"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INSTALAÇÃO</w:t>
      </w:r>
    </w:p>
    <w:p w:rsidR="006F1E3C"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poderá ser utilizado numa bancada, numa sala fresca, ou numa incubadora até 40 ºC. Coloque a unidade numa superfície plana e estável e assegure-se de que deixa espaço suficiente em torno da unidade, de forma a permitir que tanto a plataforma, como a carga se possam mover livremente. É aconselhado um mínimo de 10 cm (4") de espaço livre de todos os lados do misturador.</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Ligue a unidade a uma tomada ligada à terra de modo adequado, com a voltagem apropriada, conforme é apresentado na etiqueta de dados da unidade.</w:t>
      </w:r>
    </w:p>
    <w:p w:rsidR="00972649" w:rsidRPr="009F0CA2" w:rsidRDefault="009F0CA2" w:rsidP="00C5421E">
      <w:pPr>
        <w:autoSpaceDE w:val="0"/>
        <w:autoSpaceDN w:val="0"/>
        <w:adjustRightInd w:val="0"/>
        <w:rPr>
          <w:rFonts w:ascii="Arial" w:hAnsi="Arial" w:cs="Arial"/>
          <w:b/>
          <w:bCs/>
          <w:sz w:val="4"/>
          <w:szCs w:val="4"/>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FUNCIONAMENTO</w:t>
      </w:r>
    </w:p>
    <w:p w:rsidR="006F1E3C"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O padrão entrançado plano está configurado para permitir 4, 8 caixas de blotting de 10 cm (Bio-Rad, NuSep), ou 2, 10 caixas de blotting de 10 cm (Lonza, Invitrogen), colocadas de forma segura no tapete, sem fixação adicional. Se as caixas de blotting forem empilhadas, devem ser fixadas com bandas de borracha.  Existem orifícios nos cantos das extremidades da plataforma para esse propósito.</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Carregue sempre a plataforma de um modo uniforme e equilibrado.</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Utilize o interruptor Ligado / Desligado para ligar a unidade. A direção da rotação em que a unidade irá iniciar é aleatória e não afeta a mistura. Se desejado, a direção rotacional poderá ser invertida, segurando na base da unidade e tocando muito brevemente na plataforma rotativa, no fundo, num dos cantos. Esta técnica poderá também ser utilizada para selecionar a direção da rotação.</w:t>
      </w:r>
    </w:p>
    <w:p w:rsidR="00972649"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MANUTENÇÃO</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Desligue sempre o cabo elétrico da fonte de alimentação antes de realizar a manutenção ou o apoio técnico.</w:t>
      </w: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não requer qualquer manutenção, além da limpeza ocasional com um pano húmido, utilizando detergente suave. O tapete de borracha poderá ser lavado em água com sabão. </w:t>
      </w:r>
      <w:r>
        <w:rPr>
          <w:rFonts w:ascii="Arial" w:eastAsia="Arial" w:hAnsi="Arial" w:cs="Arial"/>
          <w:b/>
          <w:bCs/>
          <w:sz w:val="20"/>
          <w:szCs w:val="20"/>
          <w:bdr w:val="nil"/>
          <w:lang w:val="pt-PT"/>
        </w:rPr>
        <w:t>Não realize a imersão da unidade em água, ou</w:t>
      </w:r>
      <w:r>
        <w:rPr>
          <w:rFonts w:ascii="Arial" w:eastAsia="Arial" w:hAnsi="Arial" w:cs="Arial"/>
          <w:sz w:val="20"/>
          <w:szCs w:val="20"/>
          <w:bdr w:val="nil"/>
          <w:lang w:val="pt-PT"/>
        </w:rPr>
        <w:t xml:space="preserve"> </w:t>
      </w:r>
      <w:r>
        <w:rPr>
          <w:rFonts w:ascii="Arial" w:eastAsia="Arial" w:hAnsi="Arial" w:cs="Arial"/>
          <w:b/>
          <w:bCs/>
          <w:sz w:val="20"/>
          <w:szCs w:val="20"/>
          <w:bdr w:val="nil"/>
          <w:lang w:val="pt-PT"/>
        </w:rPr>
        <w:t xml:space="preserve">o derrame de líquidos sobre a unidade. </w:t>
      </w:r>
      <w:r>
        <w:rPr>
          <w:rFonts w:ascii="Arial" w:eastAsia="Arial" w:hAnsi="Arial" w:cs="Arial"/>
          <w:sz w:val="20"/>
          <w:szCs w:val="20"/>
          <w:bdr w:val="nil"/>
          <w:lang w:val="pt-PT"/>
        </w:rPr>
        <w:t>Assegure-se de que a unidade está seca, antes de a voltar a ligar à corrente.</w:t>
      </w:r>
    </w:p>
    <w:p w:rsidR="00972649"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APOIO TÉCNICO E REPARAÇÃO</w:t>
      </w:r>
    </w:p>
    <w:p w:rsidR="006F1E3C" w:rsidRPr="009F0CA2" w:rsidRDefault="009F0CA2"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 xml:space="preserve">O </w:t>
      </w:r>
      <w:r>
        <w:rPr>
          <w:rFonts w:ascii="Arial" w:eastAsia="Arial" w:hAnsi="Arial" w:cs="Arial"/>
          <w:b/>
          <w:bCs/>
          <w:sz w:val="20"/>
          <w:szCs w:val="20"/>
          <w:bdr w:val="nil"/>
          <w:lang w:val="pt-PT"/>
        </w:rPr>
        <w:t>Mini Misturador</w:t>
      </w:r>
      <w:r>
        <w:rPr>
          <w:rFonts w:ascii="Arial" w:eastAsia="Arial" w:hAnsi="Arial" w:cs="Arial"/>
          <w:sz w:val="20"/>
          <w:szCs w:val="20"/>
          <w:bdr w:val="nil"/>
          <w:lang w:val="pt-PT"/>
        </w:rPr>
        <w:t xml:space="preserve"> é uma unidade bem construída que deverá fornecer anos de funcionamento sem qualquer problema. Caso seja necessário apoio técnico, contacte o seu Distribuidor Select BioProducts. O apoio técnico deve apenas se realizado por um técnico de apoio técnico qualificado.</w:t>
      </w:r>
    </w:p>
    <w:p w:rsidR="006B4F69" w:rsidRPr="009F0CA2" w:rsidRDefault="009F0CA2" w:rsidP="00C5421E">
      <w:pPr>
        <w:autoSpaceDE w:val="0"/>
        <w:autoSpaceDN w:val="0"/>
        <w:adjustRightInd w:val="0"/>
        <w:rPr>
          <w:rFonts w:ascii="Arial" w:hAnsi="Arial" w:cs="Arial"/>
          <w:b/>
          <w:bCs/>
          <w:sz w:val="2"/>
          <w:szCs w:val="2"/>
          <w:lang w:val="pt-PT"/>
        </w:rPr>
      </w:pPr>
    </w:p>
    <w:p w:rsidR="005249E4" w:rsidRPr="009F0CA2" w:rsidRDefault="005249E4" w:rsidP="00C5421E">
      <w:pPr>
        <w:autoSpaceDE w:val="0"/>
        <w:autoSpaceDN w:val="0"/>
        <w:adjustRightInd w:val="0"/>
        <w:rPr>
          <w:rFonts w:ascii="Arial" w:hAnsi="Arial" w:cs="Arial"/>
          <w:b/>
          <w:bCs/>
          <w:sz w:val="2"/>
          <w:szCs w:val="2"/>
          <w:lang w:val="pt-PT"/>
        </w:rPr>
      </w:pPr>
    </w:p>
    <w:p w:rsidR="005249E4" w:rsidRPr="009F0CA2" w:rsidRDefault="005249E4" w:rsidP="00C5421E">
      <w:pPr>
        <w:autoSpaceDE w:val="0"/>
        <w:autoSpaceDN w:val="0"/>
        <w:adjustRightInd w:val="0"/>
        <w:rPr>
          <w:rFonts w:ascii="Arial" w:hAnsi="Arial" w:cs="Arial"/>
          <w:b/>
          <w:bCs/>
          <w:sz w:val="2"/>
          <w:szCs w:val="2"/>
          <w:lang w:val="pt-PT"/>
        </w:rPr>
      </w:pPr>
    </w:p>
    <w:p w:rsidR="005249E4" w:rsidRPr="009F0CA2" w:rsidRDefault="005249E4" w:rsidP="00C5421E">
      <w:pPr>
        <w:autoSpaceDE w:val="0"/>
        <w:autoSpaceDN w:val="0"/>
        <w:adjustRightInd w:val="0"/>
        <w:rPr>
          <w:rFonts w:ascii="Arial" w:hAnsi="Arial" w:cs="Arial"/>
          <w:b/>
          <w:bCs/>
          <w:sz w:val="2"/>
          <w:szCs w:val="2"/>
          <w:lang w:val="pt-PT"/>
        </w:rPr>
      </w:pPr>
    </w:p>
    <w:p w:rsidR="00C5421E" w:rsidRPr="005249E4" w:rsidRDefault="003831FF" w:rsidP="00C5421E">
      <w:pPr>
        <w:autoSpaceDE w:val="0"/>
        <w:autoSpaceDN w:val="0"/>
        <w:adjustRightInd w:val="0"/>
        <w:rPr>
          <w:rFonts w:ascii="Arial" w:hAnsi="Arial" w:cs="Arial"/>
          <w:b/>
          <w:bCs/>
          <w:sz w:val="22"/>
          <w:szCs w:val="22"/>
          <w:lang w:val="pt-PT"/>
        </w:rPr>
      </w:pPr>
      <w:r>
        <w:rPr>
          <w:rFonts w:ascii="Arial" w:eastAsia="Arial" w:hAnsi="Arial" w:cs="Arial"/>
          <w:b/>
          <w:bCs/>
          <w:sz w:val="22"/>
          <w:szCs w:val="22"/>
          <w:bdr w:val="nil"/>
          <w:lang w:val="pt-PT"/>
        </w:rPr>
        <w:t>ESPECIFICAÇÕES</w:t>
      </w:r>
    </w:p>
    <w:p w:rsidR="006F1E3C" w:rsidRPr="009F0CA2" w:rsidRDefault="009F0CA2" w:rsidP="00C5421E">
      <w:pPr>
        <w:autoSpaceDE w:val="0"/>
        <w:autoSpaceDN w:val="0"/>
        <w:adjustRightInd w:val="0"/>
        <w:rPr>
          <w:rFonts w:ascii="Arial" w:hAnsi="Arial" w:cs="Arial"/>
          <w:b/>
          <w:bCs/>
          <w:sz w:val="4"/>
          <w:szCs w:val="4"/>
          <w:lang w:val="pt-PT"/>
        </w:rPr>
      </w:pP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Ação de mistura: </w:t>
      </w:r>
      <w:r>
        <w:rPr>
          <w:rFonts w:ascii="Arial" w:eastAsia="Arial" w:hAnsi="Arial" w:cs="Arial"/>
          <w:sz w:val="18"/>
          <w:szCs w:val="18"/>
          <w:bdr w:val="nil"/>
          <w:lang w:val="pt-PT"/>
        </w:rPr>
        <w:tab/>
        <w:t>Rotação de balanço tridimensional</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Velocidade de mistura: </w:t>
      </w:r>
      <w:r>
        <w:rPr>
          <w:rFonts w:ascii="Arial" w:eastAsia="Arial" w:hAnsi="Arial" w:cs="Arial"/>
          <w:sz w:val="18"/>
          <w:szCs w:val="18"/>
          <w:bdr w:val="nil"/>
          <w:lang w:val="pt-PT"/>
        </w:rPr>
        <w:tab/>
        <w:t>18 rpm fixos (modelo 120V) 20 rpm fixos (modelo 230V)</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Ângulo de inclinação da plataforma: </w:t>
      </w:r>
      <w:r>
        <w:rPr>
          <w:rFonts w:ascii="Arial" w:eastAsia="Arial" w:hAnsi="Arial" w:cs="Arial"/>
          <w:sz w:val="18"/>
          <w:szCs w:val="18"/>
          <w:bdr w:val="nil"/>
          <w:lang w:val="pt-PT"/>
        </w:rPr>
        <w:tab/>
        <w:t>5 graus fixos</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Dimensões da plataforma: </w:t>
      </w:r>
      <w:r>
        <w:rPr>
          <w:rFonts w:ascii="Arial" w:eastAsia="Arial" w:hAnsi="Arial" w:cs="Arial"/>
          <w:sz w:val="18"/>
          <w:szCs w:val="18"/>
          <w:bdr w:val="nil"/>
          <w:lang w:val="pt-PT"/>
        </w:rPr>
        <w:tab/>
        <w:t>20 cm x 16,5 cm (9.5" x 6.75")</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Dimensões do misturador: </w:t>
      </w:r>
      <w:r>
        <w:rPr>
          <w:rFonts w:ascii="Arial" w:eastAsia="Arial" w:hAnsi="Arial" w:cs="Arial"/>
          <w:sz w:val="18"/>
          <w:szCs w:val="18"/>
          <w:bdr w:val="nil"/>
          <w:lang w:val="pt-PT"/>
        </w:rPr>
        <w:tab/>
        <w:t>24 cm x 14,6 cm x 17 cm (9.5" x 5.75" x 6.75")</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Peso da misturadora: </w:t>
      </w:r>
      <w:r>
        <w:rPr>
          <w:rFonts w:ascii="Arial" w:eastAsia="Arial" w:hAnsi="Arial" w:cs="Arial"/>
          <w:sz w:val="18"/>
          <w:szCs w:val="18"/>
          <w:bdr w:val="nil"/>
          <w:lang w:val="pt-PT"/>
        </w:rPr>
        <w:tab/>
        <w:t>0,85 kg (1.88 lbs)</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Capacidade de carga da plataforma: </w:t>
      </w:r>
      <w:r>
        <w:rPr>
          <w:rFonts w:ascii="Arial" w:eastAsia="Arial" w:hAnsi="Arial" w:cs="Arial"/>
          <w:sz w:val="18"/>
          <w:szCs w:val="18"/>
          <w:bdr w:val="nil"/>
          <w:lang w:val="pt-PT"/>
        </w:rPr>
        <w:tab/>
        <w:t>0,8 kg) (1.75 lbs)</w:t>
      </w:r>
    </w:p>
    <w:p w:rsidR="00C5421E" w:rsidRPr="005249E4" w:rsidRDefault="003831FF" w:rsidP="005249E4">
      <w:pPr>
        <w:tabs>
          <w:tab w:val="left" w:pos="3544"/>
        </w:tabs>
        <w:autoSpaceDE w:val="0"/>
        <w:autoSpaceDN w:val="0"/>
        <w:adjustRightInd w:val="0"/>
        <w:ind w:left="3540" w:hanging="3540"/>
        <w:rPr>
          <w:rFonts w:ascii="Arial" w:hAnsi="Arial" w:cs="Arial"/>
          <w:sz w:val="18"/>
          <w:szCs w:val="18"/>
          <w:lang w:val="pt-PT"/>
        </w:rPr>
      </w:pPr>
      <w:r>
        <w:rPr>
          <w:rFonts w:ascii="Arial" w:eastAsia="Arial" w:hAnsi="Arial" w:cs="Arial"/>
          <w:sz w:val="18"/>
          <w:szCs w:val="18"/>
          <w:bdr w:val="nil"/>
          <w:lang w:val="pt-PT"/>
        </w:rPr>
        <w:t xml:space="preserve">Capacidade da plataforma: </w:t>
      </w:r>
      <w:r>
        <w:rPr>
          <w:rFonts w:ascii="Arial" w:eastAsia="Arial" w:hAnsi="Arial" w:cs="Arial"/>
          <w:sz w:val="18"/>
          <w:szCs w:val="18"/>
          <w:bdr w:val="nil"/>
          <w:lang w:val="pt-PT"/>
        </w:rPr>
        <w:tab/>
        <w:t>4, 8 caixas de blotting de 10 cm (Bio-Rad, NuSep), ou 2, 10 caixas de blotting de 10 cm (Lonza, Invitrogen).</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Interva</w:t>
      </w:r>
      <w:r w:rsidR="005249E4">
        <w:rPr>
          <w:rFonts w:ascii="Arial" w:eastAsia="Arial" w:hAnsi="Arial" w:cs="Arial"/>
          <w:sz w:val="18"/>
          <w:szCs w:val="18"/>
          <w:bdr w:val="nil"/>
          <w:lang w:val="pt-PT"/>
        </w:rPr>
        <w:t>lo de funcionamento de ambiente</w:t>
      </w:r>
      <w:r>
        <w:rPr>
          <w:rFonts w:ascii="Arial" w:eastAsia="Arial" w:hAnsi="Arial" w:cs="Arial"/>
          <w:sz w:val="18"/>
          <w:szCs w:val="18"/>
          <w:bdr w:val="nil"/>
          <w:lang w:val="pt-PT"/>
        </w:rPr>
        <w:tab/>
        <w:t>entre 4 ºC e 40 ºC</w:t>
      </w:r>
    </w:p>
    <w:p w:rsidR="00C5421E" w:rsidRPr="005249E4" w:rsidRDefault="003831FF" w:rsidP="005249E4">
      <w:pPr>
        <w:tabs>
          <w:tab w:val="left" w:pos="3544"/>
        </w:tabs>
        <w:autoSpaceDE w:val="0"/>
        <w:autoSpaceDN w:val="0"/>
        <w:adjustRightInd w:val="0"/>
        <w:rPr>
          <w:rFonts w:ascii="Arial" w:hAnsi="Arial" w:cs="Arial"/>
          <w:sz w:val="18"/>
          <w:szCs w:val="18"/>
          <w:lang w:val="pt-PT"/>
        </w:rPr>
      </w:pPr>
      <w:r>
        <w:rPr>
          <w:rFonts w:ascii="Arial" w:eastAsia="Arial" w:hAnsi="Arial" w:cs="Arial"/>
          <w:sz w:val="18"/>
          <w:szCs w:val="18"/>
          <w:bdr w:val="nil"/>
          <w:lang w:val="pt-PT"/>
        </w:rPr>
        <w:t xml:space="preserve">Valores elétricos: </w:t>
      </w:r>
      <w:r>
        <w:rPr>
          <w:rFonts w:ascii="Arial" w:eastAsia="Arial" w:hAnsi="Arial" w:cs="Arial"/>
          <w:sz w:val="18"/>
          <w:szCs w:val="18"/>
          <w:bdr w:val="nil"/>
          <w:lang w:val="pt-PT"/>
        </w:rPr>
        <w:tab/>
        <w:t>120V, 50/60Hz, 0,03 amps ou 230V, 50 /60Hz, 0,015 amps</w:t>
      </w:r>
    </w:p>
    <w:p w:rsidR="00CA38B1" w:rsidRPr="005249E4" w:rsidRDefault="009F0CA2" w:rsidP="00F85EBF">
      <w:pPr>
        <w:autoSpaceDE w:val="0"/>
        <w:autoSpaceDN w:val="0"/>
        <w:adjustRightInd w:val="0"/>
        <w:spacing w:line="210" w:lineRule="atLeast"/>
        <w:rPr>
          <w:rFonts w:ascii="Arial" w:eastAsia="MS Mincho" w:hAnsi="Arial" w:cs="Arial"/>
          <w:b/>
          <w:bCs/>
          <w:sz w:val="22"/>
          <w:szCs w:val="22"/>
          <w:lang w:val="pt-PT" w:eastAsia="ja-JP"/>
        </w:rPr>
      </w:pPr>
    </w:p>
    <w:p w:rsidR="00F85EBF" w:rsidRPr="005249E4" w:rsidRDefault="003831FF" w:rsidP="00F85EBF">
      <w:pPr>
        <w:autoSpaceDE w:val="0"/>
        <w:autoSpaceDN w:val="0"/>
        <w:adjustRightInd w:val="0"/>
        <w:spacing w:line="210" w:lineRule="atLeast"/>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SÍMBOLOS E CONVENÇÕES</w:t>
      </w:r>
    </w:p>
    <w:p w:rsidR="00F85EBF" w:rsidRPr="005249E4" w:rsidRDefault="009F0CA2" w:rsidP="00F85EBF">
      <w:pPr>
        <w:rPr>
          <w:b/>
          <w:lang w:val="pt-PT"/>
        </w:rPr>
      </w:pPr>
    </w:p>
    <w:p w:rsidR="00F85EBF" w:rsidRPr="005249E4" w:rsidRDefault="003831FF" w:rsidP="00F85EBF">
      <w:pPr>
        <w:rPr>
          <w:rFonts w:ascii="Arial" w:hAnsi="Arial" w:cs="Arial"/>
          <w:b/>
          <w:sz w:val="20"/>
          <w:szCs w:val="20"/>
          <w:lang w:val="pt-PT"/>
        </w:rPr>
      </w:pPr>
      <w:r>
        <w:rPr>
          <w:rFonts w:eastAsia="Times New Roman"/>
          <w:sz w:val="20"/>
          <w:szCs w:val="20"/>
          <w:bdr w:val="nil"/>
          <w:lang w:val="pt-PT"/>
        </w:rPr>
        <w:tab/>
      </w:r>
      <w:r>
        <w:rPr>
          <w:rFonts w:ascii="Arial" w:eastAsia="Arial" w:hAnsi="Arial" w:cs="Arial"/>
          <w:sz w:val="20"/>
          <w:szCs w:val="20"/>
          <w:bdr w:val="nil"/>
          <w:lang w:val="pt-PT"/>
        </w:rPr>
        <w:t>O gráfico seguinte é um glossário ilustrado dos símbolos que poderão ser utilizados neste manual, ou no produto</w:t>
      </w:r>
      <w:r>
        <w:rPr>
          <w:rFonts w:ascii="Arial" w:eastAsia="Arial" w:hAnsi="Arial" w:cs="Arial"/>
          <w:b/>
          <w:bCs/>
          <w:sz w:val="20"/>
          <w:szCs w:val="20"/>
          <w:bdr w:val="nil"/>
          <w:lang w:val="pt-PT"/>
        </w:rPr>
        <w:t>.</w:t>
      </w:r>
    </w:p>
    <w:p w:rsidR="00F85EBF" w:rsidRPr="005249E4" w:rsidRDefault="009F0CA2" w:rsidP="00F85EBF">
      <w:pPr>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6F6410" w:rsidRPr="009F0CA2" w:rsidTr="0035790A">
        <w:tc>
          <w:tcPr>
            <w:tcW w:w="1188" w:type="dxa"/>
            <w:shd w:val="clear" w:color="auto" w:fill="auto"/>
          </w:tcPr>
          <w:p w:rsidR="00F85EBF" w:rsidRPr="0035790A" w:rsidRDefault="003831FF" w:rsidP="0035790A">
            <w:pPr>
              <w:jc w:val="right"/>
              <w:rPr>
                <w:rFonts w:eastAsia="Times New Roman"/>
                <w:sz w:val="20"/>
                <w:szCs w:val="20"/>
              </w:rPr>
            </w:pPr>
            <w:r>
              <w:rPr>
                <w:rFonts w:eastAsia="Times New Roman"/>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F85EBF" w:rsidRPr="005249E4" w:rsidRDefault="003831FF" w:rsidP="0035790A">
            <w:pPr>
              <w:autoSpaceDE w:val="0"/>
              <w:autoSpaceDN w:val="0"/>
              <w:adjustRightInd w:val="0"/>
              <w:rPr>
                <w:rFonts w:ascii="Arial" w:eastAsia="Times New Roman" w:hAnsi="Arial" w:cs="Arial"/>
                <w:sz w:val="20"/>
                <w:szCs w:val="20"/>
                <w:lang w:val="pt-PT"/>
              </w:rPr>
            </w:pPr>
            <w:r>
              <w:rPr>
                <w:rFonts w:ascii="Arial" w:eastAsia="Arial" w:hAnsi="Arial" w:cs="Arial"/>
                <w:sz w:val="20"/>
                <w:szCs w:val="20"/>
                <w:bdr w:val="nil"/>
                <w:lang w:val="pt-PT"/>
              </w:rPr>
              <w:t>A advertência elétrica indica a presença de um risco potencial que poderá resultar em choque elétrico.</w:t>
            </w:r>
          </w:p>
        </w:tc>
      </w:tr>
      <w:tr w:rsidR="006F6410" w:rsidRPr="009F0CA2" w:rsidTr="0035790A">
        <w:trPr>
          <w:trHeight w:val="1088"/>
        </w:trPr>
        <w:tc>
          <w:tcPr>
            <w:tcW w:w="1188" w:type="dxa"/>
            <w:shd w:val="clear" w:color="auto" w:fill="auto"/>
          </w:tcPr>
          <w:p w:rsidR="00F85EBF" w:rsidRPr="0035790A" w:rsidRDefault="003831FF" w:rsidP="0035790A">
            <w:pPr>
              <w:jc w:val="right"/>
              <w:rPr>
                <w:rFonts w:eastAsia="Times New Roman"/>
                <w:sz w:val="20"/>
                <w:szCs w:val="20"/>
              </w:rPr>
            </w:pPr>
            <w:r>
              <w:rPr>
                <w:rFonts w:eastAsia="Times New Roman"/>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F85EBF" w:rsidRPr="005249E4" w:rsidRDefault="003831FF" w:rsidP="00BF4AAE">
            <w:pPr>
              <w:rPr>
                <w:rFonts w:ascii="Arial" w:eastAsia="Times New Roman" w:hAnsi="Arial" w:cs="Arial"/>
                <w:sz w:val="20"/>
                <w:szCs w:val="20"/>
                <w:lang w:val="pt-PT"/>
              </w:rPr>
            </w:pPr>
            <w:r>
              <w:rPr>
                <w:rFonts w:ascii="Arial" w:eastAsia="Arial" w:hAnsi="Arial" w:cs="Arial"/>
                <w:b/>
                <w:bCs/>
                <w:sz w:val="20"/>
                <w:szCs w:val="20"/>
                <w:bdr w:val="nil"/>
                <w:lang w:val="pt-PT"/>
              </w:rPr>
              <w:t>CUIDADO</w:t>
            </w:r>
            <w:r>
              <w:rPr>
                <w:rFonts w:ascii="Arial" w:eastAsia="Arial" w:hAnsi="Arial" w:cs="Arial"/>
                <w:sz w:val="20"/>
                <w:szCs w:val="20"/>
                <w:bdr w:val="nil"/>
                <w:lang w:val="pt-PT"/>
              </w:rPr>
              <w:t xml:space="preserve"> Este símbolo reporta-o a instruções importantes de operação e manutenção (serviço), dentro do Manual de Instruções do produto. A falha em tomar em atenção esta informação poderá representar um risco de dano ou lesão em pessoas, ou no equipamento. </w:t>
            </w:r>
          </w:p>
        </w:tc>
      </w:tr>
      <w:tr w:rsidR="006F6410" w:rsidRPr="009F0CA2" w:rsidTr="0035790A">
        <w:trPr>
          <w:trHeight w:val="890"/>
        </w:trPr>
        <w:tc>
          <w:tcPr>
            <w:tcW w:w="1188" w:type="dxa"/>
            <w:shd w:val="clear" w:color="auto" w:fill="auto"/>
          </w:tcPr>
          <w:p w:rsidR="00F85EBF" w:rsidRPr="0035790A" w:rsidRDefault="003831FF" w:rsidP="0035790A">
            <w:pPr>
              <w:jc w:val="center"/>
              <w:rPr>
                <w:rFonts w:eastAsia="Times New Roman"/>
                <w:sz w:val="20"/>
                <w:szCs w:val="20"/>
              </w:rPr>
            </w:pPr>
            <w:r>
              <w:rPr>
                <w:rFonts w:eastAsia="Times New Roman"/>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F85EBF" w:rsidRPr="005249E4" w:rsidRDefault="003831FF" w:rsidP="00BF4AAE">
            <w:pPr>
              <w:rPr>
                <w:rFonts w:ascii="Arial" w:eastAsia="Times New Roman" w:hAnsi="Arial" w:cs="Arial"/>
                <w:sz w:val="20"/>
                <w:szCs w:val="20"/>
                <w:lang w:val="pt-PT"/>
              </w:rPr>
            </w:pPr>
            <w:r>
              <w:rPr>
                <w:rFonts w:ascii="Arial" w:eastAsia="Arial" w:hAnsi="Arial" w:cs="Arial"/>
                <w:sz w:val="20"/>
                <w:szCs w:val="20"/>
                <w:bdr w:val="nil"/>
                <w:lang w:val="pt-PT"/>
              </w:rPr>
              <w:t>Este símbolo identifica um terminal de Terra Protetor (TP), fornecido para ligação do condutor terra protetor (verde, ou verde/amarelo) do sistema de alimentação.</w:t>
            </w:r>
          </w:p>
        </w:tc>
      </w:tr>
    </w:tbl>
    <w:p w:rsidR="004C7222" w:rsidRPr="005249E4" w:rsidRDefault="009F0CA2" w:rsidP="005D1D41">
      <w:pPr>
        <w:autoSpaceDE w:val="0"/>
        <w:autoSpaceDN w:val="0"/>
        <w:adjustRightInd w:val="0"/>
        <w:jc w:val="right"/>
        <w:rPr>
          <w:rFonts w:ascii="Arial" w:hAnsi="Arial" w:cs="Arial"/>
          <w:sz w:val="18"/>
          <w:szCs w:val="18"/>
          <w:lang w:val="pt-PT"/>
        </w:rPr>
      </w:pPr>
    </w:p>
    <w:p w:rsidR="006B4F69" w:rsidRPr="005249E4" w:rsidRDefault="009F0CA2" w:rsidP="006B4F69">
      <w:pPr>
        <w:ind w:right="-1440"/>
        <w:rPr>
          <w:sz w:val="22"/>
          <w:szCs w:val="22"/>
          <w:lang w:val="pt-PT"/>
        </w:rPr>
      </w:pPr>
    </w:p>
    <w:p w:rsidR="006B4F69" w:rsidRDefault="003831FF" w:rsidP="006B4F69">
      <w:pPr>
        <w:autoSpaceDE w:val="0"/>
        <w:autoSpaceDN w:val="0"/>
        <w:adjustRightInd w:val="0"/>
        <w:rPr>
          <w:rFonts w:ascii="Arial" w:hAnsi="Arial" w:cs="Arial"/>
          <w:b/>
          <w:sz w:val="22"/>
          <w:szCs w:val="22"/>
        </w:rPr>
      </w:pPr>
      <w:r>
        <w:rPr>
          <w:rFonts w:ascii="Arial" w:eastAsia="Arial" w:hAnsi="Arial" w:cs="Arial"/>
          <w:b/>
          <w:bCs/>
          <w:sz w:val="22"/>
          <w:szCs w:val="22"/>
          <w:bdr w:val="nil"/>
          <w:lang w:val="pt-PT"/>
        </w:rPr>
        <w:t>DESCARTAR O EQUIPAMENTO-REGULAMENTOS EUROPEUS</w:t>
      </w:r>
    </w:p>
    <w:p w:rsidR="007256D5" w:rsidRPr="00BA6D20" w:rsidRDefault="009F0CA2" w:rsidP="006B4F69">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056"/>
      </w:tblGrid>
      <w:tr w:rsidR="006F6410" w:rsidRPr="009F0CA2" w:rsidTr="007256D5">
        <w:tc>
          <w:tcPr>
            <w:tcW w:w="2268" w:type="dxa"/>
          </w:tcPr>
          <w:p w:rsidR="007256D5" w:rsidRDefault="003831FF" w:rsidP="006B4F69">
            <w:pPr>
              <w:autoSpaceDE w:val="0"/>
              <w:autoSpaceDN w:val="0"/>
              <w:adjustRightInd w:val="0"/>
              <w:rPr>
                <w:rFonts w:ascii="Arial" w:hAnsi="Arial" w:cs="Arial"/>
                <w:sz w:val="22"/>
                <w:szCs w:val="22"/>
              </w:rPr>
            </w:pPr>
            <w:r w:rsidRPr="007256D5">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7164" w:type="dxa"/>
          </w:tcPr>
          <w:p w:rsidR="007256D5" w:rsidRPr="005249E4" w:rsidRDefault="003831FF" w:rsidP="007256D5">
            <w:pPr>
              <w:jc w:val="both"/>
              <w:rPr>
                <w:rFonts w:ascii="Arial" w:hAnsi="Arial" w:cs="Arial"/>
                <w:i/>
                <w:iCs/>
                <w:lang w:val="pt-PT"/>
              </w:rPr>
            </w:pPr>
            <w:r>
              <w:rPr>
                <w:rFonts w:ascii="Arial" w:eastAsia="Arial" w:hAnsi="Arial" w:cs="Arial"/>
                <w:i/>
                <w:iCs/>
                <w:bdr w:val="nil"/>
                <w:lang w:val="pt-PT"/>
              </w:rPr>
              <w:t xml:space="preserve">De acordo com a Diretiva 2012/19/EU do Parlamento Europeu e do Conselho de 4 de </w:t>
            </w:r>
            <w:bookmarkStart w:id="0" w:name="_GoBack"/>
            <w:r>
              <w:rPr>
                <w:rFonts w:ascii="Arial" w:eastAsia="Arial" w:hAnsi="Arial" w:cs="Arial"/>
                <w:i/>
                <w:iCs/>
                <w:bdr w:val="nil"/>
                <w:lang w:val="pt-PT"/>
              </w:rPr>
              <w:t>julho</w:t>
            </w:r>
            <w:bookmarkEnd w:id="0"/>
            <w:r>
              <w:rPr>
                <w:rFonts w:ascii="Arial" w:eastAsia="Arial" w:hAnsi="Arial" w:cs="Arial"/>
                <w:i/>
                <w:iCs/>
                <w:bdr w:val="nil"/>
                <w:lang w:val="pt-PT"/>
              </w:rPr>
              <w:t xml:space="preserve"> de 2012 sobre Resíduos de Equipamentos Elétricos e Eletrónicos (REEE), o MiniTwist Select BioProducts está marcado com o caixote do lixo com uma cruz e não pode ser eliminado com resíduos domésticos. </w:t>
            </w:r>
          </w:p>
          <w:p w:rsidR="007256D5" w:rsidRPr="005249E4" w:rsidRDefault="009F0CA2" w:rsidP="007256D5">
            <w:pPr>
              <w:jc w:val="both"/>
              <w:rPr>
                <w:rFonts w:ascii="Arial" w:hAnsi="Arial" w:cs="Arial"/>
                <w:i/>
                <w:iCs/>
                <w:lang w:val="pt-PT"/>
              </w:rPr>
            </w:pPr>
          </w:p>
          <w:p w:rsidR="007256D5" w:rsidRPr="005249E4" w:rsidRDefault="003831FF" w:rsidP="007256D5">
            <w:pPr>
              <w:autoSpaceDE w:val="0"/>
              <w:autoSpaceDN w:val="0"/>
              <w:adjustRightInd w:val="0"/>
              <w:rPr>
                <w:rFonts w:ascii="Arial" w:hAnsi="Arial" w:cs="Arial"/>
                <w:sz w:val="22"/>
                <w:szCs w:val="22"/>
                <w:lang w:val="pt-PT"/>
              </w:rPr>
            </w:pPr>
            <w:r>
              <w:rPr>
                <w:rFonts w:ascii="Arial" w:eastAsia="Arial" w:hAnsi="Arial" w:cs="Arial"/>
                <w:i/>
                <w:iCs/>
                <w:bdr w:val="nil"/>
                <w:lang w:val="pt-PT"/>
              </w:rPr>
              <w:t xml:space="preserve">Consequentemente, o comprador irá seguir as instruções para reutilização e reciclagem de Resíduos de Equipamentos Elétricos e Eletrónicos (REEE), fornecidas com os produtos e disponíveis na seguinte ligação: </w:t>
            </w:r>
            <w:hyperlink r:id="rId17" w:history="1">
              <w:r>
                <w:rPr>
                  <w:rFonts w:ascii="Arial" w:eastAsia="Arial" w:hAnsi="Arial" w:cs="Arial"/>
                  <w:i/>
                  <w:iCs/>
                  <w:color w:val="0000FF"/>
                  <w:u w:val="single"/>
                  <w:bdr w:val="nil"/>
                  <w:lang w:val="pt-PT"/>
                </w:rPr>
                <w:t>www.corning.com/weee</w:t>
              </w:r>
            </w:hyperlink>
          </w:p>
        </w:tc>
      </w:tr>
    </w:tbl>
    <w:p w:rsidR="009F0CA2" w:rsidRDefault="009F0CA2" w:rsidP="006B4F69">
      <w:pPr>
        <w:tabs>
          <w:tab w:val="left" w:pos="8190"/>
        </w:tabs>
        <w:autoSpaceDE w:val="0"/>
        <w:autoSpaceDN w:val="0"/>
        <w:adjustRightInd w:val="0"/>
        <w:ind w:right="360"/>
        <w:jc w:val="center"/>
        <w:rPr>
          <w:rFonts w:ascii="Arial" w:hAnsi="Arial" w:cs="Arial"/>
          <w:sz w:val="22"/>
          <w:szCs w:val="22"/>
          <w:lang w:val="pt-PT"/>
        </w:rPr>
      </w:pPr>
    </w:p>
    <w:p w:rsidR="009F0CA2" w:rsidRDefault="009F0CA2">
      <w:pPr>
        <w:rPr>
          <w:rFonts w:ascii="Arial" w:hAnsi="Arial" w:cs="Arial"/>
          <w:sz w:val="22"/>
          <w:szCs w:val="22"/>
          <w:lang w:val="pt-PT"/>
        </w:rPr>
      </w:pPr>
      <w:r>
        <w:rPr>
          <w:rFonts w:ascii="Arial" w:hAnsi="Arial" w:cs="Arial"/>
          <w:sz w:val="22"/>
          <w:szCs w:val="22"/>
          <w:lang w:val="pt-PT"/>
        </w:rPr>
        <w:br w:type="page"/>
      </w:r>
    </w:p>
    <w:p w:rsidR="00082D29" w:rsidRPr="005249E4" w:rsidRDefault="003831FF" w:rsidP="006B4F69">
      <w:pPr>
        <w:tabs>
          <w:tab w:val="left" w:pos="8190"/>
        </w:tabs>
        <w:autoSpaceDE w:val="0"/>
        <w:autoSpaceDN w:val="0"/>
        <w:adjustRightInd w:val="0"/>
        <w:ind w:right="360"/>
        <w:jc w:val="center"/>
        <w:rPr>
          <w:rFonts w:ascii="Eurostile" w:hAnsi="Eurostile"/>
          <w:sz w:val="22"/>
          <w:szCs w:val="22"/>
          <w:lang w:val="pt-PT"/>
        </w:rPr>
      </w:pPr>
      <w:r>
        <w:rPr>
          <w:rFonts w:eastAsia="Times New Roman"/>
          <w:b/>
          <w:bCs/>
          <w:sz w:val="36"/>
          <w:szCs w:val="36"/>
          <w:bdr w:val="nil"/>
          <w:lang w:val="pt-PT" w:eastAsia="en-US"/>
        </w:rPr>
        <w:lastRenderedPageBreak/>
        <w:t>Garantia Limitada</w:t>
      </w:r>
    </w:p>
    <w:p w:rsidR="00082D29" w:rsidRPr="009F0CA2" w:rsidRDefault="009F0CA2" w:rsidP="00082D29">
      <w:pPr>
        <w:autoSpaceDE w:val="0"/>
        <w:autoSpaceDN w:val="0"/>
        <w:adjustRightInd w:val="0"/>
        <w:jc w:val="both"/>
        <w:rPr>
          <w:sz w:val="8"/>
          <w:szCs w:val="2"/>
          <w:lang w:val="pt-PT"/>
        </w:rPr>
      </w:pPr>
    </w:p>
    <w:p w:rsidR="00082D29" w:rsidRPr="005249E4" w:rsidRDefault="003831FF" w:rsidP="00082D29">
      <w:pPr>
        <w:jc w:val="both"/>
        <w:rPr>
          <w:rFonts w:ascii="Arial" w:hAnsi="Arial" w:cs="Arial"/>
          <w:noProof/>
          <w:sz w:val="22"/>
          <w:szCs w:val="16"/>
          <w:lang w:val="pt-PT"/>
        </w:rPr>
      </w:pPr>
      <w:r>
        <w:rPr>
          <w:rFonts w:ascii="Arial" w:hAnsi="Arial" w:cs="Arial"/>
          <w:noProof/>
          <w:sz w:val="22"/>
          <w:szCs w:val="16"/>
          <w:bdr w:val="nil"/>
          <w:lang w:val="pt-PT"/>
        </w:rPr>
        <w:t xml:space="preserve">A </w:t>
      </w:r>
      <w:r>
        <w:rPr>
          <w:rFonts w:ascii="Arial" w:eastAsia="Arial" w:hAnsi="Arial" w:cs="Arial"/>
          <w:noProof/>
          <w:sz w:val="22"/>
          <w:szCs w:val="22"/>
          <w:bdr w:val="nil"/>
          <w:lang w:val="pt-PT"/>
        </w:rPr>
        <w:t>Select BioProducts garante que este produto será livre de defeitos materiais e de fabrico por um período de dois (2) anos desde a data de compra.  Esta garantia é válida apenas se o produto for utilizado para o seu propósito e dentro das linhas de orientação especificadas no manual de instruções fornecido.</w:t>
      </w:r>
    </w:p>
    <w:p w:rsidR="00082D29" w:rsidRPr="009F0CA2" w:rsidRDefault="009F0CA2" w:rsidP="00082D29">
      <w:pPr>
        <w:jc w:val="both"/>
        <w:rPr>
          <w:rFonts w:ascii="Arial" w:hAnsi="Arial" w:cs="Arial"/>
          <w:noProof/>
          <w:sz w:val="6"/>
          <w:szCs w:val="2"/>
          <w:lang w:val="pt-PT"/>
        </w:rPr>
      </w:pPr>
    </w:p>
    <w:p w:rsidR="00082D29" w:rsidRPr="009F0CA2" w:rsidRDefault="009F0CA2" w:rsidP="00082D29">
      <w:pPr>
        <w:jc w:val="both"/>
        <w:rPr>
          <w:rFonts w:ascii="Arial" w:hAnsi="Arial" w:cs="Arial"/>
          <w:noProof/>
          <w:sz w:val="6"/>
          <w:szCs w:val="2"/>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Se este produto necessitar de algum tipo de apoio técnico, contacte o departamento de Apoio Técnico da Select BioProducts, através do número 732-417-0700, para receber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Select BioProducts não será responsável por danos incorridos devido a uma embalagem inadequada.  A Select BioProducts poderá eleger um serviço prestado no local para equipamentos de maior dimensão.</w:t>
      </w:r>
    </w:p>
    <w:p w:rsidR="00082D29" w:rsidRPr="009F0CA2" w:rsidRDefault="009F0CA2" w:rsidP="00082D29">
      <w:pPr>
        <w:jc w:val="both"/>
        <w:rPr>
          <w:rFonts w:ascii="Arial" w:hAnsi="Arial" w:cs="Arial"/>
          <w:noProof/>
          <w:sz w:val="20"/>
          <w:szCs w:val="14"/>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082D29" w:rsidRPr="009F0CA2" w:rsidRDefault="009F0CA2" w:rsidP="00082D29">
      <w:pPr>
        <w:jc w:val="both"/>
        <w:rPr>
          <w:rFonts w:ascii="Arial" w:hAnsi="Arial" w:cs="Arial"/>
          <w:noProof/>
          <w:sz w:val="20"/>
          <w:szCs w:val="14"/>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TODAS AS GARANTIAS, INCLUINDO A GARANTIA IMPLÍCITA DE COMERCIABILIDADE E ADEQUAÇÃO PARA UM PROPÓSITO PARTICULAR SÃO LIMITADAS, COM UMA DURAÇÃO DE 24 MESES DESDE A DATA ORIGINAL DE COMPRA.</w:t>
      </w:r>
    </w:p>
    <w:p w:rsidR="00082D29" w:rsidRPr="009F0CA2" w:rsidRDefault="009F0CA2" w:rsidP="00082D29">
      <w:pPr>
        <w:jc w:val="both"/>
        <w:rPr>
          <w:rFonts w:ascii="Arial" w:hAnsi="Arial" w:cs="Arial"/>
          <w:noProof/>
          <w:sz w:val="20"/>
          <w:szCs w:val="14"/>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A ÚNICA OBRIGAÇÃO DA SELECT BIOPRODUCTS, AO ABRIGO DESTA GARANTIA, ESTÁ LIMITADA À REPARAÇÃO OU SUBSTITUIÇÃO, CONFORME DECISÃO DA SELECT BIOPRODUCTS DE UM PRODUTO COM DEFEITO.  A SELECT BIOPRODUCTS NÃO É RESPONSÁVEL POR DANOS ACIDENTAIS OU CONSEQUENCIAIS, PERDA COMERCIAL, OU QUAISQUER OUTROS DANOS RESULTANTES DA UTILIZAÇÃO DESTE PRODUTO.</w:t>
      </w:r>
    </w:p>
    <w:p w:rsidR="00082D29" w:rsidRPr="009F0CA2" w:rsidRDefault="009F0CA2" w:rsidP="00082D29">
      <w:pPr>
        <w:jc w:val="both"/>
        <w:rPr>
          <w:rFonts w:ascii="Arial" w:hAnsi="Arial" w:cs="Arial"/>
          <w:noProof/>
          <w:sz w:val="20"/>
          <w:szCs w:val="14"/>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082D29" w:rsidRPr="009F0CA2" w:rsidRDefault="009F0CA2" w:rsidP="00082D29">
      <w:pPr>
        <w:jc w:val="both"/>
        <w:rPr>
          <w:rFonts w:ascii="Arial" w:hAnsi="Arial" w:cs="Arial"/>
          <w:noProof/>
          <w:sz w:val="20"/>
          <w:szCs w:val="14"/>
          <w:lang w:val="pt-PT"/>
        </w:rPr>
      </w:pPr>
    </w:p>
    <w:p w:rsidR="00082D29" w:rsidRPr="005249E4" w:rsidRDefault="003831FF" w:rsidP="00082D29">
      <w:pPr>
        <w:jc w:val="both"/>
        <w:rPr>
          <w:rFonts w:ascii="Arial" w:hAnsi="Arial" w:cs="Arial"/>
          <w:noProof/>
          <w:sz w:val="22"/>
          <w:szCs w:val="16"/>
          <w:lang w:val="pt-PT"/>
        </w:rPr>
      </w:pPr>
      <w:r>
        <w:rPr>
          <w:rFonts w:ascii="Arial" w:eastAsia="Arial" w:hAnsi="Arial" w:cs="Arial"/>
          <w:noProof/>
          <w:sz w:val="22"/>
          <w:szCs w:val="22"/>
          <w:bdr w:val="nil"/>
          <w:lang w:val="pt-PT"/>
        </w:rPr>
        <w:t xml:space="preserve">Nenhum indivíduo poderá aceitar pela, ou em nome da Select BioProducts., qualquer outra obrigação de responsabilidade, ou estender o período desta garantia. </w:t>
      </w:r>
    </w:p>
    <w:p w:rsidR="00082D29" w:rsidRPr="009F0CA2" w:rsidRDefault="009F0CA2" w:rsidP="00082D29">
      <w:pPr>
        <w:jc w:val="both"/>
        <w:rPr>
          <w:rFonts w:ascii="Arial" w:hAnsi="Arial" w:cs="Arial"/>
          <w:noProof/>
          <w:sz w:val="16"/>
          <w:szCs w:val="11"/>
          <w:lang w:val="pt-PT"/>
        </w:rPr>
      </w:pPr>
    </w:p>
    <w:p w:rsidR="00F85EBF" w:rsidRPr="009F0CA2" w:rsidRDefault="009F0CA2" w:rsidP="00232F56">
      <w:pPr>
        <w:jc w:val="both"/>
        <w:rPr>
          <w:rFonts w:ascii="Arial" w:hAnsi="Arial" w:cs="Arial"/>
          <w:noProof/>
          <w:sz w:val="14"/>
          <w:szCs w:val="11"/>
          <w:lang w:val="pt-PT"/>
        </w:rPr>
      </w:pPr>
    </w:p>
    <w:p w:rsidR="007256D5" w:rsidRPr="009F0CA2" w:rsidRDefault="003831FF" w:rsidP="007256D5">
      <w:pPr>
        <w:ind w:left="1440" w:firstLine="720"/>
        <w:rPr>
          <w:rFonts w:ascii="Arial" w:hAnsi="Arial" w:cs="Arial"/>
          <w:b/>
          <w:i/>
          <w:sz w:val="22"/>
          <w:szCs w:val="22"/>
          <w:lang w:val="pt-PT"/>
        </w:rPr>
      </w:pPr>
      <w:r w:rsidRPr="009F0CA2">
        <w:rPr>
          <w:rFonts w:ascii="Arial" w:hAnsi="Arial" w:cs="Arial"/>
          <w:noProof/>
          <w:sz w:val="14"/>
          <w:szCs w:val="11"/>
          <w:lang w:val="pt-PT"/>
        </w:rPr>
        <w:t xml:space="preserve"> </w:t>
      </w:r>
    </w:p>
    <w:tbl>
      <w:tblPr>
        <w:tblStyle w:val="TableGrid"/>
        <w:tblW w:w="0" w:type="auto"/>
        <w:tblInd w:w="1440" w:type="dxa"/>
        <w:tblLook w:val="04A0"/>
      </w:tblPr>
      <w:tblGrid>
        <w:gridCol w:w="6138"/>
      </w:tblGrid>
      <w:tr w:rsidR="006F6410" w:rsidTr="007256D5">
        <w:tc>
          <w:tcPr>
            <w:tcW w:w="6138" w:type="dxa"/>
          </w:tcPr>
          <w:p w:rsidR="007256D5" w:rsidRPr="005249E4" w:rsidRDefault="003831FF" w:rsidP="007256D5">
            <w:pPr>
              <w:jc w:val="center"/>
              <w:rPr>
                <w:rFonts w:ascii="Arial" w:hAnsi="Arial" w:cs="Arial"/>
                <w:b/>
                <w:i/>
                <w:lang w:val="pt-PT"/>
              </w:rPr>
            </w:pPr>
            <w:r>
              <w:rPr>
                <w:rFonts w:ascii="Arial" w:eastAsia="Arial" w:hAnsi="Arial" w:cs="Arial"/>
                <w:b/>
                <w:bCs/>
                <w:i/>
                <w:iCs/>
                <w:bdr w:val="nil"/>
                <w:lang w:val="pt-PT"/>
              </w:rPr>
              <w:t>Por favor, registe o seu produto online, em:</w:t>
            </w:r>
          </w:p>
          <w:p w:rsidR="007256D5" w:rsidRDefault="003831FF" w:rsidP="007256D5">
            <w:pPr>
              <w:jc w:val="center"/>
              <w:rPr>
                <w:rFonts w:ascii="Arial" w:hAnsi="Arial" w:cs="Arial"/>
                <w:b/>
                <w:i/>
              </w:rPr>
            </w:pPr>
            <w:r>
              <w:rPr>
                <w:rFonts w:ascii="Arial" w:eastAsia="Arial" w:hAnsi="Arial" w:cs="Arial"/>
                <w:b/>
                <w:bCs/>
                <w:i/>
                <w:iCs/>
                <w:bdr w:val="nil"/>
                <w:lang w:val="pt-PT"/>
              </w:rPr>
              <w:t>www.selectbioproducts.com</w:t>
            </w:r>
          </w:p>
        </w:tc>
      </w:tr>
    </w:tbl>
    <w:p w:rsidR="006B4F69" w:rsidRPr="009F0CA2" w:rsidRDefault="009F0CA2" w:rsidP="007256D5">
      <w:pPr>
        <w:ind w:left="1440" w:firstLine="720"/>
        <w:rPr>
          <w:rFonts w:ascii="Arial" w:hAnsi="Arial" w:cs="Arial"/>
          <w:b/>
          <w:i/>
          <w:sz w:val="22"/>
          <w:szCs w:val="22"/>
        </w:rPr>
      </w:pPr>
    </w:p>
    <w:p w:rsidR="006B4F69" w:rsidRPr="009F0CA2" w:rsidRDefault="005C7B3B" w:rsidP="006B4F69">
      <w:pPr>
        <w:jc w:val="center"/>
        <w:rPr>
          <w:rFonts w:ascii="Arial" w:hAnsi="Arial" w:cs="Arial"/>
          <w:sz w:val="16"/>
          <w:szCs w:val="16"/>
        </w:rPr>
      </w:pPr>
      <w:r w:rsidRPr="009F0CA2">
        <w:rPr>
          <w:noProof/>
          <w:sz w:val="22"/>
          <w:szCs w:val="22"/>
          <w:lang w:eastAsia="en-US"/>
        </w:rPr>
        <w:pict>
          <v:rect id="Rectangle 29" o:spid="_x0000_s1028" style="position:absolute;left:0;text-align:left;margin-left:182.25pt;margin-top:560.7pt;width:250.5pt;height:40.5pt;z-index:251662336;visibility:visible" filled="f"/>
        </w:pict>
      </w:r>
    </w:p>
    <w:p w:rsidR="00F85EBF" w:rsidRPr="009F0CA2" w:rsidRDefault="009F0CA2" w:rsidP="00232F56">
      <w:pPr>
        <w:jc w:val="both"/>
        <w:rPr>
          <w:rFonts w:ascii="Arial" w:hAnsi="Arial" w:cs="Arial"/>
          <w:noProof/>
          <w:sz w:val="14"/>
          <w:szCs w:val="11"/>
        </w:rPr>
      </w:pPr>
    </w:p>
    <w:p w:rsidR="00232F56" w:rsidRPr="009F0CA2" w:rsidRDefault="009F0CA2" w:rsidP="00232F56">
      <w:pPr>
        <w:jc w:val="both"/>
        <w:rPr>
          <w:rFonts w:ascii="Arial" w:hAnsi="Arial" w:cs="Arial"/>
          <w:noProof/>
          <w:sz w:val="14"/>
          <w:szCs w:val="11"/>
        </w:rPr>
      </w:pPr>
    </w:p>
    <w:p w:rsidR="00F85EBF" w:rsidRPr="009F0CA2" w:rsidRDefault="009F0CA2" w:rsidP="00F85EBF">
      <w:pPr>
        <w:ind w:firstLine="90"/>
        <w:rPr>
          <w:rFonts w:ascii="Arial" w:hAnsi="Arial" w:cs="Arial"/>
          <w:b/>
          <w:sz w:val="22"/>
          <w:szCs w:val="22"/>
        </w:rPr>
      </w:pPr>
    </w:p>
    <w:p w:rsidR="00175795" w:rsidRPr="005249E4" w:rsidRDefault="003831FF" w:rsidP="00E5168C">
      <w:pPr>
        <w:ind w:right="-1440"/>
        <w:rPr>
          <w:rFonts w:ascii="Arial" w:hAnsi="Arial" w:cs="Arial"/>
          <w:sz w:val="16"/>
          <w:szCs w:val="16"/>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w:t>
      </w:r>
      <w:r>
        <w:rPr>
          <w:rFonts w:ascii="Arial" w:eastAsia="Arial" w:hAnsi="Arial" w:cs="Arial"/>
          <w:sz w:val="20"/>
          <w:szCs w:val="20"/>
          <w:bdr w:val="nil"/>
          <w:lang w:val="pt-PT"/>
        </w:rPr>
        <w:br/>
        <w:t xml:space="preserve">para utilização em diagnóstico, ou procedimentos terapêuticos. A Select BioProducts não se responsabiliza sobre o </w:t>
      </w:r>
      <w:r>
        <w:rPr>
          <w:rFonts w:ascii="Arial" w:eastAsia="Arial" w:hAnsi="Arial" w:cs="Arial"/>
          <w:sz w:val="20"/>
          <w:szCs w:val="20"/>
          <w:bdr w:val="nil"/>
          <w:lang w:val="pt-PT"/>
        </w:rPr>
        <w:br/>
        <w:t>desempenho destes produtos em aplicações clínicas ou de diagnóstico.</w:t>
      </w:r>
    </w:p>
    <w:p w:rsidR="007256D5" w:rsidRPr="005249E4" w:rsidRDefault="009F0CA2" w:rsidP="00F85EBF">
      <w:pPr>
        <w:ind w:firstLine="90"/>
        <w:rPr>
          <w:rFonts w:ascii="Arial" w:hAnsi="Arial" w:cs="Arial"/>
          <w:b/>
          <w:lang w:val="pt-PT"/>
        </w:rPr>
      </w:pPr>
    </w:p>
    <w:p w:rsidR="00F85EBF" w:rsidRPr="00995025" w:rsidRDefault="003831FF" w:rsidP="00995025">
      <w:pPr>
        <w:jc w:val="right"/>
        <w:rPr>
          <w:rFonts w:ascii="Arial" w:hAnsi="Arial" w:cs="Arial"/>
          <w:sz w:val="20"/>
        </w:rPr>
      </w:pPr>
      <w:r>
        <w:rPr>
          <w:rFonts w:ascii="Arial" w:eastAsia="Arial" w:hAnsi="Arial" w:cs="Arial"/>
          <w:sz w:val="20"/>
          <w:szCs w:val="20"/>
          <w:bdr w:val="nil"/>
          <w:lang w:val="pt-PT"/>
        </w:rPr>
        <w:t>9299450000</w:t>
      </w:r>
    </w:p>
    <w:sectPr w:rsidR="00F85EBF" w:rsidRPr="00995025" w:rsidSect="00082D29">
      <w:pgSz w:w="12240" w:h="15840"/>
      <w:pgMar w:top="1296" w:right="1584"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7BC" w:rsidRDefault="00B747BC">
      <w:r>
        <w:separator/>
      </w:r>
    </w:p>
  </w:endnote>
  <w:endnote w:type="continuationSeparator" w:id="0">
    <w:p w:rsidR="00B747BC" w:rsidRDefault="00B747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7BC" w:rsidRDefault="00B747BC">
      <w:r>
        <w:separator/>
      </w:r>
    </w:p>
  </w:footnote>
  <w:footnote w:type="continuationSeparator" w:id="0">
    <w:p w:rsidR="00B747BC" w:rsidRDefault="00B747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6F6410"/>
    <w:rsid w:val="001D224B"/>
    <w:rsid w:val="003831FF"/>
    <w:rsid w:val="005249E4"/>
    <w:rsid w:val="005808AA"/>
    <w:rsid w:val="005C7B3B"/>
    <w:rsid w:val="006F6410"/>
    <w:rsid w:val="009F0CA2"/>
    <w:rsid w:val="00B747B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1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85E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85EBF"/>
    <w:rPr>
      <w:color w:val="0000FF"/>
      <w:u w:val="single"/>
    </w:rPr>
  </w:style>
  <w:style w:type="paragraph" w:styleId="Header">
    <w:name w:val="header"/>
    <w:basedOn w:val="Normal"/>
    <w:rsid w:val="006F1E3C"/>
    <w:pPr>
      <w:tabs>
        <w:tab w:val="center" w:pos="4320"/>
        <w:tab w:val="right" w:pos="8640"/>
      </w:tabs>
    </w:pPr>
  </w:style>
  <w:style w:type="paragraph" w:styleId="Footer">
    <w:name w:val="footer"/>
    <w:basedOn w:val="Normal"/>
    <w:rsid w:val="006F1E3C"/>
    <w:pPr>
      <w:tabs>
        <w:tab w:val="center" w:pos="4320"/>
        <w:tab w:val="right" w:pos="8640"/>
      </w:tabs>
    </w:pPr>
  </w:style>
  <w:style w:type="paragraph" w:customStyle="1" w:styleId="AboutAHead">
    <w:name w:val="About.. A Head"/>
    <w:basedOn w:val="Normal"/>
    <w:uiPriority w:val="99"/>
    <w:rsid w:val="006B4F69"/>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6B4F69"/>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CA38B1"/>
    <w:rPr>
      <w:rFonts w:ascii="Tahoma" w:hAnsi="Tahoma" w:cs="Tahoma"/>
      <w:sz w:val="16"/>
      <w:szCs w:val="16"/>
    </w:rPr>
  </w:style>
  <w:style w:type="character" w:customStyle="1" w:styleId="BalloonTextChar">
    <w:name w:val="Balloon Text Char"/>
    <w:basedOn w:val="DefaultParagraphFont"/>
    <w:link w:val="BalloonText"/>
    <w:rsid w:val="00CA38B1"/>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OPERATING INSTRUCTIONS FOR</vt:lpstr>
    </vt:vector>
  </TitlesOfParts>
  <Company>Labnet</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INSTRUCTIONS FOR</dc:title>
  <dc:creator>Pankow, Joan E</dc:creator>
  <cp:keywords>Non-Corning</cp:keywords>
  <cp:lastModifiedBy>nprutting</cp:lastModifiedBy>
  <cp:revision>16</cp:revision>
  <cp:lastPrinted>2016-07-18T15:42:00Z</cp:lastPrinted>
  <dcterms:created xsi:type="dcterms:W3CDTF">2016-08-09T16:37:00Z</dcterms:created>
  <dcterms:modified xsi:type="dcterms:W3CDTF">2016-10-28T22:20:00Z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021eb772-8152-4cb4-b9fa-cc881e5ea399</vt:lpwstr>
  </property>
</Properties>
</file>