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BAGO CITY HEALTH OFFICE</w:t>
      </w:r>
    </w:p>
    <w:p>
      <w:pPr>
        <w:spacing w:after="80" w:before="0"/>
        <w:jc w:val="center"/>
      </w:pPr>
      <w:r>
        <w:rPr>
          <w:rFonts w:ascii="Calibri" w:hAnsi="Calibri" w:eastAsia="Calibri"/>
          <w:b w:val="0"/>
          <w:color w:val="475569"/>
          <w:sz w:val="24"/>
        </w:rPr>
        <w:t>PULSE Health Surveillance System</w:t>
      </w:r>
    </w:p>
    <w:p>
      <w:pPr>
        <w:spacing w:after="160" w:before="360"/>
        <w:jc w:val="center"/>
      </w:pPr>
      <w:r>
        <w:rPr>
          <w:rFonts w:ascii="Calibri" w:hAnsi="Calibri" w:eastAsia="Calibri"/>
          <w:b/>
          <w:color w:val="1F3A5F"/>
          <w:sz w:val="32"/>
        </w:rPr>
        <w:t>STANDARD LABORATORY RESULT TEMPLATES — NEGATIVE</w:t>
      </w:r>
    </w:p>
    <w:p>
      <w:pPr>
        <w:spacing w:after="280" w:before="0"/>
        <w:jc w:val="center"/>
      </w:pPr>
      <w:r>
        <w:rPr>
          <w:rFonts w:ascii="Calibri" w:hAnsi="Calibri" w:eastAsia="Calibri"/>
          <w:b w:val="0"/>
          <w:color w:val="111827"/>
          <w:sz w:val="22"/>
        </w:rPr>
        <w:t>These forms show NOT DETECTED / non-reactive / no-growth results. They do not confirm the disease and should not be used to classify a PULSE case as Confirmed.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Layout matches a Dengue NS1 Ag &amp; IgG/IgM Test Report &amp; Certification: patient identification, marker results, interpretation, remarks, test type/methodology, personnel, lab number, control number, and issue date.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2"/>
        </w:rPr>
        <w:t>Included negative reports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1. Dengue Fever (Category II) — DENGUE NS1 Ag &amp; IgG/IgM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2. COVID-19 (Category I) — SARS-CoV-2 RT-PCR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3. Measles (Category I) — MEASLES IgM ELISA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4. Cholera (Category II) — STOOL CULTURE (VIBRIO CHOLERAE)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5. Typhoid and Paratyphoid Fever (Category II) — BLOOD CULTURE &amp; WIDAL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6. Malaria (Category II) — MALARIA RDT &amp; MICROSCOPY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7. Leptospirosis (Category II) — LEPTOSPIRA IgM ELISA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8. Acute Viral Hepatitis (Category II) — VIRAL HEPATITIS SEROLOGY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9. Diphtheria (Category II) — THROAT SWAB CULTURE (C. DIPHTHERIAE)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10. Pertussis (Category II) — BORDETELLA PERTUSSIS 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11. Bacterial Meningitis (Category II) — CSF CULTURE &amp; GRAM STAIN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12. Meningococcal Disease (Category I) — N. MENINGITIDIS PCR / CULTURE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13. Anthrax (Category I) — BACILLUS ANTHRACIS CULTURE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14. Human Avian Influenza (Category I) — INFLUENZA A/H5 RT-PCR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15. Middle East Respiratory Syndrome (Category I) — MERS-CoV RT-PCR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16. Severe Acute Respiratory Syndrome (Category I) — SARS-CoV RT-PCR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17. Acute Bloody Diarrhea (Category II) — STOOL CULTURE (SHIGELLA / DYSENTERY)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18. Hand, Foot, and Mouth Disease (Category I) — ENTEROVIRUS / COXSACKIE 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19. Rabies (Category I) — RABIES DFA / RT-PCR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20. Acute Flaccid Paralysis (Category I) — STOOL VIROLOGY (POLIOVIRUS)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21. Acute Encephalitis Syndrome (Category II) — JAPANESE ENCEPHALITIS IgM / VIRAL PCR TEST REPORT &amp; CERTIFICATION</w:t>
      </w:r>
    </w:p>
    <w:p>
      <w:pPr>
        <w:spacing w:after="4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22. Acute Hemorrhagic Fever Syndrome (Category II) — VIRAL HEMORRHAGIC FEVER PANEL TEST REPORT &amp; CERTIFICATION</w:t>
      </w:r>
    </w:p>
    <w:p>
      <w:pPr>
        <w:spacing w:after="80" w:before="240"/>
        <w:jc w:val="left"/>
      </w:pPr>
      <w:r>
        <w:rPr>
          <w:rFonts w:ascii="Calibri" w:hAnsi="Calibri" w:eastAsia="Calibri"/>
          <w:b w:val="0"/>
          <w:color w:val="475569"/>
          <w:sz w:val="18"/>
        </w:rPr>
        <w:t>Patient demographics are SAMPLE only (Santos, Maria L.).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DENGUE NS1 Ag &amp; IgG/IgM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Dengue Fever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VIRUS NS1 ANTIGEN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IgM ANTIBODY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IgG ANTIBODY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DENGUE FEVER INFECTION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NS1, IgM, and IgG were not detected. This result does not support current or recent dengue infection. If sampled very early after onset, repeat testing may be considered. Clinical correlation advised.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Immunochromatographic Rapid Diagnostic Test (RDT) Combo Assay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Lateral flow immunoassay for qualitative detection of Dengue NS1 antigen and IgM/IgG antibodies.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CHO202609-2001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LC-2026-NDF001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SARS-CoV-2 RT-PCR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COVID-19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SARS-CoV-2 RNA (N gene)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SARS-CoV-2 RNA (ORF1ab)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VALID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SARS-CoV-2 (COVID-19) INFECTION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SARS-CoV-2 RNA was not detected. A negative RT-PCR does not completely exclude infection if the specimen was collected too early or too late. Repeat if clinically indicated.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Real-Time Reverse Transcription Polymerase Chain Reaction (RT-PCR)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Nucleic acid amplification targeting SARS-CoV-2 N and ORF1ab genes.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Nasopharyngeal / oropharyngeal swab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CHO202609-2002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LC-2026-NCV002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MEASLES IgM ELISA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Measles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MEASLES IgM ANTIBODY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NON-REACTIVE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MEASLES IgG ANTIBODY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INDEX VALUE (IgM)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0.21 (Cut-off 1.10)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ACUTE MEASLES INFECTION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Measles IgM is non-reactive. This result does not confirm acute measles. If rash onset was less than 3 days before collection, a follow-up specimen may be needed.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IgM ELISA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Enzyme-linked immunosorbent assay for measles-specific IgM antibodies.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CHO202609-2003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LC-2026-NMS003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STOOL CULTURE (VIBRIO CHOLERAE)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Cholera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VIBRIO CHOLERAE O1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ISOLATED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VIBRIO CHOLERAE O139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OTHER ENTERIC PATHOGENS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CHOLERA (VIBRIO CHOLERAE)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No Vibrio cholerae was isolated. This result does not confirm cholera. Culture yield depends on specimen quality and prior antibiotic use.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Bacteriologic culture on TCBS agar with biochemical identification and serogrouping of Vibrio cholerae.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Rectal swab / stool in Cary-Blair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CHO202609-2004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LC-2026-NCH004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BLOOD CULTURE &amp; WIDAL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Typhoid and Paratyphoid Fever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BLOOD CULTURE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GROWTH / SALMONELLA NOT ISOLATED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WIDAL TO (S. TYPHI O)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1:20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WIDAL TH (S. TYPHI H)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1:20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TYPHOID AND PARATYPHOID FEVER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Blood culture showed no growth of Salmonella Typhi or Paratyphi. Widal titers are not significant. This result does not confirm enteric fever.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Blood 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Aerobic blood culture with identification of Salmonella enterica. Widal agglutination performed as a supportive serologic test.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Whole blood / 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CHO202609-2005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LC-2026-NTF005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MALARIA RDT &amp; MICROSCOPY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Malaria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MALARIA RDT (Pf HRP2)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BLOOD SMEAR (THICK FILM)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MALARIA PARASITE SEEN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SPECIES (THIN FILM)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NONE IDENTIFIED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MALARIA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RDT and microscopy are negative for Plasmodium. This result does not confirm malaria. Repeat smears may be needed if clinical suspicion remains high.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Rapid Diagnostic Test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Immunochromatographic RDT for Plasmodium antigens, confirmed by thick and thin blood film microscopy.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Capillary / venous blood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CHO202609-2006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LC-2026-NML006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LEPTOSPIRA IgM ELISA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Leptospirosis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LEPTOSPIRA IgM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NON-REACTIVE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INDEX VALUE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0.32 (Cut-off 1.00)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MAT (IF REFERRED)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DONE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ACUTE LEPTOSPIROSIS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Leptospira IgM is non-reactive. Early infection may be missed; a convalescent sample or MAT may be considered if symptoms persist.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IgM ELISA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Enzyme-linked immunosorbent assay for Leptospira-specific IgM antibodies.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CHO202609-2007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LC-2026-NLP007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VIRAL HEPATITIS SEROLOGY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Acute Viral Hepatitis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ANTI-HAV IgM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NON-REACTIVE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HBsAg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ANTI-HCV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ACUTE VIRAL HEPATITIS A/B/C MARKERS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No serologic evidence of acute hepatitis A, B, or C on this panel. Other etiologies of hepatitis should be considered clinically.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IgM ELISA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Serologic immunoassay panel for hepatitis A IgM, HBsAg, and anti-HCV.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CHO202609-2008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LC-2026-NVH008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THROAT SWAB CULTURE (C. DIPHTHERIAE)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Diphtheria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CORYNEBACTERIUM DIPHTHERIAE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ISOLATED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TOXIGENICITY (ELEK / PCR)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APPLICABLE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GRAM STAIN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C. DIPHTHERIAE-LIKE BACILLI SEEN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DIPHTHERIA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C. diphtheriae was not isolated. This result does not confirm diphtheria. Prior antibiotics can reduce culture yield; continue clinical assessment if membranes persist.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 on tellurite medium with identification of Corynebacterium diphtheriae and toxin testing when available.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Throat / nasopharyngeal swab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CHO202609-2009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LC-2026-NDP009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BORDETELLA PERTUSSIS 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Pertussis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BORDETELLA PERTUSSIS DNA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BORDETELLA PARAPERTUSSIS DNA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VALID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PERTUSSIS (WHOOPING COUGH)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Bordetella pertussis DNA was not detected. A negative PCR does not fully exclude pertussis later in the illness. Correlate with clinical and epidemiologic findings.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Real-time PCR for Bordetella pertussis insertion sequences / toxin gene.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Nasopharyngeal swab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CHO202609-2010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LC-2026-NPT010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CSF CULTURE &amp; GRAM STAIN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Bacterial Meningitis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CSF GRAM STAIN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ORGANISMS SEEN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CSF CULTURE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GROWTH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CSF LATEX ANTIGEN (PNEUMOCOCCAL)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BACTERIAL MENINGITIS ON THIS SPECIMEN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CSF Gram stain, culture, and pneumococcal antigen are negative. This does not confirm bacterial meningitis. Viral or partially treated bacterial meningitis remains possible.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CSF Gram stain, antigen testing, and bacterial culture with identification.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Cerebrospinal fluid (CSF)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CHO202609-2011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LC-2026-NBM011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N. MENINGITIDIS PCR / CULTURE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Meningococcal Disease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NEISSERIA MENINGITIDIS DNA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CSF / BLOOD CULTURE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GROWTH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SEROGROUP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APPLICABLE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MENINGOCOCCAL DISEASE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N. meningitidis was not detected by PCR or culture. This result does not confirm meningococcal disease. Early antibiotics can reduce laboratory yield.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CSF Gram stain, culture, and real-time PCR for Neisseria meningitidis.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CSF / blood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CHO202609-2012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LC-2026-NMD012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BACILLUS ANTHRACIS CULTURE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Anthrax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BACILLUS ANTHRACIS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ISOLATED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GRAM STAIN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BOXCAR BACILLI SEEN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BLOOD CULTURE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GROWTH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ANTHRAX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Bacillus anthracis was not detected. This result does not confirm anthrax. Repeat or refer if the epidemiologic link to livestock remains strong.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Bacteriologic culture and identification of Bacillus anthracis from lesion or blood, with referral to a reference laboratory as needed.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Skin lesion swab / blood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CHO202609-2013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LC-2026-NAN013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INFLUENZA A/H5 RT-PCR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Human Avian Influenza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INFLUENZA A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INFLUENZA A/H5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INFLUENZA B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HUMAN AVIAN INFLUENZA (A/H5)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Influenza A/H5 RNA was not detected. A negative PCR does not completely exclude infection if sampling was suboptimal. Continue public-health assessment if poultry exposure is present.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Real-time RT-PCR for Influenza A and H5 (avian) hemagglutinin gene, referred to RITM when indicated.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Nasopharyngeal / throat swab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CHO202609-2014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LC-2026-NAI014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MERS-CoV RT-PCR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Middle East Respiratory Syndrome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MERS-CoV RNA (upE)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MERS-CoV RNA (ORF1a)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VALID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MIDDLE EAST RESPIRATORY SYNDROME (MERS-CoV)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MERS-CoV RNA was not detected. This result does not confirm MERS. Repeat lower respiratory sampling if clinical suspicion remains high.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Real-time RT-PCR targeting MERS-CoV upE and ORF1a genes.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Nasopharyngeal / lower respiratory specimen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CHO202609-2015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LC-2026-NME015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SARS-CoV RT-PCR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Severe Acute Respiratory Syndrome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SARS-CoV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SARS-CoV-2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INTERNAL CONTROL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VALID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SEVERE ACUTE RESPIRATORY SYNDROME (SARS)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SARS-CoV RNA was not detected. This result does not confirm SARS. Correlate with travel, exposure, and other respiratory pathogen tests.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Real-time RT-PCR for SARS coronavirus RNA (distinct from SARS-CoV-2).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Nasopharyngeal / lower respiratory specimen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CHO202609-2016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LC-2026-NSA016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STOOL CULTURE (SHIGELLA / DYSENTERY)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Acute Bloody Diarrhea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SHIGELLA SPP.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ISOLATED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VIBRIO CHOLERAE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FECAL WBC / RBC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SIGNIFICANT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BACTERIAL DYSENTERY PATHOGENS ON THIS CULTURE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No Shigella or Vibrio cholerae was isolated. This result does not confirm acute bloody diarrhea of bacterial etiology. Parasitic or viral causes may still apply.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Culture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Stool culture for Shigella, Salmonella, Campylobacter, and E. coli with identification of dysentery pathogens.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Stool / rectal swab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CHO202609-2017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LC-2026-NBD017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ENTEROVIRUS / COXSACKIE 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Hand, Foot, and Mouth Disease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ENTEROVIRUS RNA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COXSACKIEVIRUS A16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EV71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LABORATORY-CONFIRMED HFMD (CA16 / EV71)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Enterovirus, CA16, and EV71 RNA were not detected. HFMD remains a clinical diagnosis when typical lesions are present; this result does not laboratory-confirm the case.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RT-PCR for enterovirus and Coxsackievirus A16 / EV71 typing.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Throat swab / vesicle fluid / stool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CHO202609-2018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LC-2026-NHF018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RABIES DFA / RT-PCR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Rabies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RABIES VIRUS ANTIGEN (DFA)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RABIES VIRUS RNA (RT-PCR)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NEGATIVE CONTROL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VALID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RABIES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Rabies antigen and RNA were not detected on this specimen. A negative ante-mortem test does not fully exclude rabies. Continue clinical management if hydrophobia or bite history is present.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Direct fluorescent antibody (DFA) staining and RT-PCR for rabies virus nucleoprotein gene.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Nuchal skin biopsy / saliva / CSF (ante-mortem)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CHO202609-2019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LC-2026-NRB019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STOOL VIROLOGY (POLIOVIRUS)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  ·  Laboratory result: NEGATIVE for Acute Flaccid Paralysis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WILD POLIOVIRUS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VACCINE-DERIVED POLIOVIRUS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NON-POLIO ENTEROVIRUS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— NO POLIOVIRUS OR ENTEROVIRUS ISOLATED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Stool virology did not isolate wild poliovirus, VDPV, or non-polio enterovirus. AFP remains a clinical surveillance classification; this laboratory result does not confirm polio.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PCR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WHO-recommended stool culture / ITD PCR for poliovirus isolation and intratypic differentiation, referred to the national polio laboratory.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Stool (2 specimens, 24 hours apart)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CHO202609-2020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LC-2026-NAF020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JAPANESE ENCEPHALITIS IgM / VIRAL PCR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Acute Encephalitis Syndrome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JAPANESE ENCEPHALITIS IgM (CSF/SERUM)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NON-REACTIVE / 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IgM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CSF BACTERIAL CULTURE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 GROWTH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JE IgM AND BACTERIAL CSF PATHOGENS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No laboratory evidence of Japanese encephalitis or bacterial meningitis on this panel. AES remains a clinical syndrome; other viral etiologies may still be considered.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IgM ELISA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JE-specific IgM capture ELISA on serum or CSF, with optional viral PCR panel.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 / CSF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CHO202609-2021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LC-2026-NAE021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i/>
          <w:color w:val="B91C1C"/>
          <w:sz w:val="16"/>
        </w:rPr>
        <w:t>SAMPLE DOCUMENT — Bago City Health Office / PULSE Case Confirmation Template. Not an official Red Cross certificate. For surveillance training and OCR testing.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2"/>
        </w:rPr>
        <w:t>BAGO CITY HEALTH OFFICE  ·  CITY HEALTH LABORATORY</w:t>
      </w:r>
    </w:p>
    <w:p>
      <w:pPr>
        <w:spacing w:after="16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PULSE Health Surveillance  ·  Negros Occidental, Philippines</w:t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color w:val="1F3A5F"/>
          <w:sz w:val="28"/>
        </w:rPr>
        <w:t>VIRAL HEMORRHAGIC FEVER PANEL TEST REPORT &amp; CERTIFICATION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475569"/>
          <w:sz w:val="18"/>
        </w:rPr>
        <w:t>PIDSR Category II  ·  Laboratory result: NEGATIVE for Acute Hemorrhagic Fever Syndrome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PATIENT IDENTIFICATION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Name: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SANTOS, MARIA L.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PUROK MABUHAY, BARANGAY 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Birthday: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03/14/1998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Barangay: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POBLACION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Age: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28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BAGO CITY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Nationality: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PHILIPPINES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Province: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Occidental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Civil Status: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SINGLE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Region: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Negros Island Region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Gender: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FEMALE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sample.patient@pulse-cho.local</w:t>
            </w:r>
          </w:p>
        </w:tc>
      </w:tr>
      <w:tr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Passport/ID No: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NA</w:t>
            </w:r>
          </w:p>
        </w:tc>
        <w:tc>
          <w:tcPr>
            <w:tcW w:type="dxa" w:w="504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+639170000000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TEST RESULTS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24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Analyte / Marker</w:t>
            </w:r>
          </w:p>
        </w:tc>
        <w:tc>
          <w:tcPr>
            <w:tcW w:type="dxa" w:w="3456"/>
            <w:shd w:fill="E8EEF5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Result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VIRUS NS1 ANTIGEN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DENGUE IgM ANTIBODY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  <w:tr>
        <w:tc>
          <w:tcPr>
            <w:tcW w:type="dxa" w:w="66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11827"/>
                <w:sz w:val="20"/>
              </w:rPr>
              <w:t>OTHER VHF PATHOGENS SCREENED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166534"/>
                <w:sz w:val="20"/>
              </w:rPr>
              <w:t>NOT DETECTED</w:t>
            </w:r>
          </w:p>
        </w:tc>
      </w:tr>
    </w:tbl>
    <w:p>
      <w:pPr>
        <w:spacing w:after="4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INTERPRETATION</w:t>
      </w:r>
    </w:p>
    <w:p>
      <w:pPr>
        <w:spacing w:after="160" w:before="0"/>
        <w:jc w:val="left"/>
      </w:pPr>
      <w:r>
        <w:rPr>
          <w:rFonts w:ascii="Calibri" w:hAnsi="Calibri" w:eastAsia="Calibri"/>
          <w:b/>
          <w:color w:val="166534"/>
          <w:sz w:val="24"/>
        </w:rPr>
        <w:t>NEGATIVE FOR DENGUE-ASSOCIATED ACUTE HEMORRHAGIC FEVER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REMARKS</w:t>
      </w:r>
    </w:p>
    <w:p>
      <w:pPr>
        <w:spacing w:after="200" w:before="0"/>
        <w:jc w:val="left"/>
      </w:pPr>
      <w:r>
        <w:rPr>
          <w:rFonts w:ascii="Calibri" w:hAnsi="Calibri" w:eastAsia="Calibri"/>
          <w:b w:val="0"/>
          <w:color w:val="111827"/>
          <w:sz w:val="20"/>
        </w:rPr>
        <w:t>Dengue NS1, IgM, and other screened VHF markers were not detected. This result does not confirm an acute hemorrhagic fever syndrome of dengue etiology.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TECHNICAL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Test Type: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Dengue NS1 Ag &amp; IgG/IgM Combo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Methodology: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VHF screening panel: Dengue NS1/IgM/IgG RDT with referral serology as needed.</w:t>
            </w:r>
          </w:p>
        </w:tc>
      </w:tr>
      <w:tr>
        <w:tc>
          <w:tcPr>
            <w:tcW w:type="dxa" w:w="10080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Specimen: </w:t>
            </w:r>
            <w:r>
              <w:rPr>
                <w:rFonts w:ascii="Calibri" w:hAnsi="Calibri" w:eastAsia="Calibri"/>
                <w:b w:val="0"/>
                <w:color w:val="111827"/>
                <w:sz w:val="20"/>
              </w:rPr>
              <w:t>Serum</w:t>
            </w:r>
          </w:p>
        </w:tc>
      </w:tr>
    </w:tbl>
    <w:p>
      <w:pPr>
        <w:spacing w:after="240" w:before="160"/>
        <w:jc w:val="left"/>
      </w:pPr>
      <w:r>
        <w:rPr>
          <w:rFonts w:ascii="Calibri" w:hAnsi="Calibri" w:eastAsia="Calibri"/>
          <w:b w:val="0"/>
          <w:color w:val="475569"/>
          <w:sz w:val="16"/>
        </w:rPr>
        <w:t>Note: This result should be interpreted together with clinical information. This is a computer-generated sample form for PULSE case confirmation. No wet signature is required if the document is unaltered. For verification, contact Bago City Health Office Laboratory.</w:t>
      </w:r>
    </w:p>
    <w:p>
      <w:pPr>
        <w:spacing w:after="80" w:before="0"/>
        <w:jc w:val="left"/>
      </w:pPr>
      <w:r>
        <w:rPr>
          <w:rFonts w:ascii="Calibri" w:hAnsi="Calibri" w:eastAsia="Calibri"/>
          <w:b/>
          <w:color w:val="1F3A5F"/>
          <w:sz w:val="20"/>
        </w:rPr>
        <w:t>PERSONNEL AND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Test Performed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MARIA C. REYES, RMT</w:t>
              <w:br/>
              <w:t>Medical Technologist, City Health Laboratory</w:t>
              <w:br/>
              <w:t>JOSE L. SANTOS, RMT</w:t>
              <w:br/>
              <w:t>Medical Technologist, City Health Laboratory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Verified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ANA P. VILLANUEVA, RMT</w:t>
              <w:br/>
              <w:t>Senior Medical Technologist</w:t>
            </w:r>
          </w:p>
        </w:tc>
      </w:tr>
      <w:tr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/>
                <w:color w:val="1F3A5F"/>
                <w:sz w:val="18"/>
              </w:rPr>
              <w:t>Noted by</w:t>
            </w:r>
          </w:p>
        </w:tc>
        <w:tc>
          <w:tcPr>
            <w:tcW w:type="dxa" w:w="6912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r/>
            <w:r>
              <w:rPr>
                <w:rFonts w:ascii="Calibri" w:hAnsi="Calibri" w:eastAsia="Calibri"/>
                <w:b w:val="0"/>
                <w:color w:val="111827"/>
                <w:sz w:val="18"/>
              </w:rPr>
              <w:t>ROBERTO M. DELGADO, MD, FPSP</w:t>
              <w:br/>
              <w:t>Pathologist / Laboratory Head</w:t>
            </w:r>
          </w:p>
        </w:tc>
      </w:tr>
    </w:tbl>
    <w:p>
      <w:pPr>
        <w:spacing w:after="80" w:before="240"/>
        <w:jc w:val="left"/>
      </w:pPr>
      <w:r>
        <w:rPr>
          <w:rFonts w:ascii="Calibri" w:hAnsi="Calibri" w:eastAsia="Calibri"/>
          <w:b/>
          <w:color w:val="1F3A5F"/>
          <w:sz w:val="20"/>
        </w:rPr>
        <w:t>ADMINISTRATIVE FOOTER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Lab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CHO202609-2022</w:t>
            </w:r>
          </w:p>
        </w:tc>
        <w:tc>
          <w:tcPr>
            <w:tcW w:type="dxa" w:w="3456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Control Number: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LC-2026-NAH022</w:t>
            </w:r>
          </w:p>
        </w:tc>
        <w:tc>
          <w:tcPr>
            <w:tcW w:type="dxa" w:w="3168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1F3A5F"/>
                <w:sz w:val="20"/>
              </w:rPr>
              <w:t xml:space="preserve">Certificate Issued: </w:t>
            </w:r>
            <w:r>
              <w:rPr>
                <w:rFonts w:ascii="Calibri" w:hAnsi="Calibri" w:eastAsia="Calibri"/>
                <w:b/>
                <w:color w:val="111827"/>
                <w:sz w:val="20"/>
              </w:rPr>
              <w:t>09/09/2026 14:00</w:t>
            </w:r>
          </w:p>
        </w:tc>
      </w:tr>
    </w:tbl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