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PULSE</w:t>
      </w:r>
    </w:p>
    <w:p>
      <w:pPr>
        <w:pStyle w:val="Subtitle"/>
        <w:jc w:val="center"/>
      </w:pPr>
      <w:r>
        <w:t>Potential DTI Panel Questions and Suggested Defense Answers</w:t>
      </w:r>
    </w:p>
    <w:p/>
    <w:p>
      <w:pPr>
        <w:jc w:val="center"/>
      </w:pPr>
      <w:r>
        <w:rPr>
          <w:i/>
        </w:rPr>
        <w:t>Business, Data Governance, Security, Machine Learning, Operations, and Commercialization</w:t>
      </w:r>
    </w:p>
    <w:p>
      <w:pPr>
        <w:jc w:val="center"/>
      </w:pPr>
      <w:r>
        <w:t>Prepared from the implemented project state · September 2026</w:t>
      </w:r>
    </w:p>
    <w:p>
      <w:r>
        <w:br w:type="page"/>
      </w:r>
    </w:p>
    <w:p>
      <w:pPr>
        <w:pStyle w:val="Heading1"/>
      </w:pPr>
      <w:r>
        <w:t>How to Use This Document</w:t>
      </w:r>
    </w:p>
    <w:p>
      <w:r>
        <w:t>These are suggested oral-defense answers based on the current PULSE implementation. Answers deliberately distinguish implemented controls from proposed business or governance measures. Do not claim clinical validation, ISO certification, regulatory approval, penetration testing, disaster-recovery testing, or commercial readiness unless supporting evidence has been completed and documented.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Recommended answer pattern</w:t>
            </w:r>
          </w:p>
        </w:tc>
        <w:tc>
          <w:tcPr>
            <w:tcW w:type="dxa" w:w="4968"/>
            <w:shd w:fill="D9EAF7"/>
          </w:tcPr>
          <w:p>
            <w:r>
              <w:rPr>
                <w:b/>
              </w:rPr>
              <w:t>State what exists → explain its value → acknowledge the limitation → present the next control.</w:t>
            </w:r>
          </w:p>
        </w:tc>
      </w:tr>
    </w:tbl>
    <w:p>
      <w:r>
        <w:br w:type="page"/>
      </w:r>
    </w:p>
    <w:p>
      <w:pPr>
        <w:pStyle w:val="Heading1"/>
      </w:pPr>
      <w:r>
        <w:t>A. Business Problem and Value Proposition</w:t>
      </w:r>
    </w:p>
    <w:p>
      <w:pPr>
        <w:spacing w:before="160" w:after="40"/>
      </w:pPr>
      <w:r>
        <w:rPr>
          <w:b/>
        </w:rPr>
        <w:t>1. What problem does PULSE solve?</w:t>
      </w:r>
    </w:p>
    <w:p>
      <w:pPr>
        <w:spacing w:after="120"/>
        <w:ind w:left="288"/>
      </w:pPr>
      <w:r>
        <w:rPr>
          <w:b/>
        </w:rPr>
        <w:t xml:space="preserve">Suggested answer: </w:t>
      </w:r>
      <w:r>
        <w:t>PULSE addresses delayed, fragmented, and manually consolidated disease-surveillance information. It gives authorized barangay and City Health Office personnel one workflow for patient-linked case submission, syndromic analysis, PIDSR-oriented thresholds, laboratory confirmation, alerts, analytics, recommendations, and geospatial monitoring. Its purpose is to shorten the time between field reporting and public-health review.</w:t>
      </w:r>
    </w:p>
    <w:p>
      <w:pPr>
        <w:spacing w:before="160" w:after="40"/>
      </w:pPr>
      <w:r>
        <w:rPr>
          <w:b/>
        </w:rPr>
        <w:t>2. Who is the intended customer and primary user?</w:t>
      </w:r>
    </w:p>
    <w:p>
      <w:pPr>
        <w:spacing w:after="120"/>
        <w:ind w:left="288"/>
      </w:pPr>
      <w:r>
        <w:rPr>
          <w:b/>
        </w:rPr>
        <w:t xml:space="preserve">Suggested answer: </w:t>
      </w:r>
      <w:r>
        <w:t>The institutional customer is a local government unit, City Health Office, or provincial health office. Primary users are administrators, health officers, surveillance officers, catchment nurses, encoders, and Barangay Health Workers. Patients and the general public are beneficiaries, but they are not direct users of the current staff-only system.</w:t>
      </w:r>
    </w:p>
    <w:p>
      <w:pPr>
        <w:spacing w:before="160" w:after="40"/>
      </w:pPr>
      <w:r>
        <w:rPr>
          <w:b/>
        </w:rPr>
        <w:t>3. What is PULSE’s value proposition?</w:t>
      </w:r>
    </w:p>
    <w:p>
      <w:pPr>
        <w:spacing w:after="120"/>
        <w:ind w:left="288"/>
      </w:pPr>
      <w:r>
        <w:rPr>
          <w:b/>
        </w:rPr>
        <w:t xml:space="preserve">Suggested answer: </w:t>
      </w:r>
      <w:r>
        <w:t>PULSE combines local case intake, patient duplicate protection, machine-learning decision support, PIDSR threshold monitoring, OCR-assisted laboratory confirmation, bilingual response recommendations, and geospatial visualization in one role-scoped platform. The value is operational: faster consolidation, clearer prioritization, better accountability, and more consistent field coordination.</w:t>
      </w:r>
    </w:p>
    <w:p>
      <w:pPr>
        <w:spacing w:before="160" w:after="40"/>
      </w:pPr>
      <w:r>
        <w:rPr>
          <w:b/>
        </w:rPr>
        <w:t>4. How is PULSE different from PIDSR, DHIS2, or SORMAS?</w:t>
      </w:r>
    </w:p>
    <w:p>
      <w:pPr>
        <w:spacing w:after="120"/>
        <w:ind w:left="288"/>
      </w:pPr>
      <w:r>
        <w:rPr>
          <w:b/>
        </w:rPr>
        <w:t xml:space="preserve">Suggested answer: </w:t>
      </w:r>
      <w:r>
        <w:t>PULSE is not presented as a replacement for the national PIDSR framework. It is a local decision-support and workflow layer that uses PIDSR-aligned disease labels, case classifications, and thresholds. Compared with larger national or international platforms, PULSE is tailored to Bago City’s barangay workflow, local roles, bilingual recommendations, catchment responsibilities, and local geospatial context.</w:t>
      </w:r>
    </w:p>
    <w:p>
      <w:pPr>
        <w:spacing w:before="160" w:after="40"/>
      </w:pPr>
      <w:r>
        <w:rPr>
          <w:b/>
        </w:rPr>
        <w:t>5. What business model could sustain the project?</w:t>
      </w:r>
    </w:p>
    <w:p>
      <w:pPr>
        <w:spacing w:after="120"/>
        <w:ind w:left="288"/>
      </w:pPr>
      <w:r>
        <w:rPr>
          <w:b/>
        </w:rPr>
        <w:t xml:space="preserve">Suggested answer: </w:t>
      </w:r>
      <w:r>
        <w:t>The recommended model is institutional licensing or service contracting for LGUs. Revenue may come from initial implementation and configuration, annual hosting and support, user training, data migration, protocol customization, and maintenance. The capstone currently demonstrates the product and technical feasibility; a final commercial price must be based on actual hosting, support, OCR, training, compliance, and staffing costs.</w:t>
      </w:r>
    </w:p>
    <w:p>
      <w:pPr>
        <w:spacing w:before="160" w:after="40"/>
      </w:pPr>
      <w:r>
        <w:rPr>
          <w:b/>
        </w:rPr>
        <w:t>6. What is the current commercialization status?</w:t>
      </w:r>
    </w:p>
    <w:p>
      <w:pPr>
        <w:spacing w:after="120"/>
        <w:ind w:left="288"/>
      </w:pPr>
      <w:r>
        <w:rPr>
          <w:b/>
        </w:rPr>
        <w:t xml:space="preserve">Suggested answer: </w:t>
      </w:r>
      <w:r>
        <w:t>PULSE is presently a capstone and operational prototype/deployed staff system, not yet a fully commercialized product. Before commercial rollout, the team should complete written ownership agreements, formal CHO acceptance, privacy and security assessments, service-level terms, clinical protocol approval, real-world ML validation, and a support organization.</w:t>
      </w:r>
    </w:p>
    <w:p>
      <w:pPr>
        <w:spacing w:before="160" w:after="40"/>
      </w:pPr>
      <w:r>
        <w:rPr>
          <w:b/>
        </w:rPr>
        <w:t>7. What measurable benefits should an LGU monitor?</w:t>
      </w:r>
    </w:p>
    <w:p>
      <w:pPr>
        <w:spacing w:after="120"/>
        <w:ind w:left="288"/>
      </w:pPr>
      <w:r>
        <w:rPr>
          <w:b/>
        </w:rPr>
        <w:t xml:space="preserve">Suggested answer: </w:t>
      </w:r>
      <w:r>
        <w:t>Recommended indicators include report submission-to-review time, duplicate cases prevented, completeness of required fields, alert acknowledgement time, laboratory confirmation turnaround, percentage of cases with valid coordinates, number of unresolved high-risk alerts, user adoption, and reduction in manual consolidation effort. Health-outcome improvements should only be claimed after a formal evaluation.</w:t>
      </w:r>
    </w:p>
    <w:p>
      <w:pPr>
        <w:spacing w:before="160" w:after="40"/>
      </w:pPr>
      <w:r>
        <w:rPr>
          <w:b/>
        </w:rPr>
        <w:t>8. Can PULSE be deployed in other cities?</w:t>
      </w:r>
    </w:p>
    <w:p>
      <w:pPr>
        <w:spacing w:after="120"/>
        <w:ind w:left="288"/>
      </w:pPr>
      <w:r>
        <w:rPr>
          <w:b/>
        </w:rPr>
        <w:t xml:space="preserve">Suggested answer: </w:t>
      </w:r>
      <w:r>
        <w:t>Yes, the architecture can be adapted because barangays, users, thresholds, disease references, environment settings, and deployment configuration are data-driven. However, each LGU requires local workflow mapping, approved response protocols, data-sharing agreements, user training, map boundaries, and validation. The current implementation should not be described as instantly transferable without that onboarding work.</w:t>
      </w:r>
    </w:p>
    <w:p>
      <w:r>
        <w:br w:type="page"/>
      </w:r>
    </w:p>
    <w:p>
      <w:pPr>
        <w:pStyle w:val="Heading1"/>
      </w:pPr>
      <w:r>
        <w:t>B. Data Governance and Privacy</w:t>
      </w:r>
    </w:p>
    <w:p>
      <w:pPr>
        <w:spacing w:before="160" w:after="40"/>
      </w:pPr>
      <w:r>
        <w:rPr>
          <w:b/>
        </w:rPr>
        <w:t>9. What sensitive data does PULSE process?</w:t>
      </w:r>
    </w:p>
    <w:p>
      <w:pPr>
        <w:spacing w:after="120"/>
        <w:ind w:left="288"/>
      </w:pPr>
      <w:r>
        <w:rPr>
          <w:b/>
        </w:rPr>
        <w:t xml:space="preserve">Suggested answer: </w:t>
      </w:r>
      <w:r>
        <w:t>PULSE processes personal and sensitive health information, including names, birthdates, age, sex, addresses, barangays, coordinates, symptoms, exposure history, suspected or confirmed diseases, laboratory results, and staff activities. These data require stricter handling than ordinary business information.</w:t>
      </w:r>
    </w:p>
    <w:p>
      <w:pPr>
        <w:spacing w:before="160" w:after="40"/>
      </w:pPr>
      <w:r>
        <w:rPr>
          <w:b/>
        </w:rPr>
        <w:t>10. Who should be the Personal Information Controller?</w:t>
      </w:r>
    </w:p>
    <w:p>
      <w:pPr>
        <w:spacing w:after="120"/>
        <w:ind w:left="288"/>
      </w:pPr>
      <w:r>
        <w:rPr>
          <w:b/>
        </w:rPr>
        <w:t xml:space="preserve">Suggested answer: </w:t>
      </w:r>
      <w:r>
        <w:t>For an LGU deployment, the City Health Office or LGU should normally act as the Personal Information Controller because it determines the lawful public-health purpose and means of processing. Hosting, database, OCR, and technical-support providers may act as Personal Information Processors. The final roles must be confirmed by the LGU Data Protection Officer and written into contracts.</w:t>
      </w:r>
    </w:p>
    <w:p>
      <w:pPr>
        <w:spacing w:before="160" w:after="40"/>
      </w:pPr>
      <w:r>
        <w:rPr>
          <w:b/>
        </w:rPr>
        <w:t>11. What is the lawful basis for processing patient data?</w:t>
      </w:r>
    </w:p>
    <w:p>
      <w:pPr>
        <w:spacing w:after="120"/>
        <w:ind w:left="288"/>
      </w:pPr>
      <w:r>
        <w:rPr>
          <w:b/>
        </w:rPr>
        <w:t xml:space="preserve">Suggested answer: </w:t>
      </w:r>
      <w:r>
        <w:t>The likely basis is the LGU/CHO public-health mandate and authorized processing of health information for disease surveillance, subject to the Data Privacy Act, applicable health laws, PIDSR rules, necessity, proportionality, and institutional approval. The development team should not make the final legal determination; it must be documented by the CHO and its Data Protection Officer.</w:t>
      </w:r>
    </w:p>
    <w:p>
      <w:pPr>
        <w:spacing w:before="160" w:after="40"/>
      </w:pPr>
      <w:r>
        <w:rPr>
          <w:b/>
        </w:rPr>
        <w:t>12. How does the system minimize unnecessary data access?</w:t>
      </w:r>
    </w:p>
    <w:p>
      <w:pPr>
        <w:spacing w:after="120"/>
        <w:ind w:left="288"/>
      </w:pPr>
      <w:r>
        <w:rPr>
          <w:b/>
        </w:rPr>
        <w:t xml:space="preserve">Suggested answer: </w:t>
      </w:r>
      <w:r>
        <w:t>PULSE uses role checks and server-side barangay scoping. City-wide roles can access city-level information, while Barangay Health Workers, encoders, and catchment nurses are limited to assigned barangay data. Sensitive actions such as alert acknowledgement and laboratory confirmation are restricted to authorized roles.</w:t>
      </w:r>
    </w:p>
    <w:p>
      <w:pPr>
        <w:spacing w:before="160" w:after="40"/>
      </w:pPr>
      <w:r>
        <w:rPr>
          <w:b/>
        </w:rPr>
        <w:t>13. How are duplicate patient records controlled?</w:t>
      </w:r>
    </w:p>
    <w:p>
      <w:pPr>
        <w:spacing w:after="120"/>
        <w:ind w:left="288"/>
      </w:pPr>
      <w:r>
        <w:rPr>
          <w:b/>
        </w:rPr>
        <w:t xml:space="preserve">Suggested answer: </w:t>
      </w:r>
      <w:r>
        <w:t>Every submission is linked to a Patient record. PULSE compares normalized patient name, date of birth, and barangay and blocks another open case for the same identity unless an authorized user deliberately applies an override. This reduces duplicate active cases while preserving a controlled exception for legitimate repeat events.</w:t>
      </w:r>
    </w:p>
    <w:p>
      <w:pPr>
        <w:spacing w:before="160" w:after="40"/>
      </w:pPr>
      <w:r>
        <w:rPr>
          <w:b/>
        </w:rPr>
        <w:t>14. How long will records be retained?</w:t>
      </w:r>
    </w:p>
    <w:p>
      <w:pPr>
        <w:spacing w:after="120"/>
        <w:ind w:left="288"/>
      </w:pPr>
      <w:r>
        <w:rPr>
          <w:b/>
        </w:rPr>
        <w:t xml:space="preserve">Suggested answer: </w:t>
      </w:r>
      <w:r>
        <w:t>The current code does not by itself establish the LGU’s complete legal retention schedule. Before production adoption, the CHO should approve a written schedule covering active cases, closed/discarded reports, laboratory documents, alerts, audit logs, backups, and secure disposal. Retention should be no longer than necessary for legal, epidemiological, and operational purposes.</w:t>
      </w:r>
    </w:p>
    <w:p>
      <w:pPr>
        <w:spacing w:before="160" w:after="40"/>
      </w:pPr>
      <w:r>
        <w:rPr>
          <w:b/>
        </w:rPr>
        <w:t>15. Is patient information sent to a third party?</w:t>
      </w:r>
    </w:p>
    <w:p>
      <w:pPr>
        <w:spacing w:after="120"/>
        <w:ind w:left="288"/>
      </w:pPr>
      <w:r>
        <w:rPr>
          <w:b/>
        </w:rPr>
        <w:t xml:space="preserve">Suggested answer: </w:t>
      </w:r>
      <w:r>
        <w:t>Laboratory documents are submitted to OCR.Space for text extraction, and hosted deployment may also involve external hosting and database providers. These relationships require privacy review, processor agreements, documented server locations and retention behavior, secure transmission, minimum necessary uploads, and an alternative manual confirmation process if external OCR is unavailable or not approved.</w:t>
      </w:r>
    </w:p>
    <w:p>
      <w:pPr>
        <w:spacing w:before="160" w:after="40"/>
      </w:pPr>
      <w:r>
        <w:rPr>
          <w:b/>
        </w:rPr>
        <w:t>16. Why does the map need patient coordinates?</w:t>
      </w:r>
    </w:p>
    <w:p>
      <w:pPr>
        <w:spacing w:after="120"/>
        <w:ind w:left="288"/>
      </w:pPr>
      <w:r>
        <w:rPr>
          <w:b/>
        </w:rPr>
        <w:t xml:space="preserve">Suggested answer: </w:t>
      </w:r>
      <w:r>
        <w:t>Coordinates support local case visualization and same-disease cluster review. Access is staff-only and role-scoped. The team should still apply data minimization: exact patient identity and coordinates should only be visible to roles that need them, while broader reports should use aggregated barangay or purok information whenever possible.</w:t>
      </w:r>
    </w:p>
    <w:p>
      <w:r>
        <w:br w:type="page"/>
      </w:r>
    </w:p>
    <w:p>
      <w:pPr>
        <w:pStyle w:val="Heading1"/>
      </w:pPr>
      <w:r>
        <w:t>C. Security and Risk Management</w:t>
      </w:r>
    </w:p>
    <w:p>
      <w:pPr>
        <w:spacing w:before="160" w:after="40"/>
      </w:pPr>
      <w:r>
        <w:rPr>
          <w:b/>
        </w:rPr>
        <w:t>17. How are passwords protected?</w:t>
      </w:r>
    </w:p>
    <w:p>
      <w:pPr>
        <w:spacing w:after="120"/>
        <w:ind w:left="288"/>
      </w:pPr>
      <w:r>
        <w:rPr>
          <w:b/>
        </w:rPr>
        <w:t xml:space="preserve">Suggested answer: </w:t>
      </w:r>
      <w:r>
        <w:t>Passwords are stored using bcrypt one-way hashing rather than plaintext. Authentication uses server-side sessions, failed-login recording, and temporary account lockout. Passwords and production credentials must never be placed in source code, screenshots, or printed normalization examples.</w:t>
      </w:r>
    </w:p>
    <w:p>
      <w:pPr>
        <w:spacing w:before="160" w:after="40"/>
      </w:pPr>
      <w:r>
        <w:rPr>
          <w:b/>
        </w:rPr>
        <w:t>18. How are application secrets protected?</w:t>
      </w:r>
    </w:p>
    <w:p>
      <w:pPr>
        <w:spacing w:after="120"/>
        <w:ind w:left="288"/>
      </w:pPr>
      <w:r>
        <w:rPr>
          <w:b/>
        </w:rPr>
        <w:t xml:space="preserve">Suggested answer: </w:t>
      </w:r>
      <w:r>
        <w:t>The Django secret key, database credentials, OCR key, and production configuration are loaded from environment variables. Sensitive local files are excluded from version control. The team must rotate exposed or former credentials and restrict production environment access.</w:t>
      </w:r>
    </w:p>
    <w:p>
      <w:pPr>
        <w:spacing w:before="160" w:after="40"/>
      </w:pPr>
      <w:r>
        <w:rPr>
          <w:b/>
        </w:rPr>
        <w:t>19. What web-security controls are implemented?</w:t>
      </w:r>
    </w:p>
    <w:p>
      <w:pPr>
        <w:spacing w:after="120"/>
        <w:ind w:left="288"/>
      </w:pPr>
      <w:r>
        <w:rPr>
          <w:b/>
        </w:rPr>
        <w:t xml:space="preserve">Suggested answer: </w:t>
      </w:r>
      <w:r>
        <w:t>The current configuration includes CSRF protection, secure production cookies, SameSite controls, HTTP-only session cookies, HTTPS proxy awareness, HSTS, content-type protection, login lockout, role authorization, barangay-scoped queries, and audit/system logging. These controls reduce risk but do not replace an independent penetration test.</w:t>
      </w:r>
    </w:p>
    <w:p>
      <w:pPr>
        <w:spacing w:before="160" w:after="40"/>
      </w:pPr>
      <w:r>
        <w:rPr>
          <w:b/>
        </w:rPr>
        <w:t>20. Can a user bypass restrictions by changing the browser interface?</w:t>
      </w:r>
    </w:p>
    <w:p>
      <w:pPr>
        <w:spacing w:after="120"/>
        <w:ind w:left="288"/>
      </w:pPr>
      <w:r>
        <w:rPr>
          <w:b/>
        </w:rPr>
        <w:t xml:space="preserve">Suggested answer: </w:t>
      </w:r>
      <w:r>
        <w:t>The principal restrictions are enforced in Django views and database query scopes, not only through hidden buttons. A modified browser request should still be rejected if the session role lacks permission or if the requested record is outside the user’s barangay scope.</w:t>
      </w:r>
    </w:p>
    <w:p>
      <w:pPr>
        <w:spacing w:before="160" w:after="40"/>
      </w:pPr>
      <w:r>
        <w:rPr>
          <w:b/>
        </w:rPr>
        <w:t>21. What happens if an account is compromised?</w:t>
      </w:r>
    </w:p>
    <w:p>
      <w:pPr>
        <w:spacing w:after="120"/>
        <w:ind w:left="288"/>
      </w:pPr>
      <w:r>
        <w:rPr>
          <w:b/>
        </w:rPr>
        <w:t xml:space="preserve">Suggested answer: </w:t>
      </w:r>
      <w:r>
        <w:t>The immediate response should be to disable the account, terminate sessions, reset credentials, review login attempts and audit logs, determine exposed records, rotate affected secrets, preserve evidence, and follow the LGU incident-response and breach-notification procedure. A written incident-response playbook remains necessary for production operations.</w:t>
      </w:r>
    </w:p>
    <w:p>
      <w:pPr>
        <w:spacing w:before="160" w:after="40"/>
      </w:pPr>
      <w:r>
        <w:rPr>
          <w:b/>
        </w:rPr>
        <w:t>22. Does PULSE support multi-factor authentication?</w:t>
      </w:r>
    </w:p>
    <w:p>
      <w:pPr>
        <w:spacing w:after="120"/>
        <w:ind w:left="288"/>
      </w:pPr>
      <w:r>
        <w:rPr>
          <w:b/>
        </w:rPr>
        <w:t xml:space="preserve">Suggested answer: </w:t>
      </w:r>
      <w:r>
        <w:t>MFA is not currently a verified implemented feature. It should be presented as a priority enhancement for administrators, health officers, and remote access rather than claimed as complete.</w:t>
      </w:r>
    </w:p>
    <w:p>
      <w:pPr>
        <w:spacing w:before="160" w:after="40"/>
      </w:pPr>
      <w:r>
        <w:rPr>
          <w:b/>
        </w:rPr>
        <w:t>23. Has PULSE undergone penetration testing?</w:t>
      </w:r>
    </w:p>
    <w:p>
      <w:pPr>
        <w:spacing w:after="120"/>
        <w:ind w:left="288"/>
      </w:pPr>
      <w:r>
        <w:rPr>
          <w:b/>
        </w:rPr>
        <w:t xml:space="preserve">Suggested answer: </w:t>
      </w:r>
      <w:r>
        <w:t>The repository contains automated functional and policy tests, but these are not penetration tests. Before broader production use, the system should undergo independent vulnerability assessment, penetration testing, dependency review, access-control testing, and remediation verification.</w:t>
      </w:r>
    </w:p>
    <w:p>
      <w:pPr>
        <w:spacing w:before="160" w:after="40"/>
      </w:pPr>
      <w:r>
        <w:rPr>
          <w:b/>
        </w:rPr>
        <w:t>24. What is the backup and disaster-recovery plan?</w:t>
      </w:r>
    </w:p>
    <w:p>
      <w:pPr>
        <w:spacing w:after="120"/>
        <w:ind w:left="288"/>
      </w:pPr>
      <w:r>
        <w:rPr>
          <w:b/>
        </w:rPr>
        <w:t xml:space="preserve">Suggested answer: </w:t>
      </w:r>
      <w:r>
        <w:t>The application is designed to use a managed database and hosted runtime, but a complete operational plan must define backup frequency, encryption, geographic redundancy, restoration tests, responsible staff, recovery-point objective, and recovery-time objective. The project should not claim tested disaster recovery until a restore exercise is documented.</w:t>
      </w:r>
    </w:p>
    <w:p>
      <w:pPr>
        <w:spacing w:before="160" w:after="40"/>
      </w:pPr>
      <w:r>
        <w:rPr>
          <w:b/>
        </w:rPr>
        <w:t>25. How are destructive administrative commands controlled?</w:t>
      </w:r>
    </w:p>
    <w:p>
      <w:pPr>
        <w:spacing w:after="120"/>
        <w:ind w:left="288"/>
      </w:pPr>
      <w:r>
        <w:rPr>
          <w:b/>
        </w:rPr>
        <w:t xml:space="preserve">Suggested answer: </w:t>
      </w:r>
      <w:r>
        <w:t>Seed, import, and wipe operations are protected by environment and database-host safety checks. Production or shared databases are blocked unless an explicit override is deliberately supplied. This reduces accidental destruction, but production database permissions and backups must provide additional safeguards.</w:t>
      </w:r>
    </w:p>
    <w:p>
      <w:r>
        <w:br w:type="page"/>
      </w:r>
    </w:p>
    <w:p>
      <w:pPr>
        <w:pStyle w:val="Heading1"/>
      </w:pPr>
      <w:r>
        <w:t>D. Machine Learning, Clinical Safety, and Data Quality</w:t>
      </w:r>
    </w:p>
    <w:p>
      <w:pPr>
        <w:spacing w:before="160" w:after="40"/>
      </w:pPr>
      <w:r>
        <w:rPr>
          <w:b/>
        </w:rPr>
        <w:t>26. Does PULSE diagnose disease?</w:t>
      </w:r>
    </w:p>
    <w:p>
      <w:pPr>
        <w:spacing w:after="120"/>
        <w:ind w:left="288"/>
      </w:pPr>
      <w:r>
        <w:rPr>
          <w:b/>
        </w:rPr>
        <w:t xml:space="preserve">Suggested answer: </w:t>
      </w:r>
      <w:r>
        <w:t>No. PULSE is decision-support software. Random Forest suggests a disease from reported features, Isolation Forest screens unusual case activity, and APTAS prioritizes risk. A qualified health professional and laboratory evidence determine confirmation. The system does not prescribe treatment or independently declare an outbreak.</w:t>
      </w:r>
    </w:p>
    <w:p>
      <w:pPr>
        <w:spacing w:before="160" w:after="40"/>
      </w:pPr>
      <w:r>
        <w:rPr>
          <w:b/>
        </w:rPr>
        <w:t>27. Why are both Random Forest and Isolation Forest used?</w:t>
      </w:r>
    </w:p>
    <w:p>
      <w:pPr>
        <w:spacing w:after="120"/>
        <w:ind w:left="288"/>
      </w:pPr>
      <w:r>
        <w:rPr>
          <w:b/>
        </w:rPr>
        <w:t xml:space="preserve">Suggested answer: </w:t>
      </w:r>
      <w:r>
        <w:t>They answer different questions. Random Forest asks which monitored disease best matches the patient’s clinical and contextual features. Isolation Forest asks whether current case activity appears unusual. APTAS then combines anomaly, temporal, environmental, and spatial indicators with PIDSR threshold information.</w:t>
      </w:r>
    </w:p>
    <w:p>
      <w:pPr>
        <w:spacing w:before="160" w:after="40"/>
      </w:pPr>
      <w:r>
        <w:rPr>
          <w:b/>
        </w:rPr>
        <w:t>28. Where did the training data come from?</w:t>
      </w:r>
    </w:p>
    <w:p>
      <w:pPr>
        <w:spacing w:after="120"/>
        <w:ind w:left="288"/>
      </w:pPr>
      <w:r>
        <w:rPr>
          <w:b/>
        </w:rPr>
        <w:t xml:space="preserve">Suggested answer: </w:t>
      </w:r>
      <w:r>
        <w:t>The current historical training dataset is synthetically generated and balanced across 27 monitored diseases. This is useful for software development and demonstrating the pipeline, but it is not equivalent to a clinically validated real-world dataset. Production claims require de-identified, expert-reviewed data, governance approval, and formal model evaluation.</w:t>
      </w:r>
    </w:p>
    <w:p>
      <w:pPr>
        <w:spacing w:before="160" w:after="40"/>
      </w:pPr>
      <w:r>
        <w:rPr>
          <w:b/>
        </w:rPr>
        <w:t>29. How accurate is the disease classifier?</w:t>
      </w:r>
    </w:p>
    <w:p>
      <w:pPr>
        <w:spacing w:after="120"/>
        <w:ind w:left="288"/>
      </w:pPr>
      <w:r>
        <w:rPr>
          <w:b/>
        </w:rPr>
        <w:t xml:space="preserve">Suggested answer: </w:t>
      </w:r>
      <w:r>
        <w:t>The team should not claim clinical accuracy without a held-out, expert-reviewed real-world dataset and documented precision, recall, F1 score, calibration, and confusion matrices by disease and population group. Current confidence values are model probabilities used for decision support, not diagnostic accuracy guarantees.</w:t>
      </w:r>
    </w:p>
    <w:p>
      <w:pPr>
        <w:spacing w:before="160" w:after="40"/>
      </w:pPr>
      <w:r>
        <w:rPr>
          <w:b/>
        </w:rPr>
        <w:t>30. Why can several dengue indicators still result in low confidence?</w:t>
      </w:r>
    </w:p>
    <w:p>
      <w:pPr>
        <w:spacing w:after="120"/>
        <w:ind w:left="288"/>
      </w:pPr>
      <w:r>
        <w:rPr>
          <w:b/>
        </w:rPr>
        <w:t xml:space="preserve">Suggested answer: </w:t>
      </w:r>
      <w:r>
        <w:t>Many symptoms overlap among the 27 diseases. Fever, nausea, fatigue, rash, and environmental exposure can support several alternatives. Random Forest distributes probability across those alternatives. A top result below the 30 percent threshold remains inconclusive even if it is displayed as differential context.</w:t>
      </w:r>
    </w:p>
    <w:p>
      <w:pPr>
        <w:spacing w:before="160" w:after="40"/>
      </w:pPr>
      <w:r>
        <w:rPr>
          <w:b/>
        </w:rPr>
        <w:t>31. How are low-confidence predictions handled?</w:t>
      </w:r>
    </w:p>
    <w:p>
      <w:pPr>
        <w:spacing w:after="120"/>
        <w:ind w:left="288"/>
      </w:pPr>
      <w:r>
        <w:rPr>
          <w:b/>
        </w:rPr>
        <w:t xml:space="preserve">Suggested answer: </w:t>
      </w:r>
      <w:r>
        <w:t>The classifier uses a 30 percent threshold for a conclusive disease label. Below that threshold, the ML classification is inconclusive. Unconfirmed ML-only cases below 30 percent are hidden from patient map pins, while confirmed or validated cases are not discarded merely because an older ML confidence is low.</w:t>
      </w:r>
    </w:p>
    <w:p>
      <w:pPr>
        <w:spacing w:before="160" w:after="40"/>
      </w:pPr>
      <w:r>
        <w:rPr>
          <w:b/>
        </w:rPr>
        <w:t>32. How are false positives and false negatives managed?</w:t>
      </w:r>
    </w:p>
    <w:p>
      <w:pPr>
        <w:spacing w:after="120"/>
        <w:ind w:left="288"/>
      </w:pPr>
      <w:r>
        <w:rPr>
          <w:b/>
        </w:rPr>
        <w:t xml:space="preserve">Suggested answer: </w:t>
      </w:r>
      <w:r>
        <w:t>The controls include an inconclusive category, secondary differential context, human review, PIDSR threshold logic, laboratory confirmation, lifecycle states, and audit records. The team should monitor false-positive and false-negative rates using reviewed real-world cases and adjust models and thresholds only through controlled governance.</w:t>
      </w:r>
    </w:p>
    <w:p>
      <w:pPr>
        <w:spacing w:before="160" w:after="40"/>
      </w:pPr>
      <w:r>
        <w:rPr>
          <w:b/>
        </w:rPr>
        <w:t>33. How is model bias addressed?</w:t>
      </w:r>
    </w:p>
    <w:p>
      <w:pPr>
        <w:spacing w:after="120"/>
        <w:ind w:left="288"/>
      </w:pPr>
      <w:r>
        <w:rPr>
          <w:b/>
        </w:rPr>
        <w:t xml:space="preserve">Suggested answer: </w:t>
      </w:r>
      <w:r>
        <w:t>The current project has not completed a comprehensive fairness study. Before production scaling, the team should evaluate performance across age, sex, barangay, disease category, season, and data-completeness groups; document limitations; investigate drift; and require clinical/public-health review of any threshold or training-data change.</w:t>
      </w:r>
    </w:p>
    <w:p>
      <w:r>
        <w:br w:type="page"/>
      </w:r>
    </w:p>
    <w:p>
      <w:pPr>
        <w:pStyle w:val="Heading1"/>
      </w:pPr>
      <w:r>
        <w:t>E. Alerts, Mapping, and Public-Health Workflow</w:t>
      </w:r>
    </w:p>
    <w:p>
      <w:pPr>
        <w:spacing w:before="160" w:after="40"/>
      </w:pPr>
      <w:r>
        <w:rPr>
          <w:b/>
        </w:rPr>
        <w:t>34. What does APTAS mean and how is risk computed?</w:t>
      </w:r>
    </w:p>
    <w:p>
      <w:pPr>
        <w:spacing w:after="120"/>
        <w:ind w:left="288"/>
      </w:pPr>
      <w:r>
        <w:rPr>
          <w:b/>
        </w:rPr>
        <w:t xml:space="preserve">Suggested answer: </w:t>
      </w:r>
      <w:r>
        <w:t>APTAS means Alerts, Patterns, and Thresholds Analysis System. Its composite score is 50 percent anomaly, 20 percent temporal, 15 percent environmental, and 15 percent spatial, multiplied by 100. Risk levels are Low below 40, Moderate from 40 to below 60, High from 60 to below 75, and Critical at 75 or above.</w:t>
      </w:r>
    </w:p>
    <w:p>
      <w:pPr>
        <w:spacing w:before="160" w:after="40"/>
      </w:pPr>
      <w:r>
        <w:rPr>
          <w:b/>
        </w:rPr>
        <w:t>35. When does an ordinary APTAS alert activate?</w:t>
      </w:r>
    </w:p>
    <w:p>
      <w:pPr>
        <w:spacing w:after="120"/>
        <w:ind w:left="288"/>
      </w:pPr>
      <w:r>
        <w:rPr>
          <w:b/>
        </w:rPr>
        <w:t xml:space="preserve">Suggested answer: </w:t>
      </w:r>
      <w:r>
        <w:t>Unless an authorized or PIDSR condition forces activation, both gates must pass: final risk score of at least 60 and anomaly score of at least 0.50. This circuit breaker reduces alerts based only on one elevated factor.</w:t>
      </w:r>
    </w:p>
    <w:p>
      <w:pPr>
        <w:spacing w:before="160" w:after="40"/>
      </w:pPr>
      <w:r>
        <w:rPr>
          <w:b/>
        </w:rPr>
        <w:t>36. How does map clustering work?</w:t>
      </w:r>
    </w:p>
    <w:p>
      <w:pPr>
        <w:spacing w:after="120"/>
        <w:ind w:left="288"/>
      </w:pPr>
      <w:r>
        <w:rPr>
          <w:b/>
        </w:rPr>
        <w:t xml:space="preserve">Suggested answer: </w:t>
      </w:r>
      <w:r>
        <w:t>The map clusters only cases with the same canonical disease that are within 300 meters and within a seven-day onset window. The 300-meter threshold is used internally and is not drawn. The interface displays a compact 50-meter response circle and retains individual patient pins, although identical coordinates can overlap.</w:t>
      </w:r>
    </w:p>
    <w:p>
      <w:pPr>
        <w:spacing w:before="160" w:after="40"/>
      </w:pPr>
      <w:r>
        <w:rPr>
          <w:b/>
        </w:rPr>
        <w:t>37. Why can old pins disappear from the default map?</w:t>
      </w:r>
    </w:p>
    <w:p>
      <w:pPr>
        <w:spacing w:after="120"/>
        <w:ind w:left="288"/>
      </w:pPr>
      <w:r>
        <w:rPr>
          <w:b/>
        </w:rPr>
        <w:t xml:space="preserve">Suggested answer: </w:t>
      </w:r>
      <w:r>
        <w:t>The default map filter is the last 30 days, using onset date with report-date fallback. Users may select 7 days, 90 days, or all open cases. Closed and discarded cases are treated as inactive and excluded from open-case displays.</w:t>
      </w:r>
    </w:p>
    <w:p>
      <w:pPr>
        <w:spacing w:before="160" w:after="40"/>
      </w:pPr>
      <w:r>
        <w:rPr>
          <w:b/>
        </w:rPr>
        <w:t>38. Who can acknowledge alerts?</w:t>
      </w:r>
    </w:p>
    <w:p>
      <w:pPr>
        <w:spacing w:after="120"/>
        <w:ind w:left="288"/>
      </w:pPr>
      <w:r>
        <w:rPr>
          <w:b/>
        </w:rPr>
        <w:t xml:space="preserve">Suggested answer: </w:t>
      </w:r>
      <w:r>
        <w:t>Only city-wide roles—Super Administrator, Administrator, Health Officer, and Surveillance Officer—can acknowledge alerts. Barangay Health Workers, encoders, and catchment nurses cannot acknowledge city-wide alerts. The action is audited.</w:t>
      </w:r>
    </w:p>
    <w:p>
      <w:pPr>
        <w:spacing w:before="160" w:after="40"/>
      </w:pPr>
      <w:r>
        <w:rPr>
          <w:b/>
        </w:rPr>
        <w:t>39. How are recommendations generated?</w:t>
      </w:r>
    </w:p>
    <w:p>
      <w:pPr>
        <w:spacing w:after="120"/>
        <w:ind w:left="288"/>
      </w:pPr>
      <w:r>
        <w:rPr>
          <w:b/>
        </w:rPr>
        <w:t xml:space="preserve">Suggested answer: </w:t>
      </w:r>
      <w:r>
        <w:t>A version-controlled matrix covers all 27 PIDSR diseases in suspected, probable, confirmed, and cluster states. It supplies English actions, Hiligaynon/Taglish helper text, target units, Category I priority indicators, and a de-duplicated field-action summary. Health authorities must approve these protocols before formal operational reliance.</w:t>
      </w:r>
    </w:p>
    <w:p>
      <w:r>
        <w:br w:type="page"/>
      </w:r>
    </w:p>
    <w:p>
      <w:pPr>
        <w:pStyle w:val="Heading1"/>
      </w:pPr>
      <w:r>
        <w:t>F. Operations, Sustainability, and Legal Readiness</w:t>
      </w:r>
    </w:p>
    <w:p>
      <w:pPr>
        <w:spacing w:before="160" w:after="40"/>
      </w:pPr>
      <w:r>
        <w:rPr>
          <w:b/>
        </w:rPr>
        <w:t>40. What happens during an internet or hosting outage?</w:t>
      </w:r>
    </w:p>
    <w:p>
      <w:pPr>
        <w:spacing w:after="120"/>
        <w:ind w:left="288"/>
      </w:pPr>
      <w:r>
        <w:rPr>
          <w:b/>
        </w:rPr>
        <w:t xml:space="preserve">Suggested answer: </w:t>
      </w:r>
      <w:r>
        <w:t>The current system depends on web connectivity. CHO should maintain a downtime procedure using approved paper or offline records, followed by controlled encoding when service returns. Offline-first synchronization is a future enhancement, not a current feature.</w:t>
      </w:r>
    </w:p>
    <w:p>
      <w:pPr>
        <w:spacing w:before="160" w:after="40"/>
      </w:pPr>
      <w:r>
        <w:rPr>
          <w:b/>
        </w:rPr>
        <w:t>41. Who will maintain the system after the capstone?</w:t>
      </w:r>
    </w:p>
    <w:p>
      <w:pPr>
        <w:spacing w:after="120"/>
        <w:ind w:left="288"/>
      </w:pPr>
      <w:r>
        <w:rPr>
          <w:b/>
        </w:rPr>
        <w:t xml:space="preserve">Suggested answer: </w:t>
      </w:r>
      <w:r>
        <w:t>A production deployment requires a named CHO system owner, database/hosting administrator, privacy contact, security incident contact, and technical maintenance provider. Responsibilities, response times, updates, backups, and escalation should be covered by a written memorandum or service agreement.</w:t>
      </w:r>
    </w:p>
    <w:p>
      <w:pPr>
        <w:spacing w:before="160" w:after="40"/>
      </w:pPr>
      <w:r>
        <w:rPr>
          <w:b/>
        </w:rPr>
        <w:t>42. What user training is required?</w:t>
      </w:r>
    </w:p>
    <w:p>
      <w:pPr>
        <w:spacing w:after="120"/>
        <w:ind w:left="288"/>
      </w:pPr>
      <w:r>
        <w:rPr>
          <w:b/>
        </w:rPr>
        <w:t xml:space="preserve">Suggested answer: </w:t>
      </w:r>
      <w:r>
        <w:t>Training should cover accurate patient identity, duplicate warnings, symptom and exposure entry, coordinate quality, classification limits, alert interpretation, OCR comparison, confirmation authority, privacy, password safety, incident reporting, and downtime procedures. Competency should be checked before production access.</w:t>
      </w:r>
    </w:p>
    <w:p>
      <w:pPr>
        <w:spacing w:before="160" w:after="40"/>
      </w:pPr>
      <w:r>
        <w:rPr>
          <w:b/>
        </w:rPr>
        <w:t>43. Does PULSE need FDA or medical-device review?</w:t>
      </w:r>
    </w:p>
    <w:p>
      <w:pPr>
        <w:spacing w:after="120"/>
        <w:ind w:left="288"/>
      </w:pPr>
      <w:r>
        <w:rPr>
          <w:b/>
        </w:rPr>
        <w:t xml:space="preserve">Suggested answer: </w:t>
      </w:r>
      <w:r>
        <w:t>PULSE is positioned as non-diagnostic public-health decision support, but regulatory applicability must be assessed by qualified Philippine legal and regulatory advisers before commercialization. The team should avoid claims that the software diagnoses, treats, or independently determines outbreaks.</w:t>
      </w:r>
    </w:p>
    <w:p>
      <w:pPr>
        <w:spacing w:before="160" w:after="40"/>
      </w:pPr>
      <w:r>
        <w:rPr>
          <w:b/>
        </w:rPr>
        <w:t>44. Who owns the source code, intellectual property, and data?</w:t>
      </w:r>
    </w:p>
    <w:p>
      <w:pPr>
        <w:spacing w:after="120"/>
        <w:ind w:left="288"/>
      </w:pPr>
      <w:r>
        <w:rPr>
          <w:b/>
        </w:rPr>
        <w:t xml:space="preserve">Suggested answer: </w:t>
      </w:r>
      <w:r>
        <w:t>Patient and operational data should remain under the authorized LGU/CHO controller. Ownership and licensing of the source code, design, documentation, and recommendation matrix must be settled in writing among the student developers, school, partner CHO/LGU, and any future business entity. The current capstone status should not be treated as a complete commercial IP agreement.</w:t>
      </w:r>
    </w:p>
    <w:p>
      <w:pPr>
        <w:spacing w:before="160" w:after="40"/>
      </w:pPr>
      <w:r>
        <w:rPr>
          <w:b/>
        </w:rPr>
        <w:t>45. What are the project’s most important remaining risks?</w:t>
      </w:r>
    </w:p>
    <w:p>
      <w:pPr>
        <w:spacing w:after="120"/>
        <w:ind w:left="288"/>
      </w:pPr>
      <w:r>
        <w:rPr>
          <w:b/>
        </w:rPr>
        <w:t xml:space="preserve">Suggested answer: </w:t>
      </w:r>
      <w:r>
        <w:t>The principal risks are lack of real-world clinical ML validation, third-party OCR/privacy dependence, absence of MFA, no independent penetration test, incomplete retention and disaster-recovery policies, uncertain long-term support funding, and the need for formal CHO approval of recommendation protocols. Presenting these honestly with a remediation roadmap is stronger than claiming they are already solved.</w:t>
      </w:r>
    </w:p>
    <w:p>
      <w:r>
        <w:br w:type="page"/>
      </w:r>
    </w:p>
    <w:p>
      <w:pPr>
        <w:pStyle w:val="Heading1"/>
      </w:pPr>
      <w:r>
        <w:t>Closing Statement for the Panel</w:t>
      </w:r>
    </w:p>
    <w:p>
      <w:r>
        <w:rPr>
          <w:b/>
        </w:rPr>
        <w:t xml:space="preserve">Suggested closing answer: </w:t>
      </w:r>
      <w:r>
        <w:t>PULSE demonstrates that barangay surveillance, PIDSR-aligned workflows, machine-learning decision support, laboratory confirmation, alerts, recommendations, and geospatial information can be integrated into one controlled platform. Our strongest claim is operational improvement—not autonomous diagnosis. We understand that commercialization requires real-world model validation, privacy and processor agreements, independent security testing, disaster-recovery procedures, formal clinical protocol approval, and a sustainable support model. These are the next steps in converting the capstone into a responsible LGU-ready product.</w:t>
      </w:r>
    </w:p>
    <w:p>
      <w:pPr>
        <w:pStyle w:val="Heading1"/>
      </w:pPr>
      <w:r>
        <w:t>Rapid-Review: Ten Questions to Master</w:t>
      </w:r>
    </w:p>
    <w:p>
      <w:pPr>
        <w:pStyle w:val="ListNumber"/>
      </w:pPr>
      <w:r>
        <w:t>What problem does PULSE solve?</w:t>
      </w:r>
    </w:p>
    <w:p>
      <w:pPr>
        <w:pStyle w:val="ListNumber"/>
      </w:pPr>
      <w:r>
        <w:t>Who pays for and owns the system?</w:t>
      </w:r>
    </w:p>
    <w:p>
      <w:pPr>
        <w:pStyle w:val="ListNumber"/>
      </w:pPr>
      <w:r>
        <w:t>How is it different from PIDSR/DHIS2/SORMAS?</w:t>
      </w:r>
    </w:p>
    <w:p>
      <w:pPr>
        <w:pStyle w:val="ListNumber"/>
      </w:pPr>
      <w:r>
        <w:t>What sensitive data is processed and who controls it?</w:t>
      </w:r>
    </w:p>
    <w:p>
      <w:pPr>
        <w:pStyle w:val="ListNumber"/>
      </w:pPr>
      <w:r>
        <w:t>What information is sent to OCR.Space?</w:t>
      </w:r>
    </w:p>
    <w:p>
      <w:pPr>
        <w:pStyle w:val="ListNumber"/>
      </w:pPr>
      <w:r>
        <w:t>How are accounts, secrets, and barangay access protected?</w:t>
      </w:r>
    </w:p>
    <w:p>
      <w:pPr>
        <w:pStyle w:val="ListNumber"/>
      </w:pPr>
      <w:r>
        <w:t>Where did the ML training data come from?</w:t>
      </w:r>
    </w:p>
    <w:p>
      <w:pPr>
        <w:pStyle w:val="ListNumber"/>
      </w:pPr>
      <w:r>
        <w:t>Does the system diagnose disease?</w:t>
      </w:r>
    </w:p>
    <w:p>
      <w:pPr>
        <w:pStyle w:val="ListNumber"/>
      </w:pPr>
      <w:r>
        <w:t>What are the current business and security gaps?</w:t>
      </w:r>
    </w:p>
    <w:p>
      <w:pPr>
        <w:pStyle w:val="ListNumber"/>
      </w:pPr>
      <w:r>
        <w:t>Who maintains and funds PULSE after the capstone?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PULSE DTI Panel Preparation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DTI Panel Questions and Suggested Answers</dc:title>
  <dc:subject>Business, data, security, ML, operations, and commercialization defense preparation</dc:subject>
  <dc:creator>PULSE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