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09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40"/>
        <w:gridCol w:w="1620"/>
        <w:gridCol w:w="2565"/>
        <w:gridCol w:w="4065"/>
        <w:tblGridChange w:id="0">
          <w:tblGrid>
            <w:gridCol w:w="6840"/>
            <w:gridCol w:w="1620"/>
            <w:gridCol w:w="2565"/>
            <w:gridCol w:w="40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d9ee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d9eeb"/>
                <w:sz w:val="24"/>
                <w:szCs w:val="24"/>
                <w:rtl w:val="0"/>
              </w:rPr>
              <w:t xml:space="preserve">Название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d9ee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d9eeb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d9ee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d9eeb"/>
                <w:sz w:val="24"/>
                <w:szCs w:val="24"/>
                <w:rtl w:val="0"/>
              </w:rPr>
              <w:t xml:space="preserve">Ссылка на БР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d9eeb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d9eeb"/>
                <w:sz w:val="24"/>
                <w:szCs w:val="24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Настройки CRM-системы</w:t>
            </w:r>
            <w:r w:rsidDel="00000000" w:rsidR="00000000" w:rsidRPr="00000000">
              <w:rPr>
                <w:i w:val="1"/>
                <w:rtl w:val="0"/>
              </w:rPr>
              <w:t xml:space="preserve"> (проверки перед целевым тестированием новой фичи - интеграции с сервисом Default)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настройках CRM-системы появился новый сервис 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Есть возможность подключить и настроить сервис 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  Настройки бизнес-процесса</w:t>
            </w:r>
            <w:r w:rsidDel="00000000" w:rsidR="00000000" w:rsidRPr="00000000">
              <w:rPr>
                <w:i w:val="1"/>
                <w:rtl w:val="0"/>
              </w:rPr>
              <w:t xml:space="preserve"> (с действием “Отправить сообщение в WhatsApp” и сервисом Default)</w:t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выборе действия “Отправить сообщение в WhatsApp” появляется возможность выбрать третий сервис “Default” ,если с ним подключена интеграция и в нем есть акт. канал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в настройках CRM-системы не подключена интеграция с сервисом Default, он не доступен для выбора в Настройках бизнес-процесса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 отправляется сразу с выбранной радиокнопкой “Сразу”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 отправляется с задержкой по минутам (3 минуты)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 отправляется с задержкой по часам (2 часа)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 отправляется с задержкой по дням (1 день)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 в WhatsApp не приходит, если сделка переходит на другой этап за время задержки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 отправляется клиенту с выбранного названия канала (номера тел)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 отправляется на все добавленные контакты и номера клиента (1 основной и 1 не основной контакт)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Сообщение отправляется на все добавленные контакты и номера клиента (2 основных и 2 не основных контакта”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Сообщение отправляется на 1 номер основного контакта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 отправляется на 2 номера основного контакта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 отправляется на номера клиента, с которыми есть диалоги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в тексте используется параметр “Имя клиента”,  то в сообщении WhatsApp присутствует имя клиента из текущей сделки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в тексте используется параметр “Регион клиента”,  то в сообщении WhatsApp присутствует регион клиента из текущей сделки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в тексте используется параметр “Все email адреса основного контакта”,  то в сообщении WhatsApp присутствуют все email адреса основного контакта из текущей сделки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в тексте используется параметр “Email основного контакта”,  то в сообщении WhatsApp присутствуют все email основного контакта из текущей сделки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в тексте используется параметр “Все номера телефонов основного контакта”,  то в сообщении WhatsApp присутствуют все номера телефонов основного контакта из текущей сделки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в тексте используется параметр “Ссылка на сделку”,  то в сообщении WhatsApp присутствует ссылка на сделку  из текущей сделки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в тексте используется параметр “Предыдущий ответственный”,  то в сообщении WhatsApp присутствует предыдущий ответственный из текущей сделки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в тексте используется параметр “Телефон основного контакта”,  то в сообщении WhatsApp присутствует телефон основного контакта из текущей сделки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в тексте используется параметр “Имя основного контакта”,  то в сообщении WhatsApp присутствует имя основного контакта из текущей сделки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в тексте используется параметр “Название этапа”,  то в сообщении WhatsApp присутствует название этапа из текущей сделки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в тексте используется параметр “Дата и время задачи”,  то в сообщении WhatsApp присутствуют дата и время задачи из текущей сделки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в тексте используется параметр “Ответственный”,  то в сообщении WhatsApp присутствует Ответственный из текущей сделки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Можно отправить сообщение с 1 прикрепленным вложением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Можно отправить сообщение с 2-мя прикрепленными вложениями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297851562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выполнения бизнес-процесса клиенту отправляется сообщение в WhatsApp через сервис 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Логирование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выполнения бизнес-процесса в сделке отображается событие о том, что была произведена отправка сообщения в WhatsApp из бизнес-процесса со статусом “Отправлено”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9.9804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Проверка общего метода отправки бизнес-процессов по действию “Отправить сообщение в Whatsapp”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после изменений в коде</w:t>
            </w:r>
          </w:p>
        </w:tc>
      </w:tr>
      <w:tr>
        <w:trPr>
          <w:cantSplit w:val="0"/>
          <w:trHeight w:val="92.595703125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Аналогичные проверки  для сервиса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I2CRM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.595703125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Аналогичные проверки для сервиса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Wazzup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