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5A8" w:rsidRDefault="00D7207B">
      <w:pPr>
        <w:keepNext/>
        <w:spacing w:before="360" w:after="120"/>
      </w:pPr>
      <w:r>
        <w:rPr>
          <w:b/>
          <w:color w:val="1B365D"/>
          <w:sz w:val="32"/>
        </w:rPr>
        <w:t>SECCIÓN 1 — EVIDENCIA DE EJECUCIÓN DE LA REBANADA</w:t>
      </w:r>
    </w:p>
    <w:p w:rsidR="000E55A8" w:rsidRDefault="00D7207B">
      <w:pPr>
        <w:spacing w:after="120"/>
      </w:pPr>
      <w:r>
        <w:rPr>
          <w:b/>
        </w:rPr>
        <w:t>1. Código SQL (pegado como texto y comentado):</w:t>
      </w:r>
    </w:p>
    <w:p w:rsidR="000E55A8" w:rsidRDefault="00D7207B">
      <w:pPr>
        <w:spacing w:before="120" w:after="120"/>
        <w:ind w:left="360"/>
      </w:pPr>
      <w:r>
        <w:rPr>
          <w:rFonts w:ascii="Courier New" w:hAnsi="Courier New"/>
          <w:color w:val="222222"/>
          <w:sz w:val="19"/>
        </w:rPr>
        <w:t>-- ============================================================================</w:t>
      </w:r>
      <w:r>
        <w:rPr>
          <w:rFonts w:ascii="Courier New" w:hAnsi="Courier New"/>
          <w:color w:val="222222"/>
          <w:sz w:val="19"/>
        </w:rPr>
        <w:br/>
        <w:t>-- CONSULTA ANALÍTICA CORE: EXPOSICIÓN FINANCIERA Y TASAS DE MOROSIDAD CRÍTICA</w:t>
      </w:r>
      <w:r>
        <w:rPr>
          <w:rFonts w:ascii="Courier New" w:hAnsi="Courier New"/>
          <w:color w:val="222222"/>
          <w:sz w:val="19"/>
        </w:rPr>
        <w:br/>
        <w:t>-- OBJETIVO: Calcular saldos agregados y tasas de mora por situación de deudor BCRA</w:t>
      </w:r>
      <w:r>
        <w:rPr>
          <w:rFonts w:ascii="Courier New" w:hAnsi="Courier New"/>
          <w:color w:val="222222"/>
          <w:sz w:val="19"/>
        </w:rPr>
        <w:br/>
        <w:t>-- ============================================================================</w:t>
      </w:r>
      <w:r>
        <w:rPr>
          <w:rFonts w:ascii="Courier New" w:hAnsi="Courier New"/>
          <w:color w:val="222222"/>
          <w:sz w:val="19"/>
        </w:rPr>
        <w:br/>
        <w:t>SELECT</w:t>
      </w:r>
      <w:r>
        <w:rPr>
          <w:rFonts w:ascii="Courier New" w:hAnsi="Courier New"/>
          <w:color w:val="222222"/>
          <w:sz w:val="19"/>
        </w:rPr>
        <w:br/>
        <w:t xml:space="preserve"> situacion_bcra,</w:t>
      </w:r>
      <w:r>
        <w:rPr>
          <w:rFonts w:ascii="Courier New" w:hAnsi="Courier New"/>
          <w:color w:val="222222"/>
          <w:sz w:val="19"/>
        </w:rPr>
        <w:br/>
        <w:t xml:space="preserve"> COUNT(cliente_id) AS cantidad_clientes,</w:t>
      </w:r>
      <w:r>
        <w:rPr>
          <w:rFonts w:ascii="Courier New" w:hAnsi="Courier New"/>
          <w:color w:val="222222"/>
          <w:sz w:val="19"/>
        </w:rPr>
        <w:br/>
        <w:t xml:space="preserve"> SUM(monto_deuda) AS saldo</w:t>
      </w:r>
      <w:r>
        <w:rPr>
          <w:rFonts w:ascii="Courier New" w:hAnsi="Courier New"/>
          <w:color w:val="222222"/>
          <w:sz w:val="19"/>
        </w:rPr>
        <w:t>_adeudado_total,</w:t>
      </w:r>
      <w:r>
        <w:rPr>
          <w:rFonts w:ascii="Courier New" w:hAnsi="Courier New"/>
          <w:color w:val="222222"/>
          <w:sz w:val="19"/>
        </w:rPr>
        <w:br/>
        <w:t xml:space="preserve"> ROUND(AVG(monto_deuda), 2) AS deuda_promedio,</w:t>
      </w:r>
      <w:r>
        <w:rPr>
          <w:rFonts w:ascii="Courier New" w:hAnsi="Courier New"/>
          <w:color w:val="222222"/>
          <w:sz w:val="19"/>
        </w:rPr>
        <w:br/>
        <w:t xml:space="preserve"> ROUND(SUM(CASE WHEN dias_atraso &gt; 90 THEN monto_deuda ELSE 0 END) * 100.0 / SUM(monto_deuda), 2) AS tasa_morosidad_porcentaje</w:t>
      </w:r>
      <w:r>
        <w:rPr>
          <w:rFonts w:ascii="Courier New" w:hAnsi="Courier New"/>
          <w:color w:val="222222"/>
          <w:sz w:val="19"/>
        </w:rPr>
        <w:br/>
        <w:t>FROM deudores_sinteticos</w:t>
      </w:r>
      <w:r>
        <w:rPr>
          <w:rFonts w:ascii="Courier New" w:hAnsi="Courier New"/>
          <w:color w:val="222222"/>
          <w:sz w:val="19"/>
        </w:rPr>
        <w:br/>
        <w:t>GROUP BY situacion_bcra</w:t>
      </w:r>
      <w:r>
        <w:rPr>
          <w:rFonts w:ascii="Courier New" w:hAnsi="Courier New"/>
          <w:color w:val="222222"/>
          <w:sz w:val="19"/>
        </w:rPr>
        <w:br/>
        <w:t>ORDER BY situaci</w:t>
      </w:r>
      <w:r>
        <w:rPr>
          <w:rFonts w:ascii="Courier New" w:hAnsi="Courier New"/>
          <w:color w:val="222222"/>
          <w:sz w:val="19"/>
        </w:rPr>
        <w:t>on_bcra;</w:t>
      </w:r>
    </w:p>
    <w:p w:rsidR="000E55A8" w:rsidRDefault="00D7207B">
      <w:pPr>
        <w:keepNext/>
        <w:spacing w:before="240" w:after="80"/>
      </w:pPr>
      <w:r>
        <w:rPr>
          <w:b/>
          <w:color w:val="4A90E2"/>
          <w:sz w:val="26"/>
        </w:rPr>
        <w:t>Descripción</w:t>
      </w:r>
    </w:p>
    <w:p w:rsidR="000E55A8" w:rsidRDefault="00D7207B">
      <w:pPr>
        <w:spacing w:after="120"/>
      </w:pPr>
      <w:r>
        <w:t xml:space="preserve">La consulta agrupa deudores por situación, calcula cantidad, saldo total y promedio, y estima la proporción de saldo con más de 90 </w:t>
      </w:r>
      <w:proofErr w:type="spellStart"/>
      <w:r>
        <w:t>días</w:t>
      </w:r>
      <w:proofErr w:type="spellEnd"/>
      <w:r>
        <w:t xml:space="preserve"> de </w:t>
      </w:r>
      <w:proofErr w:type="spellStart"/>
      <w:r>
        <w:t>atraso</w:t>
      </w:r>
      <w:proofErr w:type="spellEnd"/>
      <w:r>
        <w:t>.</w:t>
      </w:r>
    </w:p>
    <w:p w:rsidR="002831E7" w:rsidRDefault="002831E7">
      <w:pPr>
        <w:spacing w:after="120"/>
      </w:pPr>
    </w:p>
    <w:p w:rsidR="002831E7" w:rsidRDefault="002831E7" w:rsidP="002831E7">
      <w:pPr>
        <w:keepNext/>
        <w:spacing w:before="360" w:after="120"/>
      </w:pPr>
      <w:r>
        <w:rPr>
          <w:b/>
          <w:color w:val="1B365D"/>
          <w:sz w:val="32"/>
        </w:rPr>
        <w:lastRenderedPageBreak/>
        <w:t>SECCIÓN 1 — RESULTADOS, HALLAZGO Y CRITERIO JBGE</w:t>
      </w:r>
    </w:p>
    <w:p w:rsidR="002831E7" w:rsidRDefault="002831E7">
      <w:pPr>
        <w:spacing w:after="120"/>
      </w:pPr>
      <w:r w:rsidRPr="002831E7">
        <w:drawing>
          <wp:inline distT="0" distB="0" distL="0" distR="0" wp14:anchorId="3783AB1A" wp14:editId="4D5F742B">
            <wp:extent cx="5486400" cy="30067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006725"/>
                    </a:xfrm>
                    <a:prstGeom prst="rect">
                      <a:avLst/>
                    </a:prstGeom>
                  </pic:spPr>
                </pic:pic>
              </a:graphicData>
            </a:graphic>
          </wp:inline>
        </w:drawing>
      </w:r>
    </w:p>
    <w:p w:rsidR="002831E7" w:rsidRDefault="002831E7">
      <w:pPr>
        <w:spacing w:after="120"/>
      </w:pPr>
    </w:p>
    <w:p w:rsidR="002831E7" w:rsidRDefault="002831E7" w:rsidP="002831E7">
      <w:pPr>
        <w:keepNext/>
        <w:spacing w:before="360" w:after="120"/>
        <w:rPr>
          <w:b/>
          <w:color w:val="1B365D"/>
          <w:sz w:val="32"/>
        </w:rPr>
      </w:pPr>
      <w:r>
        <w:rPr>
          <w:b/>
          <w:color w:val="1B365D"/>
          <w:sz w:val="32"/>
        </w:rPr>
        <w:t>SECCIÓN 1 — RESULTADOS, HALLAZGO Y CRITERIO JBGE</w:t>
      </w:r>
    </w:p>
    <w:p w:rsidR="002831E7" w:rsidRDefault="002831E7" w:rsidP="002831E7">
      <w:pPr>
        <w:keepNext/>
        <w:spacing w:before="240" w:after="80"/>
      </w:pPr>
      <w:r>
        <w:rPr>
          <w:b/>
          <w:color w:val="4A90E2"/>
          <w:sz w:val="26"/>
        </w:rPr>
        <w:t xml:space="preserve">3. </w:t>
      </w:r>
      <w:proofErr w:type="spellStart"/>
      <w:r>
        <w:rPr>
          <w:b/>
          <w:color w:val="4A90E2"/>
          <w:sz w:val="26"/>
        </w:rPr>
        <w:t>Tres</w:t>
      </w:r>
      <w:proofErr w:type="spellEnd"/>
      <w:r>
        <w:rPr>
          <w:b/>
          <w:color w:val="4A90E2"/>
          <w:sz w:val="26"/>
        </w:rPr>
        <w:t xml:space="preserve"> </w:t>
      </w:r>
      <w:proofErr w:type="spellStart"/>
      <w:r>
        <w:rPr>
          <w:b/>
          <w:color w:val="4A90E2"/>
          <w:sz w:val="26"/>
        </w:rPr>
        <w:t>renglones</w:t>
      </w:r>
      <w:proofErr w:type="spellEnd"/>
      <w:r>
        <w:rPr>
          <w:b/>
          <w:color w:val="4A90E2"/>
          <w:sz w:val="26"/>
        </w:rPr>
        <w:t xml:space="preserve"> de </w:t>
      </w:r>
      <w:proofErr w:type="spellStart"/>
      <w:r>
        <w:rPr>
          <w:b/>
          <w:color w:val="4A90E2"/>
          <w:sz w:val="26"/>
        </w:rPr>
        <w:t>lectura</w:t>
      </w:r>
      <w:proofErr w:type="spellEnd"/>
    </w:p>
    <w:p w:rsidR="002831E7" w:rsidRDefault="002831E7" w:rsidP="002831E7">
      <w:pPr>
        <w:keepNext/>
        <w:spacing w:before="240" w:after="80"/>
      </w:pPr>
      <w:r>
        <w:t xml:space="preserve">Los resultados reales </w:t>
      </w:r>
      <w:proofErr w:type="gramStart"/>
      <w:r>
        <w:t>del</w:t>
      </w:r>
      <w:proofErr w:type="gramEnd"/>
      <w:r>
        <w:t xml:space="preserve"> motor demuestran que las categorías de riesgo crítico 4 y 5 de la escala del BCRA concentran de forma consolidada </w:t>
      </w:r>
      <w:r>
        <w:rPr>
          <w:rStyle w:val="Textoennegrita"/>
          <w:rFonts w:cs="Arial"/>
        </w:rPr>
        <w:t>ARS 25.51 Millones</w:t>
      </w:r>
      <w:r>
        <w:t xml:space="preserve"> del saldo total en mora. El saldo promedio por cliente individual </w:t>
      </w:r>
      <w:r>
        <w:rPr>
          <w:rStyle w:val="Textoennegrita"/>
          <w:rFonts w:cs="Arial"/>
        </w:rPr>
        <w:t xml:space="preserve">se quintuplica (aumenta 5 </w:t>
      </w:r>
      <w:proofErr w:type="spellStart"/>
      <w:r>
        <w:rPr>
          <w:rStyle w:val="Textoennegrita"/>
          <w:rFonts w:cs="Arial"/>
        </w:rPr>
        <w:t>veces</w:t>
      </w:r>
      <w:proofErr w:type="spellEnd"/>
      <w:r>
        <w:rPr>
          <w:rStyle w:val="Textoennegrita"/>
          <w:rFonts w:cs="Arial"/>
        </w:rPr>
        <w:t>)</w:t>
      </w:r>
      <w:r>
        <w:t xml:space="preserve"> de manera exacta a medida que se deteriora la cuenta, pasando de </w:t>
      </w:r>
      <w:proofErr w:type="gramStart"/>
      <w:r>
        <w:t>un</w:t>
      </w:r>
      <w:proofErr w:type="gramEnd"/>
      <w:r>
        <w:t xml:space="preserve"> piso de </w:t>
      </w:r>
      <w:r>
        <w:rPr>
          <w:rStyle w:val="Textoennegrita"/>
          <w:rFonts w:cs="Arial"/>
        </w:rPr>
        <w:t>ARS 5.000</w:t>
      </w:r>
      <w:r>
        <w:t xml:space="preserve"> en Situación 1 a un techo de </w:t>
      </w:r>
      <w:r>
        <w:rPr>
          <w:rStyle w:val="Textoennegrita"/>
          <w:rFonts w:cs="Arial"/>
        </w:rPr>
        <w:t>ARS 25.000</w:t>
      </w:r>
      <w:r>
        <w:t xml:space="preserve"> en Situación 5.</w:t>
      </w:r>
    </w:p>
    <w:p w:rsidR="002831E7" w:rsidRDefault="002831E7" w:rsidP="002831E7">
      <w:pPr>
        <w:keepNext/>
        <w:spacing w:before="360" w:after="120"/>
      </w:pPr>
    </w:p>
    <w:p w:rsidR="000E55A8" w:rsidRDefault="00D7207B" w:rsidP="002831E7">
      <w:r>
        <w:rPr>
          <w:b/>
          <w:color w:val="4A90E2"/>
          <w:sz w:val="26"/>
        </w:rPr>
        <w:t>4.</w:t>
      </w:r>
      <w:r>
        <w:rPr>
          <w:b/>
          <w:color w:val="4A90E2"/>
          <w:sz w:val="26"/>
        </w:rPr>
        <w:t xml:space="preserve"> Qué quedó afuera (Criterio JBGE)</w:t>
      </w:r>
    </w:p>
    <w:p w:rsidR="000E55A8" w:rsidRDefault="00D7207B">
      <w:pPr>
        <w:spacing w:after="120"/>
      </w:pPr>
      <w:r>
        <w:t>Se decidió postergar el análisis de correlación fina con Python y la confección de tableros dinámicos en este sprint, para enfocar el esfuerzo de forma exclusiva en asegurar la estabilidad, limpieza e integridad referencia</w:t>
      </w:r>
      <w:r>
        <w:t>l de las agregaciones en el motor de datos relacional.</w:t>
      </w:r>
    </w:p>
    <w:p w:rsidR="000E55A8" w:rsidRDefault="00D7207B">
      <w:r>
        <w:br w:type="page"/>
      </w:r>
    </w:p>
    <w:p w:rsidR="000E55A8" w:rsidRDefault="00D7207B">
      <w:pPr>
        <w:keepNext/>
        <w:spacing w:before="360" w:after="120"/>
      </w:pPr>
      <w:r>
        <w:rPr>
          <w:b/>
          <w:color w:val="1B365D"/>
          <w:sz w:val="32"/>
        </w:rPr>
        <w:lastRenderedPageBreak/>
        <w:t>SECCIÓN 2 — PRESENTACIÓN EJECUTIVA | DIAPOSITIVA 1: Portada</w:t>
      </w:r>
    </w:p>
    <w:p w:rsidR="000E55A8" w:rsidRDefault="00D7207B">
      <w:pPr>
        <w:spacing w:after="240"/>
      </w:pPr>
      <w:r>
        <w:rPr>
          <w:b/>
        </w:rPr>
        <w:t>Las categorías críticas 4 y 5 de la escala BCRA concentran el 64% de la morosidad y comprometen ARS 25.5 Millones de la cartera</w:t>
      </w:r>
    </w:p>
    <w:p w:rsidR="000E55A8" w:rsidRDefault="00D7207B">
      <w:pPr>
        <w:spacing w:after="40"/>
      </w:pPr>
      <w:r>
        <w:rPr>
          <w:b/>
        </w:rPr>
        <w:t>PROYECTO</w:t>
      </w:r>
    </w:p>
    <w:p w:rsidR="000E55A8" w:rsidRDefault="00D7207B">
      <w:pPr>
        <w:spacing w:after="160"/>
      </w:pPr>
      <w:r>
        <w:t>An</w:t>
      </w:r>
      <w:r>
        <w:t>álisis de exposición y morosidad en cartera crediticia.</w:t>
      </w:r>
    </w:p>
    <w:p w:rsidR="000E55A8" w:rsidRDefault="00D7207B">
      <w:pPr>
        <w:spacing w:after="40"/>
      </w:pPr>
      <w:r>
        <w:rPr>
          <w:b/>
        </w:rPr>
        <w:t>ALCANCE</w:t>
      </w:r>
    </w:p>
    <w:p w:rsidR="000E55A8" w:rsidRDefault="00D7207B">
      <w:pPr>
        <w:spacing w:after="160"/>
      </w:pPr>
      <w:r>
        <w:t>Resumen descriptivo de categorías BCRA.</w:t>
      </w:r>
    </w:p>
    <w:p w:rsidR="000E55A8" w:rsidRDefault="00D7207B">
      <w:pPr>
        <w:spacing w:after="40"/>
      </w:pPr>
      <w:r>
        <w:rPr>
          <w:b/>
        </w:rPr>
        <w:t>AUTOR</w:t>
      </w:r>
    </w:p>
    <w:p w:rsidR="000E55A8" w:rsidRDefault="00D7207B">
      <w:pPr>
        <w:spacing w:after="160"/>
      </w:pPr>
      <w:r>
        <w:t xml:space="preserve">Daniel </w:t>
      </w:r>
      <w:proofErr w:type="spellStart"/>
      <w:r>
        <w:t>Debasto</w:t>
      </w:r>
      <w:proofErr w:type="spellEnd"/>
      <w:r>
        <w:t>.</w:t>
      </w:r>
    </w:p>
    <w:p w:rsidR="003A6606" w:rsidRDefault="003A6606">
      <w:pPr>
        <w:spacing w:after="160"/>
      </w:pPr>
      <w:r w:rsidRPr="003A6606">
        <w:drawing>
          <wp:inline distT="0" distB="0" distL="0" distR="0" wp14:anchorId="00E60322" wp14:editId="2D297B4A">
            <wp:extent cx="5486400" cy="29083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908300"/>
                    </a:xfrm>
                    <a:prstGeom prst="rect">
                      <a:avLst/>
                    </a:prstGeom>
                  </pic:spPr>
                </pic:pic>
              </a:graphicData>
            </a:graphic>
          </wp:inline>
        </w:drawing>
      </w:r>
    </w:p>
    <w:p w:rsidR="000E55A8" w:rsidRDefault="00D7207B">
      <w:r>
        <w:br w:type="page"/>
      </w:r>
    </w:p>
    <w:p w:rsidR="000E55A8" w:rsidRDefault="00D7207B">
      <w:pPr>
        <w:keepNext/>
        <w:spacing w:before="360" w:after="120"/>
      </w:pPr>
      <w:r>
        <w:rPr>
          <w:b/>
          <w:color w:val="1B365D"/>
          <w:sz w:val="32"/>
        </w:rPr>
        <w:lastRenderedPageBreak/>
        <w:t>SECCIÓN 2 — PRESENTACIÓN EJECUTIVA | DIAPOSITIVA 2: Contexto SCQA</w:t>
      </w:r>
    </w:p>
    <w:p w:rsidR="000E55A8" w:rsidRDefault="00D7207B">
      <w:pPr>
        <w:spacing w:after="240"/>
      </w:pPr>
      <w:r>
        <w:rPr>
          <w:b/>
        </w:rPr>
        <w:t xml:space="preserve">La falta de alertas analíticas tempranas sobre carteras </w:t>
      </w:r>
      <w:r>
        <w:rPr>
          <w:b/>
        </w:rPr>
        <w:t>activas impide adelantarse al impacto de las pérdidas por deudores incobrables</w:t>
      </w:r>
    </w:p>
    <w:p w:rsidR="000E55A8" w:rsidRDefault="00D7207B">
      <w:pPr>
        <w:spacing w:after="40"/>
      </w:pPr>
      <w:r>
        <w:rPr>
          <w:b/>
        </w:rPr>
        <w:t>SITUACIÓN</w:t>
      </w:r>
    </w:p>
    <w:p w:rsidR="000E55A8" w:rsidRDefault="00D7207B">
      <w:pPr>
        <w:spacing w:after="160"/>
      </w:pPr>
      <w:r>
        <w:t>Cartera de 12.000 registros en Argentina.</w:t>
      </w:r>
    </w:p>
    <w:p w:rsidR="000E55A8" w:rsidRDefault="00D7207B">
      <w:pPr>
        <w:spacing w:after="40"/>
      </w:pPr>
      <w:r>
        <w:rPr>
          <w:b/>
        </w:rPr>
        <w:t>COMPLICACIÓN</w:t>
      </w:r>
    </w:p>
    <w:p w:rsidR="000E55A8" w:rsidRDefault="00D7207B">
      <w:pPr>
        <w:spacing w:after="160"/>
      </w:pPr>
      <w:r>
        <w:t>Presión inflacionaria eleva la tasa de rodamiento hacia tramos severos.</w:t>
      </w:r>
    </w:p>
    <w:p w:rsidR="000E55A8" w:rsidRDefault="00D7207B">
      <w:pPr>
        <w:spacing w:after="40"/>
      </w:pPr>
      <w:r>
        <w:rPr>
          <w:b/>
        </w:rPr>
        <w:t>PREGUNTA</w:t>
      </w:r>
    </w:p>
    <w:p w:rsidR="000E55A8" w:rsidRDefault="00D7207B">
      <w:pPr>
        <w:spacing w:after="160"/>
      </w:pPr>
      <w:r>
        <w:t>¿Qué segmentos concentran la se</w:t>
      </w:r>
      <w:r>
        <w:t>veridad?</w:t>
      </w:r>
    </w:p>
    <w:p w:rsidR="000E55A8" w:rsidRDefault="00D7207B">
      <w:pPr>
        <w:spacing w:after="40"/>
      </w:pPr>
      <w:r>
        <w:rPr>
          <w:b/>
        </w:rPr>
        <w:t>RESPUESTA</w:t>
      </w:r>
    </w:p>
    <w:p w:rsidR="000E55A8" w:rsidRDefault="00D7207B">
      <w:pPr>
        <w:spacing w:after="160"/>
      </w:pPr>
      <w:r>
        <w:t xml:space="preserve">Implementar reglas de control de riesgos a nivel DDL e instrumentar </w:t>
      </w:r>
      <w:proofErr w:type="gramStart"/>
      <w:r>
        <w:t>cortes</w:t>
      </w:r>
      <w:proofErr w:type="gramEnd"/>
      <w:r>
        <w:t xml:space="preserve"> duros en situación BCRA &gt;= 3.</w:t>
      </w:r>
    </w:p>
    <w:p w:rsidR="00004855" w:rsidRDefault="00004855">
      <w:pPr>
        <w:spacing w:after="160"/>
      </w:pPr>
    </w:p>
    <w:p w:rsidR="00004855" w:rsidRDefault="00004855">
      <w:pPr>
        <w:spacing w:after="160"/>
      </w:pPr>
      <w:r w:rsidRPr="00004855">
        <w:drawing>
          <wp:inline distT="0" distB="0" distL="0" distR="0" wp14:anchorId="16B285A3" wp14:editId="681C21D7">
            <wp:extent cx="5486400" cy="30181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18155"/>
                    </a:xfrm>
                    <a:prstGeom prst="rect">
                      <a:avLst/>
                    </a:prstGeom>
                  </pic:spPr>
                </pic:pic>
              </a:graphicData>
            </a:graphic>
          </wp:inline>
        </w:drawing>
      </w:r>
    </w:p>
    <w:p w:rsidR="000E55A8" w:rsidRDefault="00D7207B">
      <w:r>
        <w:br w:type="page"/>
      </w:r>
    </w:p>
    <w:p w:rsidR="000E55A8" w:rsidRDefault="00D7207B">
      <w:pPr>
        <w:keepNext/>
        <w:spacing w:before="360" w:after="120"/>
      </w:pPr>
      <w:r>
        <w:rPr>
          <w:b/>
          <w:color w:val="1B365D"/>
          <w:sz w:val="32"/>
        </w:rPr>
        <w:lastRenderedPageBreak/>
        <w:t>SECCIÓN 2 — PRESENTACIÓN EJECUTIVA | DIAPOSITIVA 3: Hallazgo Principal</w:t>
      </w:r>
    </w:p>
    <w:p w:rsidR="000E55A8" w:rsidRDefault="00D7207B">
      <w:pPr>
        <w:spacing w:after="240"/>
      </w:pPr>
      <w:r>
        <w:rPr>
          <w:b/>
        </w:rPr>
        <w:t>El 78% del volumen real en mora proviene de clientes que ya</w:t>
      </w:r>
      <w:r>
        <w:rPr>
          <w:b/>
        </w:rPr>
        <w:t xml:space="preserve"> registraban comportamientos de atraso irregular previos</w:t>
      </w:r>
    </w:p>
    <w:p w:rsidR="000E55A8" w:rsidRDefault="00D7207B">
      <w:pPr>
        <w:spacing w:after="40"/>
      </w:pPr>
      <w:r>
        <w:rPr>
          <w:b/>
        </w:rPr>
        <w:t>HALLAZGO INFORMADO</w:t>
      </w:r>
    </w:p>
    <w:p w:rsidR="000E55A8" w:rsidRDefault="00D7207B">
      <w:pPr>
        <w:spacing w:after="160"/>
      </w:pPr>
      <w:r>
        <w:t>Los atrasos irregulares previos son un foco prioritario de revisión.</w:t>
      </w:r>
    </w:p>
    <w:p w:rsidR="000E55A8" w:rsidRDefault="00D7207B">
      <w:pPr>
        <w:spacing w:after="40"/>
      </w:pPr>
      <w:r>
        <w:rPr>
          <w:b/>
        </w:rPr>
        <w:t>VERIFICACIÓN</w:t>
      </w:r>
    </w:p>
    <w:p w:rsidR="000E55A8" w:rsidRDefault="00D7207B">
      <w:pPr>
        <w:spacing w:after="160"/>
      </w:pPr>
      <w:r>
        <w:t>Validar fuente, período, población y definición de mora.</w:t>
      </w:r>
    </w:p>
    <w:p w:rsidR="000E55A8" w:rsidRDefault="00D7207B">
      <w:pPr>
        <w:spacing w:after="40"/>
      </w:pPr>
      <w:r>
        <w:rPr>
          <w:b/>
        </w:rPr>
        <w:t>USO</w:t>
      </w:r>
    </w:p>
    <w:p w:rsidR="000E55A8" w:rsidRDefault="00D7207B">
      <w:pPr>
        <w:spacing w:after="160"/>
      </w:pPr>
      <w:r>
        <w:t xml:space="preserve">Considerar la cifra una afirmación </w:t>
      </w:r>
      <w:r>
        <w:t xml:space="preserve">pendiente de </w:t>
      </w:r>
      <w:proofErr w:type="spellStart"/>
      <w:r>
        <w:t>confirmación</w:t>
      </w:r>
      <w:proofErr w:type="spellEnd"/>
      <w:r>
        <w:t xml:space="preserve"> con </w:t>
      </w:r>
      <w:proofErr w:type="spellStart"/>
      <w:r>
        <w:t>datos</w:t>
      </w:r>
      <w:proofErr w:type="spellEnd"/>
      <w:r>
        <w:t xml:space="preserve"> </w:t>
      </w:r>
      <w:proofErr w:type="spellStart"/>
      <w:r>
        <w:t>detallados</w:t>
      </w:r>
      <w:proofErr w:type="spellEnd"/>
      <w:r>
        <w:t>.</w:t>
      </w:r>
    </w:p>
    <w:p w:rsidR="003A6606" w:rsidRDefault="003A6606">
      <w:pPr>
        <w:spacing w:after="160"/>
      </w:pPr>
    </w:p>
    <w:p w:rsidR="003A6606" w:rsidRDefault="003A6606">
      <w:pPr>
        <w:spacing w:after="160"/>
      </w:pPr>
      <w:r w:rsidRPr="003A6606">
        <w:drawing>
          <wp:inline distT="0" distB="0" distL="0" distR="0" wp14:anchorId="19776A54" wp14:editId="7D76F77D">
            <wp:extent cx="5486400" cy="29775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977515"/>
                    </a:xfrm>
                    <a:prstGeom prst="rect">
                      <a:avLst/>
                    </a:prstGeom>
                  </pic:spPr>
                </pic:pic>
              </a:graphicData>
            </a:graphic>
          </wp:inline>
        </w:drawing>
      </w:r>
    </w:p>
    <w:p w:rsidR="000E55A8" w:rsidRDefault="00D7207B">
      <w:r>
        <w:br w:type="page"/>
      </w:r>
    </w:p>
    <w:p w:rsidR="000E55A8" w:rsidRDefault="00D7207B">
      <w:pPr>
        <w:keepNext/>
        <w:spacing w:before="360" w:after="120"/>
      </w:pPr>
      <w:r>
        <w:rPr>
          <w:b/>
          <w:color w:val="1B365D"/>
          <w:sz w:val="32"/>
        </w:rPr>
        <w:lastRenderedPageBreak/>
        <w:t>SECCIÓN 2 — PRESENTACIÓN EJECUTIVA | DIAPOSITIVA 4: Soporte Argumental 1</w:t>
      </w:r>
    </w:p>
    <w:p w:rsidR="000E55A8" w:rsidRDefault="00004855">
      <w:pPr>
        <w:spacing w:after="240"/>
      </w:pPr>
      <w:r w:rsidRPr="00004855">
        <w:rPr>
          <w:b/>
        </w:rPr>
        <w:t xml:space="preserve">"A medida que el deudor empeora su situación en la escala del BCRA, el saldo promedio adeudado por cliente se quintuplica (incremento de 5 </w:t>
      </w:r>
      <w:proofErr w:type="spellStart"/>
      <w:r w:rsidRPr="00004855">
        <w:rPr>
          <w:b/>
        </w:rPr>
        <w:t>veces</w:t>
      </w:r>
      <w:proofErr w:type="spellEnd"/>
      <w:r w:rsidRPr="00004855">
        <w:rPr>
          <w:b/>
        </w:rPr>
        <w:t>) de forma exacta, pasando de un piso de ARS 5.000,00 en Situación 1 (Normal) a un techo de ARS 25.000,00 en Situación 5 (Irrecuperable)."</w:t>
      </w:r>
    </w:p>
    <w:p w:rsidR="000E55A8" w:rsidRDefault="00D7207B">
      <w:pPr>
        <w:spacing w:after="40"/>
      </w:pPr>
      <w:r>
        <w:rPr>
          <w:b/>
        </w:rPr>
        <w:t>EVIDENCIA SIMULADA</w:t>
      </w:r>
    </w:p>
    <w:p w:rsidR="000E55A8" w:rsidRDefault="00D7207B">
      <w:pPr>
        <w:spacing w:after="160"/>
      </w:pPr>
      <w:r>
        <w:t>Grá</w:t>
      </w:r>
      <w:r>
        <w:t>fico de Columnas de Saldo Promedio vs. Escala BCRA.</w:t>
      </w:r>
    </w:p>
    <w:p w:rsidR="000E55A8" w:rsidRDefault="00D7207B">
      <w:pPr>
        <w:spacing w:after="40"/>
      </w:pPr>
      <w:r>
        <w:rPr>
          <w:b/>
        </w:rPr>
        <w:t>REFERENCIA</w:t>
      </w:r>
    </w:p>
    <w:p w:rsidR="000E55A8" w:rsidRDefault="00D7207B">
      <w:pPr>
        <w:spacing w:after="160"/>
      </w:pPr>
      <w:r>
        <w:t>Situación 1: ARS 5.000; situación 5: ARS 25.000.</w:t>
      </w:r>
    </w:p>
    <w:p w:rsidR="000E55A8" w:rsidRDefault="00D7207B">
      <w:pPr>
        <w:spacing w:after="40"/>
      </w:pPr>
      <w:r>
        <w:rPr>
          <w:b/>
        </w:rPr>
        <w:t>LECTURA</w:t>
      </w:r>
    </w:p>
    <w:p w:rsidR="000E55A8" w:rsidRDefault="00D7207B">
      <w:pPr>
        <w:spacing w:after="160"/>
      </w:pPr>
      <w:r>
        <w:t>Comparar composición y evolución de saldos con datos fuente validados.</w:t>
      </w:r>
    </w:p>
    <w:p w:rsidR="000E55A8" w:rsidRDefault="00D7207B">
      <w:r>
        <w:br w:type="page"/>
      </w:r>
    </w:p>
    <w:p w:rsidR="000E55A8" w:rsidRDefault="00D7207B">
      <w:pPr>
        <w:keepNext/>
        <w:spacing w:before="360" w:after="120"/>
      </w:pPr>
      <w:r>
        <w:rPr>
          <w:b/>
          <w:color w:val="1B365D"/>
          <w:sz w:val="32"/>
        </w:rPr>
        <w:lastRenderedPageBreak/>
        <w:t xml:space="preserve">SECCIÓN 2 — PRESENTACIÓN EJECUTIVA | DIAPOSITIVA 5: Soporte </w:t>
      </w:r>
      <w:r>
        <w:rPr>
          <w:b/>
          <w:color w:val="1B365D"/>
          <w:sz w:val="32"/>
        </w:rPr>
        <w:t>Argumental 2</w:t>
      </w:r>
    </w:p>
    <w:p w:rsidR="000E55A8" w:rsidRDefault="00D7207B">
      <w:pPr>
        <w:spacing w:after="240"/>
      </w:pPr>
      <w:r>
        <w:rPr>
          <w:b/>
        </w:rPr>
        <w:t>El financiamiento mediante Tarjetas de Crédito duplica la velocidad de entrada en mora en comparación con Préstamos Personales</w:t>
      </w:r>
    </w:p>
    <w:p w:rsidR="000E55A8" w:rsidRDefault="00D7207B">
      <w:pPr>
        <w:spacing w:after="40"/>
      </w:pPr>
      <w:r>
        <w:rPr>
          <w:b/>
        </w:rPr>
        <w:t>EVIDENCIA SIMULADA</w:t>
      </w:r>
    </w:p>
    <w:p w:rsidR="000E55A8" w:rsidRDefault="00D7207B">
      <w:pPr>
        <w:spacing w:after="160"/>
      </w:pPr>
      <w:r>
        <w:t>Matriz de Calor de Tasa de Incumplimiento por Producto.</w:t>
      </w:r>
    </w:p>
    <w:p w:rsidR="000E55A8" w:rsidRDefault="00D7207B">
      <w:pPr>
        <w:spacing w:after="40"/>
      </w:pPr>
      <w:r>
        <w:rPr>
          <w:b/>
        </w:rPr>
        <w:t>COMPARACIÓN</w:t>
      </w:r>
    </w:p>
    <w:p w:rsidR="000E55A8" w:rsidRDefault="00D7207B">
      <w:pPr>
        <w:spacing w:after="160"/>
      </w:pPr>
      <w:r>
        <w:t>Contrastar tarjetas de crédit</w:t>
      </w:r>
      <w:r>
        <w:t>o y préstamos personales en períodos equivalentes.</w:t>
      </w:r>
    </w:p>
    <w:p w:rsidR="000E55A8" w:rsidRDefault="00D7207B">
      <w:pPr>
        <w:spacing w:after="40"/>
      </w:pPr>
      <w:r>
        <w:rPr>
          <w:b/>
        </w:rPr>
        <w:t>VALIDACIÓN</w:t>
      </w:r>
    </w:p>
    <w:p w:rsidR="000E55A8" w:rsidRDefault="00D7207B">
      <w:pPr>
        <w:spacing w:after="160"/>
      </w:pPr>
      <w:r>
        <w:t>El agregado por situación no verifica por sí solo velocidad ni causalidad.</w:t>
      </w:r>
    </w:p>
    <w:p w:rsidR="000E55A8" w:rsidRDefault="00D7207B">
      <w:r>
        <w:br w:type="page"/>
      </w:r>
    </w:p>
    <w:p w:rsidR="000E55A8" w:rsidRDefault="00D7207B">
      <w:pPr>
        <w:keepNext/>
        <w:spacing w:before="360" w:after="120"/>
      </w:pPr>
      <w:r>
        <w:rPr>
          <w:b/>
          <w:color w:val="1B365D"/>
          <w:sz w:val="32"/>
        </w:rPr>
        <w:lastRenderedPageBreak/>
        <w:t>SECCIÓN 2 — PRESENTACIÓN EJECUTIVA | DIAPOSITIVA 6: Recomendación de Negocio</w:t>
      </w:r>
    </w:p>
    <w:p w:rsidR="000E55A8" w:rsidRDefault="00D7207B">
      <w:pPr>
        <w:spacing w:after="240"/>
      </w:pPr>
      <w:proofErr w:type="spellStart"/>
      <w:r>
        <w:rPr>
          <w:b/>
        </w:rPr>
        <w:t>Congelar</w:t>
      </w:r>
      <w:proofErr w:type="spellEnd"/>
      <w:r>
        <w:rPr>
          <w:b/>
        </w:rPr>
        <w:t xml:space="preserve"> al 0% las ampliaciones automáti</w:t>
      </w:r>
      <w:r>
        <w:rPr>
          <w:b/>
        </w:rPr>
        <w:t>cas de límites para situaciones BCRA &gt;= 2 e iniciar acciones de cobranza preventiva la próxima semana</w:t>
      </w:r>
    </w:p>
    <w:p w:rsidR="000E55A8" w:rsidRDefault="00D7207B">
      <w:pPr>
        <w:spacing w:after="40"/>
      </w:pPr>
      <w:r>
        <w:rPr>
          <w:b/>
        </w:rPr>
        <w:t>MEDIDA PROPUESTA</w:t>
      </w:r>
    </w:p>
    <w:p w:rsidR="000E55A8" w:rsidRDefault="00D7207B">
      <w:pPr>
        <w:spacing w:after="160"/>
      </w:pPr>
      <w:r>
        <w:t xml:space="preserve">Evaluar el congelamiento </w:t>
      </w:r>
      <w:r>
        <w:t xml:space="preserve">de </w:t>
      </w:r>
      <w:proofErr w:type="spellStart"/>
      <w:r>
        <w:t>ampliaciones</w:t>
      </w:r>
      <w:proofErr w:type="spellEnd"/>
      <w:r>
        <w:t xml:space="preserve"> </w:t>
      </w:r>
      <w:proofErr w:type="spellStart"/>
      <w:r>
        <w:t>automáticas</w:t>
      </w:r>
      <w:proofErr w:type="spellEnd"/>
      <w:r>
        <w:t xml:space="preserve"> para BCRA &gt;= 2.</w:t>
      </w:r>
    </w:p>
    <w:p w:rsidR="000E55A8" w:rsidRDefault="00D7207B">
      <w:pPr>
        <w:spacing w:after="40"/>
      </w:pPr>
      <w:r>
        <w:rPr>
          <w:b/>
        </w:rPr>
        <w:t>ACCIÓN</w:t>
      </w:r>
    </w:p>
    <w:p w:rsidR="000E55A8" w:rsidRDefault="00D7207B">
      <w:pPr>
        <w:spacing w:after="160"/>
      </w:pPr>
      <w:r>
        <w:t>Preparar cobranza preventiva bajo criterios documentados.</w:t>
      </w:r>
    </w:p>
    <w:p w:rsidR="000E55A8" w:rsidRDefault="00D7207B">
      <w:pPr>
        <w:spacing w:after="40"/>
      </w:pPr>
      <w:r>
        <w:rPr>
          <w:b/>
        </w:rPr>
        <w:t>CON</w:t>
      </w:r>
      <w:r>
        <w:rPr>
          <w:b/>
        </w:rPr>
        <w:t>TROL</w:t>
      </w:r>
    </w:p>
    <w:p w:rsidR="000E55A8" w:rsidRDefault="00D7207B">
      <w:pPr>
        <w:spacing w:after="160"/>
      </w:pPr>
      <w:r>
        <w:t>Validar datos, excepciones e impacto con las áreas responsables antes de aplicar cambios.</w:t>
      </w:r>
    </w:p>
    <w:p w:rsidR="000E55A8" w:rsidRDefault="00D7207B">
      <w:r>
        <w:br w:type="page"/>
      </w:r>
    </w:p>
    <w:p w:rsidR="000E55A8" w:rsidRDefault="00D7207B">
      <w:pPr>
        <w:keepNext/>
        <w:spacing w:before="360" w:after="120"/>
      </w:pPr>
      <w:r>
        <w:rPr>
          <w:b/>
          <w:color w:val="1B365D"/>
          <w:sz w:val="32"/>
        </w:rPr>
        <w:lastRenderedPageBreak/>
        <w:t>SECCIÓN 3 — README PROFESIONAL</w:t>
      </w:r>
    </w:p>
    <w:p w:rsidR="00C92AF6" w:rsidRPr="00C92AF6" w:rsidRDefault="00C92AF6" w:rsidP="00C92AF6">
      <w:pPr>
        <w:spacing w:after="180" w:line="240" w:lineRule="auto"/>
        <w:rPr>
          <w:rFonts w:eastAsia="Times New Roman" w:cs="Arial"/>
          <w:b/>
          <w:bCs/>
          <w:color w:val="auto"/>
          <w:sz w:val="24"/>
          <w:szCs w:val="24"/>
          <w:lang w:val="es-AR" w:eastAsia="es-AR"/>
        </w:rPr>
      </w:pPr>
      <w:r w:rsidRPr="00C92AF6">
        <w:rPr>
          <w:rFonts w:eastAsia="Times New Roman" w:cs="Arial"/>
          <w:b/>
          <w:bCs/>
          <w:color w:val="auto"/>
          <w:sz w:val="24"/>
          <w:szCs w:val="24"/>
          <w:lang w:val="es-AR" w:eastAsia="es-AR"/>
        </w:rPr>
        <w:t>1. Descripción del Problema de Negocio (El Dolor que Resolvemos)</w:t>
      </w:r>
    </w:p>
    <w:p w:rsidR="00C92AF6" w:rsidRPr="00C92AF6" w:rsidRDefault="00C92AF6" w:rsidP="00C92AF6">
      <w:pPr>
        <w:spacing w:line="240" w:lineRule="auto"/>
        <w:rPr>
          <w:rFonts w:eastAsia="Times New Roman" w:cs="Arial"/>
          <w:color w:val="auto"/>
          <w:sz w:val="24"/>
          <w:szCs w:val="24"/>
          <w:lang w:val="es-AR" w:eastAsia="es-AR"/>
        </w:rPr>
      </w:pPr>
      <w:r w:rsidRPr="00C92AF6">
        <w:rPr>
          <w:rFonts w:eastAsia="Times New Roman" w:cs="Arial"/>
          <w:color w:val="auto"/>
          <w:sz w:val="24"/>
          <w:szCs w:val="24"/>
          <w:lang w:val="es-AR" w:eastAsia="es-AR"/>
        </w:rPr>
        <w:t xml:space="preserve">La institución financiera administra una cartera activa de </w:t>
      </w:r>
      <w:r w:rsidRPr="00C92AF6">
        <w:rPr>
          <w:rFonts w:eastAsia="Times New Roman" w:cs="Arial"/>
          <w:bCs/>
          <w:color w:val="auto"/>
          <w:sz w:val="24"/>
          <w:szCs w:val="24"/>
          <w:lang w:val="es-AR" w:eastAsia="es-AR"/>
        </w:rPr>
        <w:t>12.000 clientes de crédito</w:t>
      </w:r>
      <w:r w:rsidRPr="00C92AF6">
        <w:rPr>
          <w:rFonts w:eastAsia="Times New Roman" w:cs="Arial"/>
          <w:color w:val="auto"/>
          <w:sz w:val="24"/>
          <w:szCs w:val="24"/>
          <w:lang w:val="es-AR" w:eastAsia="es-AR"/>
        </w:rPr>
        <w:t xml:space="preserve"> en Argentina. Recientemente, se detectó un incremento sistemático en las cuentas que ingresan en mora crítica (más de 90 días de atraso), lo que pone en riesgo la liquidez y la salud financiera de la organización.</w:t>
      </w:r>
    </w:p>
    <w:p w:rsidR="00C92AF6" w:rsidRPr="00C92AF6" w:rsidRDefault="00C92AF6" w:rsidP="00C92AF6">
      <w:pPr>
        <w:spacing w:line="240" w:lineRule="auto"/>
        <w:rPr>
          <w:rFonts w:eastAsia="Times New Roman" w:cs="Arial"/>
          <w:color w:val="auto"/>
          <w:sz w:val="24"/>
          <w:szCs w:val="24"/>
          <w:lang w:val="es-AR" w:eastAsia="es-AR"/>
        </w:rPr>
      </w:pPr>
      <w:r w:rsidRPr="00C92AF6">
        <w:rPr>
          <w:rFonts w:eastAsia="Times New Roman" w:cs="Arial"/>
          <w:color w:val="auto"/>
          <w:sz w:val="24"/>
          <w:szCs w:val="24"/>
          <w:lang w:val="es-AR" w:eastAsia="es-AR"/>
        </w:rPr>
        <w:t xml:space="preserve">Este proyecto resuelve el dolor de la </w:t>
      </w:r>
      <w:r w:rsidRPr="00C92AF6">
        <w:rPr>
          <w:rFonts w:eastAsia="Times New Roman" w:cs="Arial"/>
          <w:bCs/>
          <w:color w:val="auto"/>
          <w:sz w:val="24"/>
          <w:szCs w:val="24"/>
          <w:lang w:val="es-AR" w:eastAsia="es-AR"/>
        </w:rPr>
        <w:t>falta de visibilidad y previsión del riesgo de impago</w:t>
      </w:r>
      <w:r w:rsidRPr="00C92AF6">
        <w:rPr>
          <w:rFonts w:eastAsia="Times New Roman" w:cs="Arial"/>
          <w:color w:val="auto"/>
          <w:sz w:val="24"/>
          <w:szCs w:val="24"/>
          <w:lang w:val="es-AR" w:eastAsia="es-AR"/>
        </w:rPr>
        <w:t>. Mediante la automatización de consultas analíticas sobre los datos de los deudores, identificamos exactamente en qué tramos de la escala normativa del BCRA se concentra el capital afectado, permitiendo activar políticas de corte de crédito preventivo antes de que las cuentas se vuelvan irrecuperables.</w:t>
      </w:r>
    </w:p>
    <w:p w:rsidR="00C92AF6" w:rsidRPr="00C92AF6" w:rsidRDefault="00C92AF6" w:rsidP="00C92AF6">
      <w:pPr>
        <w:spacing w:after="180" w:line="240" w:lineRule="auto"/>
        <w:rPr>
          <w:rFonts w:eastAsia="Times New Roman" w:cs="Arial"/>
          <w:b/>
          <w:bCs/>
          <w:color w:val="auto"/>
          <w:sz w:val="24"/>
          <w:szCs w:val="24"/>
          <w:lang w:val="es-AR" w:eastAsia="es-AR"/>
        </w:rPr>
      </w:pPr>
      <w:r w:rsidRPr="00C92AF6">
        <w:rPr>
          <w:rFonts w:eastAsia="Times New Roman" w:cs="Arial"/>
          <w:b/>
          <w:bCs/>
          <w:color w:val="auto"/>
          <w:sz w:val="24"/>
          <w:szCs w:val="24"/>
          <w:lang w:val="es-AR" w:eastAsia="es-AR"/>
        </w:rPr>
        <w:t xml:space="preserve">2. </w:t>
      </w:r>
      <w:proofErr w:type="spellStart"/>
      <w:r w:rsidRPr="00C92AF6">
        <w:rPr>
          <w:rFonts w:eastAsia="Times New Roman" w:cs="Arial"/>
          <w:b/>
          <w:bCs/>
          <w:color w:val="auto"/>
          <w:sz w:val="24"/>
          <w:szCs w:val="24"/>
          <w:lang w:val="es-AR" w:eastAsia="es-AR"/>
        </w:rPr>
        <w:t>Stack</w:t>
      </w:r>
      <w:proofErr w:type="spellEnd"/>
      <w:r w:rsidRPr="00C92AF6">
        <w:rPr>
          <w:rFonts w:eastAsia="Times New Roman" w:cs="Arial"/>
          <w:b/>
          <w:bCs/>
          <w:color w:val="auto"/>
          <w:sz w:val="24"/>
          <w:szCs w:val="24"/>
          <w:lang w:val="es-AR" w:eastAsia="es-AR"/>
        </w:rPr>
        <w:t xml:space="preserve"> Tecnológico Utilizado</w:t>
      </w:r>
    </w:p>
    <w:p w:rsidR="00C92AF6" w:rsidRPr="00C92AF6" w:rsidRDefault="00C92AF6" w:rsidP="00C92AF6">
      <w:pPr>
        <w:numPr>
          <w:ilvl w:val="0"/>
          <w:numId w:val="10"/>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Motor de Base de Datos</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w:t>
      </w:r>
      <w:proofErr w:type="spellStart"/>
      <w:r w:rsidRPr="00C92AF6">
        <w:rPr>
          <w:rFonts w:eastAsia="Times New Roman" w:cs="Arial"/>
          <w:color w:val="auto"/>
          <w:sz w:val="24"/>
          <w:szCs w:val="24"/>
          <w:lang w:val="es-AR" w:eastAsia="es-AR"/>
        </w:rPr>
        <w:t>PostgreSQL</w:t>
      </w:r>
      <w:proofErr w:type="spellEnd"/>
      <w:r w:rsidRPr="00C92AF6">
        <w:rPr>
          <w:rFonts w:eastAsia="Times New Roman" w:cs="Arial"/>
          <w:color w:val="auto"/>
          <w:sz w:val="24"/>
          <w:szCs w:val="24"/>
          <w:lang w:val="es-AR" w:eastAsia="es-AR"/>
        </w:rPr>
        <w:t xml:space="preserve"> (v15+)</w:t>
      </w:r>
    </w:p>
    <w:p w:rsidR="00C92AF6" w:rsidRPr="00C92AF6" w:rsidRDefault="00C92AF6" w:rsidP="00C92AF6">
      <w:pPr>
        <w:numPr>
          <w:ilvl w:val="0"/>
          <w:numId w:val="10"/>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Entorno de Desarrollo Integrado (IDE)</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Visual Studio </w:t>
      </w:r>
      <w:proofErr w:type="spellStart"/>
      <w:r w:rsidRPr="00C92AF6">
        <w:rPr>
          <w:rFonts w:eastAsia="Times New Roman" w:cs="Arial"/>
          <w:color w:val="auto"/>
          <w:sz w:val="24"/>
          <w:szCs w:val="24"/>
          <w:lang w:val="es-AR" w:eastAsia="es-AR"/>
        </w:rPr>
        <w:t>Code</w:t>
      </w:r>
      <w:proofErr w:type="spellEnd"/>
      <w:r w:rsidRPr="00C92AF6">
        <w:rPr>
          <w:rFonts w:eastAsia="Times New Roman" w:cs="Arial"/>
          <w:color w:val="auto"/>
          <w:sz w:val="24"/>
          <w:szCs w:val="24"/>
          <w:lang w:val="es-AR" w:eastAsia="es-AR"/>
        </w:rPr>
        <w:t xml:space="preserve"> (v1.80+)</w:t>
      </w:r>
    </w:p>
    <w:p w:rsidR="00C92AF6" w:rsidRPr="00C92AF6" w:rsidRDefault="00C92AF6" w:rsidP="00C92AF6">
      <w:pPr>
        <w:numPr>
          <w:ilvl w:val="0"/>
          <w:numId w:val="10"/>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Herramienta de Gestión y Desarrollo SQL</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w:t>
      </w:r>
      <w:proofErr w:type="spellStart"/>
      <w:r w:rsidRPr="00C92AF6">
        <w:rPr>
          <w:rFonts w:eastAsia="Times New Roman" w:cs="Arial"/>
          <w:color w:val="auto"/>
          <w:sz w:val="24"/>
          <w:szCs w:val="24"/>
          <w:lang w:val="es-AR" w:eastAsia="es-AR"/>
        </w:rPr>
        <w:t>DBeaver</w:t>
      </w:r>
      <w:proofErr w:type="spellEnd"/>
      <w:r w:rsidRPr="00C92AF6">
        <w:rPr>
          <w:rFonts w:eastAsia="Times New Roman" w:cs="Arial"/>
          <w:color w:val="auto"/>
          <w:sz w:val="24"/>
          <w:szCs w:val="24"/>
          <w:lang w:val="es-AR" w:eastAsia="es-AR"/>
        </w:rPr>
        <w:t xml:space="preserve"> </w:t>
      </w:r>
      <w:proofErr w:type="spellStart"/>
      <w:r w:rsidRPr="00C92AF6">
        <w:rPr>
          <w:rFonts w:eastAsia="Times New Roman" w:cs="Arial"/>
          <w:color w:val="auto"/>
          <w:sz w:val="24"/>
          <w:szCs w:val="24"/>
          <w:lang w:val="es-AR" w:eastAsia="es-AR"/>
        </w:rPr>
        <w:t>Community</w:t>
      </w:r>
      <w:proofErr w:type="spellEnd"/>
      <w:r w:rsidRPr="00C92AF6">
        <w:rPr>
          <w:rFonts w:eastAsia="Times New Roman" w:cs="Arial"/>
          <w:color w:val="auto"/>
          <w:sz w:val="24"/>
          <w:szCs w:val="24"/>
          <w:lang w:val="es-AR" w:eastAsia="es-AR"/>
        </w:rPr>
        <w:t xml:space="preserve"> </w:t>
      </w:r>
      <w:proofErr w:type="spellStart"/>
      <w:r w:rsidRPr="00C92AF6">
        <w:rPr>
          <w:rFonts w:eastAsia="Times New Roman" w:cs="Arial"/>
          <w:color w:val="auto"/>
          <w:sz w:val="24"/>
          <w:szCs w:val="24"/>
          <w:lang w:val="es-AR" w:eastAsia="es-AR"/>
        </w:rPr>
        <w:t>Edition</w:t>
      </w:r>
      <w:proofErr w:type="spellEnd"/>
    </w:p>
    <w:p w:rsidR="00C92AF6" w:rsidRPr="00C92AF6" w:rsidRDefault="00C92AF6" w:rsidP="00C92AF6">
      <w:pPr>
        <w:numPr>
          <w:ilvl w:val="0"/>
          <w:numId w:val="10"/>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Lenguaje</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SQL Estándar / PL-</w:t>
      </w:r>
      <w:proofErr w:type="spellStart"/>
      <w:r w:rsidRPr="00C92AF6">
        <w:rPr>
          <w:rFonts w:eastAsia="Times New Roman" w:cs="Arial"/>
          <w:color w:val="auto"/>
          <w:sz w:val="24"/>
          <w:szCs w:val="24"/>
          <w:lang w:val="es-AR" w:eastAsia="es-AR"/>
        </w:rPr>
        <w:t>pgSQL</w:t>
      </w:r>
      <w:proofErr w:type="spellEnd"/>
      <w:r w:rsidRPr="00C92AF6">
        <w:rPr>
          <w:rFonts w:eastAsia="Times New Roman" w:cs="Arial"/>
          <w:color w:val="auto"/>
          <w:sz w:val="24"/>
          <w:szCs w:val="24"/>
          <w:lang w:val="es-AR" w:eastAsia="es-AR"/>
        </w:rPr>
        <w:t xml:space="preserve"> (para inyección masiva con </w:t>
      </w:r>
      <w:proofErr w:type="spellStart"/>
      <w:r w:rsidRPr="00C92AF6">
        <w:rPr>
          <w:rFonts w:eastAsia="Times New Roman" w:cs="Arial"/>
          <w:color w:val="auto"/>
          <w:sz w:val="24"/>
          <w:szCs w:val="24"/>
          <w:lang w:val="es-AR" w:eastAsia="es-AR"/>
        </w:rPr>
        <w:t>generate_series</w:t>
      </w:r>
      <w:proofErr w:type="spellEnd"/>
      <w:r w:rsidRPr="00C92AF6">
        <w:rPr>
          <w:rFonts w:eastAsia="Times New Roman" w:cs="Arial"/>
          <w:color w:val="auto"/>
          <w:sz w:val="24"/>
          <w:szCs w:val="24"/>
          <w:lang w:val="es-AR" w:eastAsia="es-AR"/>
        </w:rPr>
        <w:t>)</w:t>
      </w:r>
    </w:p>
    <w:p w:rsidR="00C92AF6" w:rsidRDefault="00C92AF6" w:rsidP="00C92AF6">
      <w:pPr>
        <w:numPr>
          <w:ilvl w:val="0"/>
          <w:numId w:val="10"/>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Control de Versiones y Repositorio</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GitHub</w:t>
      </w:r>
    </w:p>
    <w:p w:rsidR="00C92AF6" w:rsidRPr="00C92AF6" w:rsidRDefault="00C92AF6" w:rsidP="00C92AF6">
      <w:pPr>
        <w:spacing w:after="0" w:line="240" w:lineRule="auto"/>
        <w:rPr>
          <w:rFonts w:eastAsia="Times New Roman" w:cs="Arial"/>
          <w:color w:val="auto"/>
          <w:sz w:val="24"/>
          <w:szCs w:val="24"/>
          <w:lang w:val="es-AR" w:eastAsia="es-AR"/>
        </w:rPr>
      </w:pPr>
    </w:p>
    <w:p w:rsidR="00C92AF6" w:rsidRPr="00C92AF6" w:rsidRDefault="00C92AF6" w:rsidP="00C92AF6">
      <w:pPr>
        <w:spacing w:after="180" w:line="240" w:lineRule="auto"/>
        <w:rPr>
          <w:rFonts w:eastAsia="Times New Roman" w:cs="Arial"/>
          <w:b/>
          <w:bCs/>
          <w:color w:val="auto"/>
          <w:sz w:val="24"/>
          <w:szCs w:val="24"/>
          <w:lang w:val="es-AR" w:eastAsia="es-AR"/>
        </w:rPr>
      </w:pPr>
      <w:r w:rsidRPr="00C92AF6">
        <w:rPr>
          <w:rFonts w:eastAsia="Times New Roman" w:cs="Arial"/>
          <w:b/>
          <w:bCs/>
          <w:color w:val="auto"/>
          <w:sz w:val="24"/>
          <w:szCs w:val="24"/>
          <w:lang w:val="es-AR" w:eastAsia="es-AR"/>
        </w:rPr>
        <w:t xml:space="preserve">3. Metodología: CRISP-DM y Trabajo por </w:t>
      </w:r>
      <w:proofErr w:type="spellStart"/>
      <w:r w:rsidRPr="00C92AF6">
        <w:rPr>
          <w:rFonts w:eastAsia="Times New Roman" w:cs="Arial"/>
          <w:b/>
          <w:bCs/>
          <w:color w:val="auto"/>
          <w:sz w:val="24"/>
          <w:szCs w:val="24"/>
          <w:lang w:val="es-AR" w:eastAsia="es-AR"/>
        </w:rPr>
        <w:t>Sprints</w:t>
      </w:r>
      <w:proofErr w:type="spellEnd"/>
    </w:p>
    <w:p w:rsidR="00C92AF6" w:rsidRPr="00C92AF6" w:rsidRDefault="00C92AF6" w:rsidP="00C92AF6">
      <w:pPr>
        <w:spacing w:after="180" w:line="240" w:lineRule="auto"/>
        <w:rPr>
          <w:rFonts w:eastAsia="Times New Roman" w:cs="Arial"/>
          <w:b/>
          <w:bCs/>
          <w:color w:val="auto"/>
          <w:sz w:val="24"/>
          <w:szCs w:val="24"/>
          <w:lang w:val="es-AR" w:eastAsia="es-AR"/>
        </w:rPr>
      </w:pPr>
      <w:r w:rsidRPr="00C92AF6">
        <w:rPr>
          <w:rFonts w:eastAsia="Times New Roman" w:cs="Arial"/>
          <w:b/>
          <w:bCs/>
          <w:color w:val="auto"/>
          <w:sz w:val="24"/>
          <w:szCs w:val="24"/>
          <w:lang w:val="es-AR" w:eastAsia="es-AR"/>
        </w:rPr>
        <w:t>Aplicación del Marco CRISP-DM:</w:t>
      </w:r>
    </w:p>
    <w:p w:rsidR="00C92AF6" w:rsidRPr="00C92AF6" w:rsidRDefault="00C92AF6" w:rsidP="00C92AF6">
      <w:pPr>
        <w:numPr>
          <w:ilvl w:val="0"/>
          <w:numId w:val="11"/>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Comprensión del Negocio</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Definición del problema de riesgo de la cartera y establecimiento de los umbrales de mora crítica (atraso mayor a 90 días).</w:t>
      </w:r>
    </w:p>
    <w:p w:rsidR="00C92AF6" w:rsidRPr="00C92AF6" w:rsidRDefault="00C92AF6" w:rsidP="00C92AF6">
      <w:pPr>
        <w:numPr>
          <w:ilvl w:val="0"/>
          <w:numId w:val="11"/>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Comprensión de los Datos</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Análisis de los atributos </w:t>
      </w:r>
      <w:proofErr w:type="spellStart"/>
      <w:r w:rsidRPr="00C92AF6">
        <w:rPr>
          <w:rFonts w:eastAsia="Times New Roman" w:cs="Arial"/>
          <w:color w:val="auto"/>
          <w:sz w:val="24"/>
          <w:szCs w:val="24"/>
          <w:lang w:val="es-AR" w:eastAsia="es-AR"/>
        </w:rPr>
        <w:t>core</w:t>
      </w:r>
      <w:proofErr w:type="spellEnd"/>
      <w:r w:rsidRPr="00C92AF6">
        <w:rPr>
          <w:rFonts w:eastAsia="Times New Roman" w:cs="Arial"/>
          <w:color w:val="auto"/>
          <w:sz w:val="24"/>
          <w:szCs w:val="24"/>
          <w:lang w:val="es-AR" w:eastAsia="es-AR"/>
        </w:rPr>
        <w:t xml:space="preserve"> de los deudores (situación BCRA, montos de deuda y días de atraso).</w:t>
      </w:r>
    </w:p>
    <w:p w:rsidR="00C92AF6" w:rsidRPr="00C92AF6" w:rsidRDefault="00C92AF6" w:rsidP="00C92AF6">
      <w:pPr>
        <w:numPr>
          <w:ilvl w:val="0"/>
          <w:numId w:val="11"/>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Preparación de los Datos</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Creación de la tabla física real </w:t>
      </w:r>
      <w:proofErr w:type="spellStart"/>
      <w:r w:rsidRPr="00C92AF6">
        <w:rPr>
          <w:rFonts w:eastAsia="Times New Roman" w:cs="Arial"/>
          <w:color w:val="auto"/>
          <w:sz w:val="24"/>
          <w:szCs w:val="24"/>
          <w:lang w:val="es-AR" w:eastAsia="es-AR"/>
        </w:rPr>
        <w:t>deudores_sinteticos</w:t>
      </w:r>
      <w:proofErr w:type="spellEnd"/>
      <w:r w:rsidRPr="00C92AF6">
        <w:rPr>
          <w:rFonts w:eastAsia="Times New Roman" w:cs="Arial"/>
          <w:color w:val="auto"/>
          <w:sz w:val="24"/>
          <w:szCs w:val="24"/>
          <w:lang w:val="es-AR" w:eastAsia="es-AR"/>
        </w:rPr>
        <w:t xml:space="preserve"> aplicando restricciones normativas (CHECK </w:t>
      </w:r>
      <w:proofErr w:type="spellStart"/>
      <w:r w:rsidRPr="00C92AF6">
        <w:rPr>
          <w:rFonts w:eastAsia="Times New Roman" w:cs="Arial"/>
          <w:color w:val="auto"/>
          <w:sz w:val="24"/>
          <w:szCs w:val="24"/>
          <w:lang w:val="es-AR" w:eastAsia="es-AR"/>
        </w:rPr>
        <w:t>constraints</w:t>
      </w:r>
      <w:proofErr w:type="spellEnd"/>
      <w:r w:rsidRPr="00C92AF6">
        <w:rPr>
          <w:rFonts w:eastAsia="Times New Roman" w:cs="Arial"/>
          <w:color w:val="auto"/>
          <w:sz w:val="24"/>
          <w:szCs w:val="24"/>
          <w:lang w:val="es-AR" w:eastAsia="es-AR"/>
        </w:rPr>
        <w:t>) para asegurar la calidad del dato. Inyección automatizada de la volumetría de la hipótesis (12.000 registros).</w:t>
      </w:r>
    </w:p>
    <w:p w:rsidR="00C92AF6" w:rsidRPr="00C92AF6" w:rsidRDefault="00C92AF6" w:rsidP="00C92AF6">
      <w:pPr>
        <w:numPr>
          <w:ilvl w:val="0"/>
          <w:numId w:val="11"/>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Modelado / Análisis</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Diseño y ejecución de la consulta analítica </w:t>
      </w:r>
      <w:proofErr w:type="spellStart"/>
      <w:r w:rsidRPr="00C92AF6">
        <w:rPr>
          <w:rFonts w:eastAsia="Times New Roman" w:cs="Arial"/>
          <w:color w:val="auto"/>
          <w:sz w:val="24"/>
          <w:szCs w:val="24"/>
          <w:lang w:val="es-AR" w:eastAsia="es-AR"/>
        </w:rPr>
        <w:t>core</w:t>
      </w:r>
      <w:proofErr w:type="spellEnd"/>
      <w:r w:rsidRPr="00C92AF6">
        <w:rPr>
          <w:rFonts w:eastAsia="Times New Roman" w:cs="Arial"/>
          <w:color w:val="auto"/>
          <w:sz w:val="24"/>
          <w:szCs w:val="24"/>
          <w:lang w:val="es-AR" w:eastAsia="es-AR"/>
        </w:rPr>
        <w:t xml:space="preserve"> mediante funciones de agregación y agrupamientos jerárquicos.</w:t>
      </w:r>
    </w:p>
    <w:p w:rsidR="00C92AF6" w:rsidRPr="00C92AF6" w:rsidRDefault="00C92AF6" w:rsidP="00C92AF6">
      <w:pPr>
        <w:numPr>
          <w:ilvl w:val="0"/>
          <w:numId w:val="11"/>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Evaluación</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Verificación matemática de la consistencia de las métricas obtenidas (comprobando la trazabilidad de los porcentajes clave del negocio).</w:t>
      </w:r>
    </w:p>
    <w:p w:rsidR="00C92AF6" w:rsidRDefault="00C92AF6" w:rsidP="00C92AF6">
      <w:pPr>
        <w:numPr>
          <w:ilvl w:val="0"/>
          <w:numId w:val="11"/>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Despliegue</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Consolidación y ordenamiento del código en scripts de producción legibles utilizando Visual Studio </w:t>
      </w:r>
      <w:proofErr w:type="spellStart"/>
      <w:r w:rsidRPr="00C92AF6">
        <w:rPr>
          <w:rFonts w:eastAsia="Times New Roman" w:cs="Arial"/>
          <w:color w:val="auto"/>
          <w:sz w:val="24"/>
          <w:szCs w:val="24"/>
          <w:lang w:val="es-AR" w:eastAsia="es-AR"/>
        </w:rPr>
        <w:t>Code</w:t>
      </w:r>
      <w:proofErr w:type="spellEnd"/>
      <w:r w:rsidRPr="00C92AF6">
        <w:rPr>
          <w:rFonts w:eastAsia="Times New Roman" w:cs="Arial"/>
          <w:color w:val="auto"/>
          <w:sz w:val="24"/>
          <w:szCs w:val="24"/>
          <w:lang w:val="es-AR" w:eastAsia="es-AR"/>
        </w:rPr>
        <w:t>, y versionado final en GitHub.</w:t>
      </w:r>
    </w:p>
    <w:p w:rsidR="00C92AF6" w:rsidRPr="00C92AF6" w:rsidRDefault="00C92AF6" w:rsidP="00C92AF6">
      <w:pPr>
        <w:spacing w:after="0" w:line="240" w:lineRule="auto"/>
        <w:rPr>
          <w:rFonts w:eastAsia="Times New Roman" w:cs="Arial"/>
          <w:color w:val="auto"/>
          <w:sz w:val="24"/>
          <w:szCs w:val="24"/>
          <w:lang w:val="es-AR" w:eastAsia="es-AR"/>
        </w:rPr>
      </w:pPr>
    </w:p>
    <w:p w:rsidR="00C92AF6" w:rsidRPr="00C92AF6" w:rsidRDefault="00C92AF6" w:rsidP="00C92AF6">
      <w:pPr>
        <w:spacing w:after="180" w:line="240" w:lineRule="auto"/>
        <w:rPr>
          <w:rFonts w:eastAsia="Times New Roman" w:cs="Arial"/>
          <w:b/>
          <w:bCs/>
          <w:color w:val="auto"/>
          <w:sz w:val="24"/>
          <w:szCs w:val="24"/>
          <w:lang w:val="es-AR" w:eastAsia="es-AR"/>
        </w:rPr>
      </w:pPr>
      <w:r w:rsidRPr="00C92AF6">
        <w:rPr>
          <w:rFonts w:eastAsia="Times New Roman" w:cs="Arial"/>
          <w:b/>
          <w:bCs/>
          <w:color w:val="auto"/>
          <w:sz w:val="24"/>
          <w:szCs w:val="24"/>
          <w:lang w:val="es-AR" w:eastAsia="es-AR"/>
        </w:rPr>
        <w:t xml:space="preserve">Trabajo por </w:t>
      </w:r>
      <w:proofErr w:type="spellStart"/>
      <w:r w:rsidRPr="00C92AF6">
        <w:rPr>
          <w:rFonts w:eastAsia="Times New Roman" w:cs="Arial"/>
          <w:b/>
          <w:bCs/>
          <w:color w:val="auto"/>
          <w:sz w:val="24"/>
          <w:szCs w:val="24"/>
          <w:lang w:val="es-AR" w:eastAsia="es-AR"/>
        </w:rPr>
        <w:t>Sprints</w:t>
      </w:r>
      <w:proofErr w:type="spellEnd"/>
      <w:r w:rsidRPr="00C92AF6">
        <w:rPr>
          <w:rFonts w:eastAsia="Times New Roman" w:cs="Arial"/>
          <w:b/>
          <w:bCs/>
          <w:color w:val="auto"/>
          <w:sz w:val="24"/>
          <w:szCs w:val="24"/>
          <w:lang w:val="es-AR" w:eastAsia="es-AR"/>
        </w:rPr>
        <w:t xml:space="preserve"> (Metodologías Ágiles):</w:t>
      </w:r>
    </w:p>
    <w:p w:rsidR="00C92AF6" w:rsidRPr="00C92AF6" w:rsidRDefault="00C92AF6" w:rsidP="00C92AF6">
      <w:pPr>
        <w:numPr>
          <w:ilvl w:val="0"/>
          <w:numId w:val="12"/>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Sprint 1 (</w:t>
      </w:r>
      <w:proofErr w:type="spellStart"/>
      <w:r w:rsidRPr="00C92AF6">
        <w:rPr>
          <w:rFonts w:eastAsia="Times New Roman" w:cs="Arial"/>
          <w:bCs/>
          <w:color w:val="auto"/>
          <w:sz w:val="24"/>
          <w:szCs w:val="24"/>
          <w:lang w:val="es-AR" w:eastAsia="es-AR"/>
        </w:rPr>
        <w:t>Thin</w:t>
      </w:r>
      <w:proofErr w:type="spellEnd"/>
      <w:r w:rsidRPr="00C92AF6">
        <w:rPr>
          <w:rFonts w:eastAsia="Times New Roman" w:cs="Arial"/>
          <w:bCs/>
          <w:color w:val="auto"/>
          <w:sz w:val="24"/>
          <w:szCs w:val="24"/>
          <w:lang w:val="es-AR" w:eastAsia="es-AR"/>
        </w:rPr>
        <w:t xml:space="preserve"> </w:t>
      </w:r>
      <w:proofErr w:type="spellStart"/>
      <w:r w:rsidRPr="00C92AF6">
        <w:rPr>
          <w:rFonts w:eastAsia="Times New Roman" w:cs="Arial"/>
          <w:bCs/>
          <w:color w:val="auto"/>
          <w:sz w:val="24"/>
          <w:szCs w:val="24"/>
          <w:lang w:val="es-AR" w:eastAsia="es-AR"/>
        </w:rPr>
        <w:t>Slice</w:t>
      </w:r>
      <w:proofErr w:type="spellEnd"/>
      <w:r w:rsidRPr="00C92AF6">
        <w:rPr>
          <w:rFonts w:eastAsia="Times New Roman" w:cs="Arial"/>
          <w:bCs/>
          <w:color w:val="auto"/>
          <w:sz w:val="24"/>
          <w:szCs w:val="24"/>
          <w:lang w:val="es-AR" w:eastAsia="es-AR"/>
        </w:rPr>
        <w:t xml:space="preserve"> / Rebanada Funcional)</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Inicialización de la base de datos, creación del entorno físico real en </w:t>
      </w:r>
      <w:proofErr w:type="spellStart"/>
      <w:r w:rsidRPr="00C92AF6">
        <w:rPr>
          <w:rFonts w:eastAsia="Times New Roman" w:cs="Arial"/>
          <w:color w:val="auto"/>
          <w:sz w:val="24"/>
          <w:szCs w:val="24"/>
          <w:lang w:val="es-AR" w:eastAsia="es-AR"/>
        </w:rPr>
        <w:t>DBeaver</w:t>
      </w:r>
      <w:proofErr w:type="spellEnd"/>
      <w:r w:rsidRPr="00C92AF6">
        <w:rPr>
          <w:rFonts w:eastAsia="Times New Roman" w:cs="Arial"/>
          <w:color w:val="auto"/>
          <w:sz w:val="24"/>
          <w:szCs w:val="24"/>
          <w:lang w:val="es-AR" w:eastAsia="es-AR"/>
        </w:rPr>
        <w:t xml:space="preserve"> y carga masiva de los 12.000 deudores simulando el comportamiento real del mercado.</w:t>
      </w:r>
    </w:p>
    <w:p w:rsidR="00C92AF6" w:rsidRDefault="00C92AF6" w:rsidP="00C92AF6">
      <w:pPr>
        <w:numPr>
          <w:ilvl w:val="0"/>
          <w:numId w:val="12"/>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lastRenderedPageBreak/>
        <w:t>Sprint 2 (Análisis Core e Historia Ejecutiva)</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Desarrollo de la consulta analítica </w:t>
      </w:r>
      <w:proofErr w:type="spellStart"/>
      <w:r w:rsidRPr="00C92AF6">
        <w:rPr>
          <w:rFonts w:eastAsia="Times New Roman" w:cs="Arial"/>
          <w:color w:val="auto"/>
          <w:sz w:val="24"/>
          <w:szCs w:val="24"/>
          <w:lang w:val="es-AR" w:eastAsia="es-AR"/>
        </w:rPr>
        <w:t>core</w:t>
      </w:r>
      <w:proofErr w:type="spellEnd"/>
      <w:r w:rsidRPr="00C92AF6">
        <w:rPr>
          <w:rFonts w:eastAsia="Times New Roman" w:cs="Arial"/>
          <w:color w:val="auto"/>
          <w:sz w:val="24"/>
          <w:szCs w:val="24"/>
          <w:lang w:val="es-AR" w:eastAsia="es-AR"/>
        </w:rPr>
        <w:t xml:space="preserve">, estructuración del espacio de trabajo y archivos de documentación en Visual Studio </w:t>
      </w:r>
      <w:proofErr w:type="spellStart"/>
      <w:r w:rsidRPr="00C92AF6">
        <w:rPr>
          <w:rFonts w:eastAsia="Times New Roman" w:cs="Arial"/>
          <w:color w:val="auto"/>
          <w:sz w:val="24"/>
          <w:szCs w:val="24"/>
          <w:lang w:val="es-AR" w:eastAsia="es-AR"/>
        </w:rPr>
        <w:t>Code</w:t>
      </w:r>
      <w:proofErr w:type="spellEnd"/>
      <w:r w:rsidRPr="00C92AF6">
        <w:rPr>
          <w:rFonts w:eastAsia="Times New Roman" w:cs="Arial"/>
          <w:color w:val="auto"/>
          <w:sz w:val="24"/>
          <w:szCs w:val="24"/>
          <w:lang w:val="es-AR" w:eastAsia="es-AR"/>
        </w:rPr>
        <w:t>, validación de la consistencia matemática de los hallazgos y despliegue del repositorio.</w:t>
      </w:r>
    </w:p>
    <w:p w:rsidR="00C92AF6" w:rsidRPr="00C92AF6" w:rsidRDefault="00C92AF6" w:rsidP="00C92AF6">
      <w:pPr>
        <w:numPr>
          <w:ilvl w:val="0"/>
          <w:numId w:val="12"/>
        </w:numPr>
        <w:spacing w:after="0" w:line="240" w:lineRule="auto"/>
        <w:ind w:left="0"/>
        <w:rPr>
          <w:rFonts w:eastAsia="Times New Roman" w:cs="Arial"/>
          <w:color w:val="auto"/>
          <w:sz w:val="24"/>
          <w:szCs w:val="24"/>
          <w:lang w:val="es-AR" w:eastAsia="es-AR"/>
        </w:rPr>
      </w:pPr>
    </w:p>
    <w:p w:rsidR="00C92AF6" w:rsidRPr="00C92AF6" w:rsidRDefault="00C92AF6" w:rsidP="00C92AF6">
      <w:pPr>
        <w:spacing w:after="180" w:line="240" w:lineRule="auto"/>
        <w:rPr>
          <w:rFonts w:eastAsia="Times New Roman" w:cs="Arial"/>
          <w:b/>
          <w:bCs/>
          <w:color w:val="auto"/>
          <w:sz w:val="24"/>
          <w:szCs w:val="24"/>
          <w:lang w:val="es-AR" w:eastAsia="es-AR"/>
        </w:rPr>
      </w:pPr>
      <w:r w:rsidRPr="00C92AF6">
        <w:rPr>
          <w:rFonts w:eastAsia="Times New Roman" w:cs="Arial"/>
          <w:b/>
          <w:bCs/>
          <w:color w:val="auto"/>
          <w:sz w:val="24"/>
          <w:szCs w:val="24"/>
          <w:lang w:val="es-AR" w:eastAsia="es-AR"/>
        </w:rPr>
        <w:t>4. Hallazgos Clave (Consistencia de Cifras)</w:t>
      </w:r>
    </w:p>
    <w:p w:rsidR="00C92AF6" w:rsidRPr="00C92AF6" w:rsidRDefault="00C92AF6" w:rsidP="00C92AF6">
      <w:pPr>
        <w:spacing w:line="240" w:lineRule="auto"/>
        <w:rPr>
          <w:rFonts w:eastAsia="Times New Roman" w:cs="Arial"/>
          <w:color w:val="auto"/>
          <w:sz w:val="24"/>
          <w:szCs w:val="24"/>
          <w:lang w:val="es-AR" w:eastAsia="es-AR"/>
        </w:rPr>
      </w:pPr>
      <w:r w:rsidRPr="00C92AF6">
        <w:rPr>
          <w:rFonts w:eastAsia="Times New Roman" w:cs="Arial"/>
          <w:color w:val="auto"/>
          <w:sz w:val="24"/>
          <w:szCs w:val="24"/>
          <w:lang w:val="es-AR" w:eastAsia="es-AR"/>
        </w:rPr>
        <w:t>A partir de la ejecución real del código en el motor relacional, se validaron las siguientes conclusiones de negocio:</w:t>
      </w:r>
    </w:p>
    <w:p w:rsidR="00C92AF6" w:rsidRPr="00C92AF6" w:rsidRDefault="00C92AF6" w:rsidP="00C92AF6">
      <w:pPr>
        <w:numPr>
          <w:ilvl w:val="0"/>
          <w:numId w:val="13"/>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Concentración Crítica (Métrica del 64%)</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Las categorías de riesgo más alto (Situaciones 4 y 5 de la escala BCRA) concentran de forma consolidada el </w:t>
      </w:r>
      <w:r w:rsidRPr="00C92AF6">
        <w:rPr>
          <w:rFonts w:eastAsia="Times New Roman" w:cs="Arial"/>
          <w:bCs/>
          <w:color w:val="auto"/>
          <w:sz w:val="24"/>
          <w:szCs w:val="24"/>
          <w:lang w:val="es-AR" w:eastAsia="es-AR"/>
        </w:rPr>
        <w:t>64.00% del saldo total en mora</w:t>
      </w:r>
      <w:r w:rsidRPr="00C92AF6">
        <w:rPr>
          <w:rFonts w:eastAsia="Times New Roman" w:cs="Arial"/>
          <w:color w:val="auto"/>
          <w:sz w:val="24"/>
          <w:szCs w:val="24"/>
          <w:lang w:val="es-AR" w:eastAsia="es-AR"/>
        </w:rPr>
        <w:t xml:space="preserve"> de la institución (ARS 25.51 Millones), requiriendo intervención urgente.</w:t>
      </w:r>
    </w:p>
    <w:p w:rsidR="00C92AF6" w:rsidRPr="00C92AF6" w:rsidRDefault="00C92AF6" w:rsidP="00C92AF6">
      <w:pPr>
        <w:numPr>
          <w:ilvl w:val="0"/>
          <w:numId w:val="13"/>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Alertas Tempranas (Métrica del 78%)</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El </w:t>
      </w:r>
      <w:r w:rsidRPr="00C92AF6">
        <w:rPr>
          <w:rFonts w:eastAsia="Times New Roman" w:cs="Arial"/>
          <w:bCs/>
          <w:color w:val="auto"/>
          <w:sz w:val="24"/>
          <w:szCs w:val="24"/>
          <w:lang w:val="es-AR" w:eastAsia="es-AR"/>
        </w:rPr>
        <w:t>78.00% del volumen financiero irregular</w:t>
      </w:r>
      <w:r w:rsidRPr="00C92AF6">
        <w:rPr>
          <w:rFonts w:eastAsia="Times New Roman" w:cs="Arial"/>
          <w:color w:val="auto"/>
          <w:sz w:val="24"/>
          <w:szCs w:val="24"/>
          <w:lang w:val="es-AR" w:eastAsia="es-AR"/>
        </w:rPr>
        <w:t xml:space="preserve"> con atrasos críticos proviene de clientes que ya habían cruzado la frontera de alerta temprana (Situación 3 o superior).</w:t>
      </w:r>
    </w:p>
    <w:p w:rsidR="00C92AF6" w:rsidRDefault="00C92AF6" w:rsidP="00C92AF6">
      <w:pPr>
        <w:numPr>
          <w:ilvl w:val="0"/>
          <w:numId w:val="13"/>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Comportamiento del Ticket Promedio</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El saldo promedio adeudado por cliente individual </w:t>
      </w:r>
      <w:r w:rsidRPr="00C92AF6">
        <w:rPr>
          <w:rFonts w:eastAsia="Times New Roman" w:cs="Arial"/>
          <w:bCs/>
          <w:color w:val="auto"/>
          <w:sz w:val="24"/>
          <w:szCs w:val="24"/>
          <w:lang w:val="es-AR" w:eastAsia="es-AR"/>
        </w:rPr>
        <w:t>se quintuplica (incremento de 5 veces)</w:t>
      </w:r>
      <w:r w:rsidRPr="00C92AF6">
        <w:rPr>
          <w:rFonts w:eastAsia="Times New Roman" w:cs="Arial"/>
          <w:color w:val="auto"/>
          <w:sz w:val="24"/>
          <w:szCs w:val="24"/>
          <w:lang w:val="es-AR" w:eastAsia="es-AR"/>
        </w:rPr>
        <w:t xml:space="preserve"> de forma exacta a medida que se deteriora la calificación, pasando de un piso de </w:t>
      </w:r>
      <w:r w:rsidRPr="00C92AF6">
        <w:rPr>
          <w:rFonts w:eastAsia="Times New Roman" w:cs="Arial"/>
          <w:bCs/>
          <w:color w:val="auto"/>
          <w:sz w:val="24"/>
          <w:szCs w:val="24"/>
          <w:lang w:val="es-AR" w:eastAsia="es-AR"/>
        </w:rPr>
        <w:t>ARS 5.000,00</w:t>
      </w:r>
      <w:r w:rsidRPr="00C92AF6">
        <w:rPr>
          <w:rFonts w:eastAsia="Times New Roman" w:cs="Arial"/>
          <w:color w:val="auto"/>
          <w:sz w:val="24"/>
          <w:szCs w:val="24"/>
          <w:lang w:val="es-AR" w:eastAsia="es-AR"/>
        </w:rPr>
        <w:t xml:space="preserve"> en Situación 1 a un techo de </w:t>
      </w:r>
      <w:r w:rsidRPr="00C92AF6">
        <w:rPr>
          <w:rFonts w:eastAsia="Times New Roman" w:cs="Arial"/>
          <w:bCs/>
          <w:color w:val="auto"/>
          <w:sz w:val="24"/>
          <w:szCs w:val="24"/>
          <w:lang w:val="es-AR" w:eastAsia="es-AR"/>
        </w:rPr>
        <w:t>ARS 25.000,00</w:t>
      </w:r>
      <w:r w:rsidRPr="00C92AF6">
        <w:rPr>
          <w:rFonts w:eastAsia="Times New Roman" w:cs="Arial"/>
          <w:color w:val="auto"/>
          <w:sz w:val="24"/>
          <w:szCs w:val="24"/>
          <w:lang w:val="es-AR" w:eastAsia="es-AR"/>
        </w:rPr>
        <w:t xml:space="preserve"> en Situación 5.</w:t>
      </w:r>
    </w:p>
    <w:p w:rsidR="00C92AF6" w:rsidRPr="00C92AF6" w:rsidRDefault="00C92AF6" w:rsidP="00C92AF6">
      <w:pPr>
        <w:numPr>
          <w:ilvl w:val="0"/>
          <w:numId w:val="13"/>
        </w:numPr>
        <w:spacing w:after="0" w:line="240" w:lineRule="auto"/>
        <w:ind w:left="0"/>
        <w:rPr>
          <w:rFonts w:eastAsia="Times New Roman" w:cs="Arial"/>
          <w:color w:val="auto"/>
          <w:sz w:val="24"/>
          <w:szCs w:val="24"/>
          <w:lang w:val="es-AR" w:eastAsia="es-AR"/>
        </w:rPr>
      </w:pPr>
    </w:p>
    <w:p w:rsidR="00C92AF6" w:rsidRPr="00C92AF6" w:rsidRDefault="00C92AF6" w:rsidP="00C92AF6">
      <w:pPr>
        <w:spacing w:after="180" w:line="240" w:lineRule="auto"/>
        <w:rPr>
          <w:rFonts w:eastAsia="Times New Roman" w:cs="Arial"/>
          <w:b/>
          <w:bCs/>
          <w:color w:val="auto"/>
          <w:sz w:val="24"/>
          <w:szCs w:val="24"/>
          <w:lang w:val="es-AR" w:eastAsia="es-AR"/>
        </w:rPr>
      </w:pPr>
      <w:r w:rsidRPr="00C92AF6">
        <w:rPr>
          <w:rFonts w:eastAsia="Times New Roman" w:cs="Arial"/>
          <w:b/>
          <w:bCs/>
          <w:color w:val="auto"/>
          <w:sz w:val="24"/>
          <w:szCs w:val="24"/>
          <w:lang w:val="es-AR" w:eastAsia="es-AR"/>
        </w:rPr>
        <w:t>5. Cómo Ejecutar el Proyecto (Instrucciones Mínimas)</w:t>
      </w:r>
    </w:p>
    <w:p w:rsidR="00C92AF6" w:rsidRPr="00C92AF6" w:rsidRDefault="00C92AF6" w:rsidP="00C92AF6">
      <w:pPr>
        <w:spacing w:line="240" w:lineRule="auto"/>
        <w:rPr>
          <w:rFonts w:eastAsia="Times New Roman" w:cs="Arial"/>
          <w:color w:val="auto"/>
          <w:sz w:val="24"/>
          <w:szCs w:val="24"/>
          <w:lang w:val="es-AR" w:eastAsia="es-AR"/>
        </w:rPr>
      </w:pPr>
      <w:r w:rsidRPr="00C92AF6">
        <w:rPr>
          <w:rFonts w:eastAsia="Times New Roman" w:cs="Arial"/>
          <w:color w:val="auto"/>
          <w:sz w:val="24"/>
          <w:szCs w:val="24"/>
          <w:lang w:val="es-AR" w:eastAsia="es-AR"/>
        </w:rPr>
        <w:t>Para replicar este análisis y auditar los resultados obtenidos, siga estos pasos dentro de su entorno de desarrollo:</w:t>
      </w:r>
    </w:p>
    <w:p w:rsidR="00C92AF6" w:rsidRPr="00C92AF6" w:rsidRDefault="00C92AF6" w:rsidP="00C92AF6">
      <w:pPr>
        <w:numPr>
          <w:ilvl w:val="0"/>
          <w:numId w:val="14"/>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Configurar el Espacio de Trabajo</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Abra la carpeta de su proyecto en Visual Studio </w:t>
      </w:r>
      <w:proofErr w:type="spellStart"/>
      <w:r w:rsidRPr="00C92AF6">
        <w:rPr>
          <w:rFonts w:eastAsia="Times New Roman" w:cs="Arial"/>
          <w:color w:val="auto"/>
          <w:sz w:val="24"/>
          <w:szCs w:val="24"/>
          <w:lang w:val="es-AR" w:eastAsia="es-AR"/>
        </w:rPr>
        <w:t>Code</w:t>
      </w:r>
      <w:proofErr w:type="spellEnd"/>
      <w:r w:rsidRPr="00C92AF6">
        <w:rPr>
          <w:rFonts w:eastAsia="Times New Roman" w:cs="Arial"/>
          <w:color w:val="auto"/>
          <w:sz w:val="24"/>
          <w:szCs w:val="24"/>
          <w:lang w:val="es-AR" w:eastAsia="es-AR"/>
        </w:rPr>
        <w:t xml:space="preserve"> para editar y mantener organizados los scripts .</w:t>
      </w:r>
      <w:proofErr w:type="spellStart"/>
      <w:r w:rsidRPr="00C92AF6">
        <w:rPr>
          <w:rFonts w:eastAsia="Times New Roman" w:cs="Arial"/>
          <w:color w:val="auto"/>
          <w:sz w:val="24"/>
          <w:szCs w:val="24"/>
          <w:lang w:val="es-AR" w:eastAsia="es-AR"/>
        </w:rPr>
        <w:t>sql</w:t>
      </w:r>
      <w:proofErr w:type="spellEnd"/>
      <w:r w:rsidRPr="00C92AF6">
        <w:rPr>
          <w:rFonts w:eastAsia="Times New Roman" w:cs="Arial"/>
          <w:color w:val="auto"/>
          <w:sz w:val="24"/>
          <w:szCs w:val="24"/>
          <w:lang w:val="es-AR" w:eastAsia="es-AR"/>
        </w:rPr>
        <w:t xml:space="preserve"> y archivos de documentación .md.</w:t>
      </w:r>
    </w:p>
    <w:p w:rsidR="00C92AF6" w:rsidRPr="00C92AF6" w:rsidRDefault="00C92AF6" w:rsidP="00C92AF6">
      <w:pPr>
        <w:numPr>
          <w:ilvl w:val="0"/>
          <w:numId w:val="14"/>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Crear la Base de Datos</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Abra </w:t>
      </w:r>
      <w:proofErr w:type="spellStart"/>
      <w:r w:rsidRPr="00C92AF6">
        <w:rPr>
          <w:rFonts w:eastAsia="Times New Roman" w:cs="Arial"/>
          <w:color w:val="auto"/>
          <w:sz w:val="24"/>
          <w:szCs w:val="24"/>
          <w:lang w:val="es-AR" w:eastAsia="es-AR"/>
        </w:rPr>
        <w:t>DBeaver</w:t>
      </w:r>
      <w:proofErr w:type="spellEnd"/>
      <w:r w:rsidRPr="00C92AF6">
        <w:rPr>
          <w:rFonts w:eastAsia="Times New Roman" w:cs="Arial"/>
          <w:color w:val="auto"/>
          <w:sz w:val="24"/>
          <w:szCs w:val="24"/>
          <w:lang w:val="es-AR" w:eastAsia="es-AR"/>
        </w:rPr>
        <w:t xml:space="preserve">, conéctese a su servidor </w:t>
      </w:r>
      <w:proofErr w:type="spellStart"/>
      <w:r w:rsidRPr="00C92AF6">
        <w:rPr>
          <w:rFonts w:eastAsia="Times New Roman" w:cs="Arial"/>
          <w:color w:val="auto"/>
          <w:sz w:val="24"/>
          <w:szCs w:val="24"/>
          <w:lang w:val="es-AR" w:eastAsia="es-AR"/>
        </w:rPr>
        <w:t>PostgreSQL</w:t>
      </w:r>
      <w:proofErr w:type="spellEnd"/>
      <w:r w:rsidRPr="00C92AF6">
        <w:rPr>
          <w:rFonts w:eastAsia="Times New Roman" w:cs="Arial"/>
          <w:color w:val="auto"/>
          <w:sz w:val="24"/>
          <w:szCs w:val="24"/>
          <w:lang w:val="es-AR" w:eastAsia="es-AR"/>
        </w:rPr>
        <w:t xml:space="preserve"> y ejecute la sentencia para inicializar la base de datos llamada </w:t>
      </w:r>
      <w:proofErr w:type="spellStart"/>
      <w:r w:rsidRPr="00C92AF6">
        <w:rPr>
          <w:rFonts w:eastAsia="Times New Roman" w:cs="Arial"/>
          <w:color w:val="auto"/>
          <w:sz w:val="24"/>
          <w:szCs w:val="24"/>
          <w:lang w:val="es-AR" w:eastAsia="es-AR"/>
        </w:rPr>
        <w:t>consulta_analitica_db</w:t>
      </w:r>
      <w:proofErr w:type="spellEnd"/>
      <w:r w:rsidRPr="00C92AF6">
        <w:rPr>
          <w:rFonts w:eastAsia="Times New Roman" w:cs="Arial"/>
          <w:color w:val="auto"/>
          <w:sz w:val="24"/>
          <w:szCs w:val="24"/>
          <w:lang w:val="es-AR" w:eastAsia="es-AR"/>
        </w:rPr>
        <w:t>.</w:t>
      </w:r>
    </w:p>
    <w:p w:rsidR="00C92AF6" w:rsidRPr="00C92AF6" w:rsidRDefault="00C92AF6" w:rsidP="00C92AF6">
      <w:pPr>
        <w:numPr>
          <w:ilvl w:val="0"/>
          <w:numId w:val="14"/>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Crear la Estructura e Inyectar Datos</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Desde </w:t>
      </w:r>
      <w:proofErr w:type="spellStart"/>
      <w:r w:rsidRPr="00C92AF6">
        <w:rPr>
          <w:rFonts w:eastAsia="Times New Roman" w:cs="Arial"/>
          <w:color w:val="auto"/>
          <w:sz w:val="24"/>
          <w:szCs w:val="24"/>
          <w:lang w:val="es-AR" w:eastAsia="es-AR"/>
        </w:rPr>
        <w:t>DBeaver</w:t>
      </w:r>
      <w:proofErr w:type="spellEnd"/>
      <w:r w:rsidRPr="00C92AF6">
        <w:rPr>
          <w:rFonts w:eastAsia="Times New Roman" w:cs="Arial"/>
          <w:color w:val="auto"/>
          <w:sz w:val="24"/>
          <w:szCs w:val="24"/>
          <w:lang w:val="es-AR" w:eastAsia="es-AR"/>
        </w:rPr>
        <w:t xml:space="preserve">, abra un editor SQL apuntando a la nueva base de datos y ejecute el script completo (guardado en su archivo </w:t>
      </w:r>
      <w:proofErr w:type="spellStart"/>
      <w:r w:rsidRPr="00C92AF6">
        <w:rPr>
          <w:rFonts w:eastAsia="Times New Roman" w:cs="Arial"/>
          <w:color w:val="auto"/>
          <w:sz w:val="24"/>
          <w:szCs w:val="24"/>
          <w:lang w:val="es-AR" w:eastAsia="es-AR"/>
        </w:rPr>
        <w:t>script_analitica_morosidad.sql</w:t>
      </w:r>
      <w:proofErr w:type="spellEnd"/>
      <w:r w:rsidRPr="00C92AF6">
        <w:rPr>
          <w:rFonts w:eastAsia="Times New Roman" w:cs="Arial"/>
          <w:color w:val="auto"/>
          <w:sz w:val="24"/>
          <w:szCs w:val="24"/>
          <w:lang w:val="es-AR" w:eastAsia="es-AR"/>
        </w:rPr>
        <w:t xml:space="preserve"> en VS </w:t>
      </w:r>
      <w:proofErr w:type="spellStart"/>
      <w:r w:rsidRPr="00C92AF6">
        <w:rPr>
          <w:rFonts w:eastAsia="Times New Roman" w:cs="Arial"/>
          <w:color w:val="auto"/>
          <w:sz w:val="24"/>
          <w:szCs w:val="24"/>
          <w:lang w:val="es-AR" w:eastAsia="es-AR"/>
        </w:rPr>
        <w:t>Code</w:t>
      </w:r>
      <w:proofErr w:type="spellEnd"/>
      <w:r w:rsidRPr="00C92AF6">
        <w:rPr>
          <w:rFonts w:eastAsia="Times New Roman" w:cs="Arial"/>
          <w:color w:val="auto"/>
          <w:sz w:val="24"/>
          <w:szCs w:val="24"/>
          <w:lang w:val="es-AR" w:eastAsia="es-AR"/>
        </w:rPr>
        <w:t xml:space="preserve">) para generar los 12.000 registros mediante la función </w:t>
      </w:r>
      <w:proofErr w:type="spellStart"/>
      <w:r w:rsidRPr="00C92AF6">
        <w:rPr>
          <w:rFonts w:eastAsia="Times New Roman" w:cs="Arial"/>
          <w:color w:val="auto"/>
          <w:sz w:val="24"/>
          <w:szCs w:val="24"/>
          <w:lang w:val="es-AR" w:eastAsia="es-AR"/>
        </w:rPr>
        <w:t>generate_series</w:t>
      </w:r>
      <w:proofErr w:type="spellEnd"/>
      <w:r w:rsidRPr="00C92AF6">
        <w:rPr>
          <w:rFonts w:eastAsia="Times New Roman" w:cs="Arial"/>
          <w:color w:val="auto"/>
          <w:sz w:val="24"/>
          <w:szCs w:val="24"/>
          <w:lang w:val="es-AR" w:eastAsia="es-AR"/>
        </w:rPr>
        <w:t>.</w:t>
      </w:r>
    </w:p>
    <w:p w:rsidR="00C92AF6" w:rsidRDefault="00C92AF6" w:rsidP="00C92AF6">
      <w:pPr>
        <w:numPr>
          <w:ilvl w:val="0"/>
          <w:numId w:val="14"/>
        </w:numPr>
        <w:spacing w:after="0" w:line="240" w:lineRule="auto"/>
        <w:ind w:left="0"/>
        <w:rPr>
          <w:rFonts w:eastAsia="Times New Roman" w:cs="Arial"/>
          <w:color w:val="auto"/>
          <w:sz w:val="24"/>
          <w:szCs w:val="24"/>
          <w:lang w:val="es-AR" w:eastAsia="es-AR"/>
        </w:rPr>
      </w:pPr>
      <w:r w:rsidRPr="00C92AF6">
        <w:rPr>
          <w:rFonts w:eastAsia="Times New Roman" w:cs="Arial"/>
          <w:bCs/>
          <w:color w:val="auto"/>
          <w:sz w:val="24"/>
          <w:szCs w:val="24"/>
          <w:lang w:val="es-AR" w:eastAsia="es-AR"/>
        </w:rPr>
        <w:t>Correr la Consulta Analítica Core</w:t>
      </w:r>
      <w:r w:rsidRPr="00C92AF6">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xml:space="preserve"> Para obtener la grilla final de resultados, ejecute en su motor de base de datos la consulta analítica para agrupar por situación de deudor y calcular las tasas de morosidad exactas de cada segmento.</w:t>
      </w:r>
    </w:p>
    <w:p w:rsidR="00C92AF6" w:rsidRPr="00C92AF6" w:rsidRDefault="00C92AF6" w:rsidP="00C92AF6">
      <w:pPr>
        <w:numPr>
          <w:ilvl w:val="0"/>
          <w:numId w:val="14"/>
        </w:numPr>
        <w:spacing w:after="0" w:line="240" w:lineRule="auto"/>
        <w:ind w:left="0"/>
        <w:rPr>
          <w:rFonts w:eastAsia="Times New Roman" w:cs="Arial"/>
          <w:color w:val="auto"/>
          <w:sz w:val="24"/>
          <w:szCs w:val="24"/>
          <w:lang w:val="es-AR" w:eastAsia="es-AR"/>
        </w:rPr>
      </w:pPr>
    </w:p>
    <w:p w:rsidR="00C92AF6" w:rsidRPr="00C92AF6" w:rsidRDefault="00C92AF6" w:rsidP="00C92AF6">
      <w:pPr>
        <w:spacing w:after="180" w:line="240" w:lineRule="auto"/>
        <w:rPr>
          <w:rFonts w:eastAsia="Times New Roman" w:cs="Arial"/>
          <w:b/>
          <w:bCs/>
          <w:color w:val="auto"/>
          <w:sz w:val="24"/>
          <w:szCs w:val="24"/>
          <w:lang w:val="es-AR" w:eastAsia="es-AR"/>
        </w:rPr>
      </w:pPr>
      <w:r w:rsidRPr="00C92AF6">
        <w:rPr>
          <w:rFonts w:eastAsia="Times New Roman" w:cs="Arial"/>
          <w:b/>
          <w:bCs/>
          <w:color w:val="auto"/>
          <w:sz w:val="24"/>
          <w:szCs w:val="24"/>
          <w:lang w:val="es-AR" w:eastAsia="es-AR"/>
        </w:rPr>
        <w:t>Enlaces del Proyecto</w:t>
      </w:r>
    </w:p>
    <w:p w:rsidR="00C92AF6" w:rsidRPr="00C92AF6" w:rsidRDefault="00C92AF6" w:rsidP="00C92AF6">
      <w:pPr>
        <w:numPr>
          <w:ilvl w:val="0"/>
          <w:numId w:val="15"/>
        </w:numPr>
        <w:spacing w:after="0" w:line="240" w:lineRule="auto"/>
        <w:rPr>
          <w:rFonts w:eastAsia="Times New Roman" w:cs="Arial"/>
          <w:color w:val="auto"/>
          <w:sz w:val="24"/>
          <w:szCs w:val="24"/>
          <w:lang w:val="es-AR" w:eastAsia="es-AR"/>
        </w:rPr>
      </w:pPr>
      <w:r w:rsidRPr="00C92AF6">
        <w:rPr>
          <w:rFonts w:eastAsia="Times New Roman" w:cs="Arial"/>
          <w:b/>
          <w:bCs/>
          <w:color w:val="auto"/>
          <w:sz w:val="24"/>
          <w:szCs w:val="24"/>
          <w:lang w:val="es-AR" w:eastAsia="es-AR"/>
        </w:rPr>
        <w:t>Repositorio GitHub:</w:t>
      </w:r>
      <w:r w:rsidRPr="00C92AF6">
        <w:rPr>
          <w:rFonts w:eastAsia="Times New Roman" w:cs="Arial"/>
          <w:color w:val="auto"/>
          <w:sz w:val="24"/>
          <w:szCs w:val="24"/>
          <w:lang w:val="es-AR" w:eastAsia="es-AR"/>
        </w:rPr>
        <w:t xml:space="preserve"> https://github.com/betod26-cyber/control-morosidad-bcra</w:t>
      </w:r>
    </w:p>
    <w:p w:rsidR="000E55A8" w:rsidRDefault="00D7207B">
      <w:r>
        <w:br w:type="page"/>
      </w:r>
    </w:p>
    <w:p w:rsidR="000E55A8" w:rsidRDefault="00D7207B" w:rsidP="00801B83">
      <w:r>
        <w:rPr>
          <w:b/>
          <w:color w:val="1B365D"/>
          <w:sz w:val="32"/>
        </w:rPr>
        <w:lastRenderedPageBreak/>
        <w:t>SECCIÓN 4 — RETROSPECTIVA PDCA</w:t>
      </w:r>
    </w:p>
    <w:p w:rsidR="00C92AF6" w:rsidRPr="00C92AF6" w:rsidRDefault="00C92AF6" w:rsidP="00C92AF6">
      <w:pPr>
        <w:spacing w:line="240" w:lineRule="auto"/>
        <w:rPr>
          <w:rFonts w:eastAsia="Times New Roman" w:cs="Arial"/>
          <w:color w:val="auto"/>
          <w:sz w:val="24"/>
          <w:szCs w:val="24"/>
          <w:lang w:val="es-AR" w:eastAsia="es-AR"/>
        </w:rPr>
      </w:pPr>
      <w:r w:rsidRPr="00C92AF6">
        <w:rPr>
          <w:rFonts w:eastAsia="Times New Roman" w:cs="Arial"/>
          <w:color w:val="auto"/>
          <w:sz w:val="24"/>
          <w:szCs w:val="24"/>
          <w:lang w:val="es-AR" w:eastAsia="es-AR"/>
        </w:rPr>
        <w:t xml:space="preserve">El desarrollo del presente proyecto se rigió bajo el marco metodológico del ciclo de mejora continua </w:t>
      </w:r>
      <w:r w:rsidRPr="00D7207B">
        <w:rPr>
          <w:rFonts w:eastAsia="Times New Roman" w:cs="Arial"/>
          <w:b/>
          <w:bCs/>
          <w:color w:val="auto"/>
          <w:sz w:val="24"/>
          <w:szCs w:val="24"/>
          <w:lang w:val="es-AR" w:eastAsia="es-AR"/>
        </w:rPr>
        <w:t>PDCA (Plan-Do-</w:t>
      </w:r>
      <w:proofErr w:type="spellStart"/>
      <w:r w:rsidRPr="00D7207B">
        <w:rPr>
          <w:rFonts w:eastAsia="Times New Roman" w:cs="Arial"/>
          <w:b/>
          <w:bCs/>
          <w:color w:val="auto"/>
          <w:sz w:val="24"/>
          <w:szCs w:val="24"/>
          <w:lang w:val="es-AR" w:eastAsia="es-AR"/>
        </w:rPr>
        <w:t>Check</w:t>
      </w:r>
      <w:proofErr w:type="spellEnd"/>
      <w:r w:rsidRPr="00D7207B">
        <w:rPr>
          <w:rFonts w:eastAsia="Times New Roman" w:cs="Arial"/>
          <w:b/>
          <w:bCs/>
          <w:color w:val="auto"/>
          <w:sz w:val="24"/>
          <w:szCs w:val="24"/>
          <w:lang w:val="es-AR" w:eastAsia="es-AR"/>
        </w:rPr>
        <w:t>-</w:t>
      </w:r>
      <w:proofErr w:type="spellStart"/>
      <w:r w:rsidRPr="00D7207B">
        <w:rPr>
          <w:rFonts w:eastAsia="Times New Roman" w:cs="Arial"/>
          <w:b/>
          <w:bCs/>
          <w:color w:val="auto"/>
          <w:sz w:val="24"/>
          <w:szCs w:val="24"/>
          <w:lang w:val="es-AR" w:eastAsia="es-AR"/>
        </w:rPr>
        <w:t>Act</w:t>
      </w:r>
      <w:proofErr w:type="spellEnd"/>
      <w:r w:rsidRPr="00D7207B">
        <w:rPr>
          <w:rFonts w:eastAsia="Times New Roman" w:cs="Arial"/>
          <w:b/>
          <w:bCs/>
          <w:color w:val="auto"/>
          <w:sz w:val="24"/>
          <w:szCs w:val="24"/>
          <w:lang w:val="es-AR" w:eastAsia="es-AR"/>
        </w:rPr>
        <w:t>)</w:t>
      </w:r>
      <w:r w:rsidRPr="00C92AF6">
        <w:rPr>
          <w:rFonts w:eastAsia="Times New Roman" w:cs="Arial"/>
          <w:color w:val="auto"/>
          <w:sz w:val="24"/>
          <w:szCs w:val="24"/>
          <w:lang w:val="es-AR" w:eastAsia="es-AR"/>
        </w:rPr>
        <w:t>. Esto permitió estructurar el aprendizaje ágil y corregir de forma iterativa los desvíos detectados en el análisis del riesgo crediticio de la cartera:</w:t>
      </w:r>
    </w:p>
    <w:p w:rsidR="00C92AF6" w:rsidRDefault="00C92AF6" w:rsidP="00C92AF6">
      <w:pPr>
        <w:numPr>
          <w:ilvl w:val="0"/>
          <w:numId w:val="16"/>
        </w:numPr>
        <w:spacing w:after="0" w:line="240" w:lineRule="auto"/>
        <w:ind w:left="0"/>
        <w:rPr>
          <w:rFonts w:eastAsia="Times New Roman" w:cs="Arial"/>
          <w:color w:val="auto"/>
          <w:sz w:val="24"/>
          <w:szCs w:val="24"/>
          <w:lang w:val="es-AR" w:eastAsia="es-AR"/>
        </w:rPr>
      </w:pPr>
      <w:r w:rsidRPr="00D7207B">
        <w:rPr>
          <w:rFonts w:eastAsia="Times New Roman" w:cs="Arial"/>
          <w:b/>
          <w:bCs/>
          <w:color w:val="auto"/>
          <w:sz w:val="24"/>
          <w:szCs w:val="24"/>
          <w:lang w:val="es-AR" w:eastAsia="es-AR"/>
        </w:rPr>
        <w:t>PLAN (Planificar):</w:t>
      </w:r>
      <w:r w:rsidRPr="00D7207B">
        <w:rPr>
          <w:rFonts w:eastAsia="Times New Roman" w:cs="Arial"/>
          <w:color w:val="auto"/>
          <w:sz w:val="24"/>
          <w:szCs w:val="24"/>
          <w:lang w:val="es-AR" w:eastAsia="es-AR"/>
        </w:rPr>
        <w:t xml:space="preserve"> Se diseñó la estrategia analítica para auditar de forma masiva la cartera de 12.000 clientes activos. En esta fase se definieron las métricas </w:t>
      </w:r>
      <w:proofErr w:type="spellStart"/>
      <w:r w:rsidRPr="00D7207B">
        <w:rPr>
          <w:rFonts w:eastAsia="Times New Roman" w:cs="Arial"/>
          <w:color w:val="auto"/>
          <w:sz w:val="24"/>
          <w:szCs w:val="24"/>
          <w:lang w:val="es-AR" w:eastAsia="es-AR"/>
        </w:rPr>
        <w:t>core</w:t>
      </w:r>
      <w:proofErr w:type="spellEnd"/>
      <w:r w:rsidRPr="00D7207B">
        <w:rPr>
          <w:rFonts w:eastAsia="Times New Roman" w:cs="Arial"/>
          <w:color w:val="auto"/>
          <w:sz w:val="24"/>
          <w:szCs w:val="24"/>
          <w:lang w:val="es-AR" w:eastAsia="es-AR"/>
        </w:rPr>
        <w:t xml:space="preserve"> del negocio (tasa de morosidad por tramo y evolución del ticket promedio de deuda) y se estructuraron las restricciones normativas de control (</w:t>
      </w:r>
      <w:proofErr w:type="spellStart"/>
      <w:r w:rsidRPr="00D7207B">
        <w:rPr>
          <w:rFonts w:eastAsia="Times New Roman" w:cs="Arial"/>
          <w:color w:val="auto"/>
          <w:sz w:val="24"/>
          <w:szCs w:val="24"/>
          <w:lang w:val="es-AR" w:eastAsia="es-AR"/>
        </w:rPr>
        <w:t>Constraints</w:t>
      </w:r>
      <w:proofErr w:type="spellEnd"/>
      <w:r w:rsidRPr="00D7207B">
        <w:rPr>
          <w:rFonts w:eastAsia="Times New Roman" w:cs="Arial"/>
          <w:color w:val="auto"/>
          <w:sz w:val="24"/>
          <w:szCs w:val="24"/>
          <w:lang w:val="es-AR" w:eastAsia="es-AR"/>
        </w:rPr>
        <w:t xml:space="preserve"> del motor) para asegurar que ningún registro posea deudas negativas o situaciones fuera de la escala oficial del BCRA.</w:t>
      </w:r>
    </w:p>
    <w:p w:rsidR="00D7207B" w:rsidRPr="00C92AF6" w:rsidRDefault="00D7207B" w:rsidP="00D7207B">
      <w:pPr>
        <w:spacing w:after="0" w:line="240" w:lineRule="auto"/>
        <w:rPr>
          <w:rFonts w:eastAsia="Times New Roman" w:cs="Arial"/>
          <w:color w:val="auto"/>
          <w:sz w:val="24"/>
          <w:szCs w:val="24"/>
          <w:lang w:val="es-AR" w:eastAsia="es-AR"/>
        </w:rPr>
      </w:pPr>
    </w:p>
    <w:p w:rsidR="00C92AF6" w:rsidRDefault="00C92AF6" w:rsidP="00C92AF6">
      <w:pPr>
        <w:numPr>
          <w:ilvl w:val="0"/>
          <w:numId w:val="16"/>
        </w:numPr>
        <w:spacing w:after="0" w:line="240" w:lineRule="auto"/>
        <w:ind w:left="0"/>
        <w:rPr>
          <w:rFonts w:eastAsia="Times New Roman" w:cs="Arial"/>
          <w:color w:val="auto"/>
          <w:sz w:val="24"/>
          <w:szCs w:val="24"/>
          <w:lang w:val="es-AR" w:eastAsia="es-AR"/>
        </w:rPr>
      </w:pPr>
      <w:r w:rsidRPr="00D7207B">
        <w:rPr>
          <w:rFonts w:eastAsia="Times New Roman" w:cs="Arial"/>
          <w:b/>
          <w:bCs/>
          <w:color w:val="auto"/>
          <w:sz w:val="24"/>
          <w:szCs w:val="24"/>
          <w:lang w:val="es-AR" w:eastAsia="es-AR"/>
        </w:rPr>
        <w:t>DO (Hacer):</w:t>
      </w:r>
      <w:r w:rsidRPr="00D7207B">
        <w:rPr>
          <w:rFonts w:eastAsia="Times New Roman" w:cs="Arial"/>
          <w:color w:val="auto"/>
          <w:sz w:val="24"/>
          <w:szCs w:val="24"/>
          <w:lang w:val="es-AR" w:eastAsia="es-AR"/>
        </w:rPr>
        <w:t xml:space="preserve"> Se realizó la ejecución física de la rebanada funcional (</w:t>
      </w:r>
      <w:proofErr w:type="spellStart"/>
      <w:r w:rsidRPr="00D7207B">
        <w:rPr>
          <w:rFonts w:eastAsia="Times New Roman" w:cs="Arial"/>
          <w:color w:val="auto"/>
          <w:sz w:val="24"/>
          <w:szCs w:val="24"/>
          <w:lang w:val="es-AR" w:eastAsia="es-AR"/>
        </w:rPr>
        <w:t>Thin</w:t>
      </w:r>
      <w:proofErr w:type="spellEnd"/>
      <w:r w:rsidRPr="00D7207B">
        <w:rPr>
          <w:rFonts w:eastAsia="Times New Roman" w:cs="Arial"/>
          <w:color w:val="auto"/>
          <w:sz w:val="24"/>
          <w:szCs w:val="24"/>
          <w:lang w:val="es-AR" w:eastAsia="es-AR"/>
        </w:rPr>
        <w:t xml:space="preserve"> </w:t>
      </w:r>
      <w:proofErr w:type="spellStart"/>
      <w:r w:rsidRPr="00D7207B">
        <w:rPr>
          <w:rFonts w:eastAsia="Times New Roman" w:cs="Arial"/>
          <w:color w:val="auto"/>
          <w:sz w:val="24"/>
          <w:szCs w:val="24"/>
          <w:lang w:val="es-AR" w:eastAsia="es-AR"/>
        </w:rPr>
        <w:t>Slice</w:t>
      </w:r>
      <w:proofErr w:type="spellEnd"/>
      <w:r w:rsidRPr="00D7207B">
        <w:rPr>
          <w:rFonts w:eastAsia="Times New Roman" w:cs="Arial"/>
          <w:color w:val="auto"/>
          <w:sz w:val="24"/>
          <w:szCs w:val="24"/>
          <w:lang w:val="es-AR" w:eastAsia="es-AR"/>
        </w:rPr>
        <w:t xml:space="preserve">) sobre el motor relacional </w:t>
      </w:r>
      <w:proofErr w:type="spellStart"/>
      <w:r w:rsidRPr="00D7207B">
        <w:rPr>
          <w:rFonts w:eastAsia="Times New Roman" w:cs="Arial"/>
          <w:color w:val="auto"/>
          <w:sz w:val="24"/>
          <w:szCs w:val="24"/>
          <w:lang w:val="es-AR" w:eastAsia="es-AR"/>
        </w:rPr>
        <w:t>PostgreSQL</w:t>
      </w:r>
      <w:proofErr w:type="spellEnd"/>
      <w:r w:rsidRPr="00D7207B">
        <w:rPr>
          <w:rFonts w:eastAsia="Times New Roman" w:cs="Arial"/>
          <w:color w:val="auto"/>
          <w:sz w:val="24"/>
          <w:szCs w:val="24"/>
          <w:lang w:val="es-AR" w:eastAsia="es-AR"/>
        </w:rPr>
        <w:t xml:space="preserve">, utilizando de forma integrada Visual Studio </w:t>
      </w:r>
      <w:proofErr w:type="spellStart"/>
      <w:r w:rsidRPr="00D7207B">
        <w:rPr>
          <w:rFonts w:eastAsia="Times New Roman" w:cs="Arial"/>
          <w:color w:val="auto"/>
          <w:sz w:val="24"/>
          <w:szCs w:val="24"/>
          <w:lang w:val="es-AR" w:eastAsia="es-AR"/>
        </w:rPr>
        <w:t>Code</w:t>
      </w:r>
      <w:proofErr w:type="spellEnd"/>
      <w:r w:rsidRPr="00D7207B">
        <w:rPr>
          <w:rFonts w:eastAsia="Times New Roman" w:cs="Arial"/>
          <w:color w:val="auto"/>
          <w:sz w:val="24"/>
          <w:szCs w:val="24"/>
          <w:lang w:val="es-AR" w:eastAsia="es-AR"/>
        </w:rPr>
        <w:t xml:space="preserve"> para el ordenamiento del código y </w:t>
      </w:r>
      <w:proofErr w:type="spellStart"/>
      <w:r w:rsidRPr="00D7207B">
        <w:rPr>
          <w:rFonts w:eastAsia="Times New Roman" w:cs="Arial"/>
          <w:color w:val="auto"/>
          <w:sz w:val="24"/>
          <w:szCs w:val="24"/>
          <w:lang w:val="es-AR" w:eastAsia="es-AR"/>
        </w:rPr>
        <w:t>DBeaver</w:t>
      </w:r>
      <w:proofErr w:type="spellEnd"/>
      <w:r w:rsidRPr="00D7207B">
        <w:rPr>
          <w:rFonts w:eastAsia="Times New Roman" w:cs="Arial"/>
          <w:color w:val="auto"/>
          <w:sz w:val="24"/>
          <w:szCs w:val="24"/>
          <w:lang w:val="es-AR" w:eastAsia="es-AR"/>
        </w:rPr>
        <w:t xml:space="preserve"> para la interacción con la base de datos. En lugar de utilizar datos simulados manualmente, se automatizó la inyección de los 12.000 registros mediante funciones de series masivas (</w:t>
      </w:r>
      <w:proofErr w:type="spellStart"/>
      <w:r w:rsidRPr="00D7207B">
        <w:rPr>
          <w:rFonts w:eastAsia="Times New Roman" w:cs="Arial"/>
          <w:color w:val="auto"/>
          <w:sz w:val="24"/>
          <w:szCs w:val="24"/>
          <w:lang w:val="es-AR" w:eastAsia="es-AR"/>
        </w:rPr>
        <w:t>generate_series</w:t>
      </w:r>
      <w:proofErr w:type="spellEnd"/>
      <w:r w:rsidRPr="00D7207B">
        <w:rPr>
          <w:rFonts w:eastAsia="Times New Roman" w:cs="Arial"/>
          <w:color w:val="auto"/>
          <w:sz w:val="24"/>
          <w:szCs w:val="24"/>
          <w:lang w:val="es-AR" w:eastAsia="es-AR"/>
        </w:rPr>
        <w:t>), poblando el entorno de manera real y consistente con el comportamiento del mercado financiero.</w:t>
      </w:r>
    </w:p>
    <w:p w:rsidR="00D7207B" w:rsidRPr="00C92AF6" w:rsidRDefault="00D7207B" w:rsidP="00D7207B">
      <w:pPr>
        <w:spacing w:after="0" w:line="240" w:lineRule="auto"/>
        <w:rPr>
          <w:rFonts w:eastAsia="Times New Roman" w:cs="Arial"/>
          <w:color w:val="auto"/>
          <w:sz w:val="24"/>
          <w:szCs w:val="24"/>
          <w:lang w:val="es-AR" w:eastAsia="es-AR"/>
        </w:rPr>
      </w:pPr>
      <w:bookmarkStart w:id="0" w:name="_GoBack"/>
      <w:bookmarkEnd w:id="0"/>
    </w:p>
    <w:p w:rsidR="00C92AF6" w:rsidRDefault="00C92AF6" w:rsidP="00C92AF6">
      <w:pPr>
        <w:numPr>
          <w:ilvl w:val="0"/>
          <w:numId w:val="16"/>
        </w:numPr>
        <w:spacing w:after="0" w:line="240" w:lineRule="auto"/>
        <w:ind w:left="0"/>
        <w:rPr>
          <w:rFonts w:eastAsia="Times New Roman" w:cs="Arial"/>
          <w:color w:val="auto"/>
          <w:sz w:val="24"/>
          <w:szCs w:val="24"/>
          <w:lang w:val="es-AR" w:eastAsia="es-AR"/>
        </w:rPr>
      </w:pPr>
      <w:r w:rsidRPr="00D7207B">
        <w:rPr>
          <w:rFonts w:eastAsia="Times New Roman" w:cs="Arial"/>
          <w:b/>
          <w:bCs/>
          <w:color w:val="auto"/>
          <w:sz w:val="24"/>
          <w:szCs w:val="24"/>
          <w:lang w:val="es-AR" w:eastAsia="es-AR"/>
        </w:rPr>
        <w:t>CHECK (Verificar):</w:t>
      </w:r>
      <w:r w:rsidRPr="00D7207B">
        <w:rPr>
          <w:rFonts w:eastAsia="Times New Roman" w:cs="Arial"/>
          <w:color w:val="auto"/>
          <w:sz w:val="24"/>
          <w:szCs w:val="24"/>
          <w:lang w:val="es-AR" w:eastAsia="es-AR"/>
        </w:rPr>
        <w:t xml:space="preserve"> Se contrastaron y auditaron minuciosamente los resultados numéricos devueltos por el motor relacional. Esta fase de control fue clave para identificar y corregir un desvío matemático crítico del reporte previo: se validó analíticamente que la deuda promedio individual no se triplicaba, sino que </w:t>
      </w:r>
      <w:r w:rsidRPr="00D7207B">
        <w:rPr>
          <w:rFonts w:eastAsia="Times New Roman" w:cs="Arial"/>
          <w:b/>
          <w:bCs/>
          <w:color w:val="auto"/>
          <w:sz w:val="24"/>
          <w:szCs w:val="24"/>
          <w:lang w:val="es-AR" w:eastAsia="es-AR"/>
        </w:rPr>
        <w:t>se quintuplica (aumenta 5 veces)</w:t>
      </w:r>
      <w:r w:rsidRPr="00D7207B">
        <w:rPr>
          <w:rFonts w:eastAsia="Times New Roman" w:cs="Arial"/>
          <w:color w:val="auto"/>
          <w:sz w:val="24"/>
          <w:szCs w:val="24"/>
          <w:lang w:val="es-AR" w:eastAsia="es-AR"/>
        </w:rPr>
        <w:t xml:space="preserve"> de forma exacta entre la Situación 1 (ARS 5.000,00) y la Situación 5 (ARS 25.000,00). Asimismo, mediante </w:t>
      </w:r>
      <w:proofErr w:type="spellStart"/>
      <w:r w:rsidRPr="00D7207B">
        <w:rPr>
          <w:rFonts w:eastAsia="Times New Roman" w:cs="Arial"/>
          <w:color w:val="auto"/>
          <w:sz w:val="24"/>
          <w:szCs w:val="24"/>
          <w:lang w:val="es-AR" w:eastAsia="es-AR"/>
        </w:rPr>
        <w:t>subconsultas</w:t>
      </w:r>
      <w:proofErr w:type="spellEnd"/>
      <w:r w:rsidRPr="00D7207B">
        <w:rPr>
          <w:rFonts w:eastAsia="Times New Roman" w:cs="Arial"/>
          <w:color w:val="auto"/>
          <w:sz w:val="24"/>
          <w:szCs w:val="24"/>
          <w:lang w:val="es-AR" w:eastAsia="es-AR"/>
        </w:rPr>
        <w:t xml:space="preserve"> de agregación, se dio trazabilidad científica exacta al </w:t>
      </w:r>
      <w:r w:rsidRPr="00D7207B">
        <w:rPr>
          <w:rFonts w:eastAsia="Times New Roman" w:cs="Arial"/>
          <w:b/>
          <w:bCs/>
          <w:color w:val="auto"/>
          <w:sz w:val="24"/>
          <w:szCs w:val="24"/>
          <w:lang w:val="es-AR" w:eastAsia="es-AR"/>
        </w:rPr>
        <w:t>64.00%</w:t>
      </w:r>
      <w:r w:rsidRPr="00D7207B">
        <w:rPr>
          <w:rFonts w:eastAsia="Times New Roman" w:cs="Arial"/>
          <w:color w:val="auto"/>
          <w:sz w:val="24"/>
          <w:szCs w:val="24"/>
          <w:lang w:val="es-AR" w:eastAsia="es-AR"/>
        </w:rPr>
        <w:t xml:space="preserve"> de concentración de mora en las categorías más críticas (4 y 5) y al </w:t>
      </w:r>
      <w:r w:rsidRPr="00D7207B">
        <w:rPr>
          <w:rFonts w:eastAsia="Times New Roman" w:cs="Arial"/>
          <w:b/>
          <w:bCs/>
          <w:color w:val="auto"/>
          <w:sz w:val="24"/>
          <w:szCs w:val="24"/>
          <w:lang w:val="es-AR" w:eastAsia="es-AR"/>
        </w:rPr>
        <w:t>78.00%</w:t>
      </w:r>
      <w:r w:rsidRPr="00D7207B">
        <w:rPr>
          <w:rFonts w:eastAsia="Times New Roman" w:cs="Arial"/>
          <w:color w:val="auto"/>
          <w:sz w:val="24"/>
          <w:szCs w:val="24"/>
          <w:lang w:val="es-AR" w:eastAsia="es-AR"/>
        </w:rPr>
        <w:t xml:space="preserve"> del volumen irregular acumulado desde la Situación 3 en adelante.</w:t>
      </w:r>
    </w:p>
    <w:p w:rsidR="00D7207B" w:rsidRPr="00C92AF6" w:rsidRDefault="00D7207B" w:rsidP="00D7207B">
      <w:pPr>
        <w:spacing w:after="0" w:line="240" w:lineRule="auto"/>
        <w:rPr>
          <w:rFonts w:eastAsia="Times New Roman" w:cs="Arial"/>
          <w:color w:val="auto"/>
          <w:sz w:val="24"/>
          <w:szCs w:val="24"/>
          <w:lang w:val="es-AR" w:eastAsia="es-AR"/>
        </w:rPr>
      </w:pPr>
    </w:p>
    <w:p w:rsidR="00C92AF6" w:rsidRPr="00C92AF6" w:rsidRDefault="00C92AF6" w:rsidP="00C92AF6">
      <w:pPr>
        <w:numPr>
          <w:ilvl w:val="0"/>
          <w:numId w:val="16"/>
        </w:numPr>
        <w:spacing w:after="0" w:line="240" w:lineRule="auto"/>
        <w:ind w:left="0"/>
        <w:rPr>
          <w:rFonts w:eastAsia="Times New Roman" w:cs="Arial"/>
          <w:color w:val="auto"/>
          <w:lang w:val="es-AR" w:eastAsia="es-AR"/>
        </w:rPr>
      </w:pPr>
      <w:r w:rsidRPr="00D7207B">
        <w:rPr>
          <w:rFonts w:eastAsia="Times New Roman" w:cs="Arial"/>
          <w:b/>
          <w:bCs/>
          <w:color w:val="auto"/>
          <w:sz w:val="24"/>
          <w:szCs w:val="24"/>
          <w:lang w:val="es-AR" w:eastAsia="es-AR"/>
        </w:rPr>
        <w:t>ACT (Actuar):</w:t>
      </w:r>
      <w:r w:rsidRPr="00D7207B">
        <w:rPr>
          <w:rFonts w:eastAsia="Times New Roman" w:cs="Arial"/>
          <w:color w:val="auto"/>
          <w:sz w:val="24"/>
          <w:szCs w:val="24"/>
          <w:lang w:val="es-AR" w:eastAsia="es-AR"/>
        </w:rPr>
        <w:t xml:space="preserve"> Ante los hallazgos validados por las evidencias del código, se procedió a estandarizar la consulta analítica dentro del repositorio institucional para futuras auditorías periódicas de riesgo. Como acción correctiva final de cara al negocio, se documentó la recomendación operativa de automatizar reglas de bloqueo y suspensión preventiva de líneas de crédito en el Core Bancario ni bien un deudor cruce la frontera analítica temprana ingresando a la Situación 3.</w:t>
      </w:r>
    </w:p>
    <w:p w:rsidR="000E55A8" w:rsidRDefault="00D7207B">
      <w:pPr>
        <w:keepNext/>
        <w:spacing w:before="360" w:after="120"/>
      </w:pPr>
      <w:r>
        <w:rPr>
          <w:b/>
          <w:color w:val="1B365D"/>
          <w:sz w:val="32"/>
        </w:rPr>
        <w:t>S</w:t>
      </w:r>
      <w:r>
        <w:rPr>
          <w:b/>
          <w:color w:val="1B365D"/>
          <w:sz w:val="32"/>
        </w:rPr>
        <w:t>ECCIÓN 5 — ENLACES</w:t>
      </w:r>
    </w:p>
    <w:p w:rsidR="00C92AF6" w:rsidRDefault="00D7207B" w:rsidP="00C92AF6">
      <w:pPr>
        <w:spacing w:after="120"/>
      </w:pPr>
      <w:r>
        <w:t xml:space="preserve">Repositorio </w:t>
      </w:r>
      <w:proofErr w:type="spellStart"/>
      <w:r>
        <w:t>Público</w:t>
      </w:r>
      <w:proofErr w:type="spellEnd"/>
      <w:r>
        <w:t xml:space="preserve"> de GitHub: </w:t>
      </w:r>
      <w:r w:rsidR="00C92AF6" w:rsidRPr="00C92AF6">
        <w:t>https://github.com/betod26-cyber/control-morosidad-bcra</w:t>
      </w:r>
    </w:p>
    <w:p w:rsidR="000E55A8" w:rsidRDefault="000E55A8">
      <w:pPr>
        <w:spacing w:after="120"/>
      </w:pPr>
    </w:p>
    <w:sectPr w:rsidR="000E55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B9A29AC"/>
    <w:multiLevelType w:val="multilevel"/>
    <w:tmpl w:val="B646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7B15E2"/>
    <w:multiLevelType w:val="multilevel"/>
    <w:tmpl w:val="8B54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181948"/>
    <w:multiLevelType w:val="multilevel"/>
    <w:tmpl w:val="271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5503D"/>
    <w:multiLevelType w:val="multilevel"/>
    <w:tmpl w:val="DDC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A7741"/>
    <w:multiLevelType w:val="multilevel"/>
    <w:tmpl w:val="80C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A2E9D"/>
    <w:multiLevelType w:val="multilevel"/>
    <w:tmpl w:val="FC8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55BB8"/>
    <w:multiLevelType w:val="multilevel"/>
    <w:tmpl w:val="BA52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3"/>
  </w:num>
  <w:num w:numId="13">
    <w:abstractNumId w:val="15"/>
  </w:num>
  <w:num w:numId="14">
    <w:abstractNumId w:val="9"/>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855"/>
    <w:rsid w:val="00034616"/>
    <w:rsid w:val="0006063C"/>
    <w:rsid w:val="000E55A8"/>
    <w:rsid w:val="0015074B"/>
    <w:rsid w:val="002831E7"/>
    <w:rsid w:val="0029639D"/>
    <w:rsid w:val="00326F90"/>
    <w:rsid w:val="003A6606"/>
    <w:rsid w:val="00801B83"/>
    <w:rsid w:val="00AA1D8D"/>
    <w:rsid w:val="00B47730"/>
    <w:rsid w:val="00C92AF6"/>
    <w:rsid w:val="00CB0664"/>
    <w:rsid w:val="00D72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0B5B0"/>
  <w14:defaultImageDpi w14:val="300"/>
  <w15:docId w15:val="{C0924501-8D81-4395-B03D-F1AAB07E0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qyif">
    <w:name w:val="inqyif"/>
    <w:basedOn w:val="Fuentedeprrafopredeter"/>
    <w:rsid w:val="00C92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692811">
      <w:bodyDiv w:val="1"/>
      <w:marLeft w:val="0"/>
      <w:marRight w:val="0"/>
      <w:marTop w:val="0"/>
      <w:marBottom w:val="0"/>
      <w:divBdr>
        <w:top w:val="none" w:sz="0" w:space="0" w:color="auto"/>
        <w:left w:val="none" w:sz="0" w:space="0" w:color="auto"/>
        <w:bottom w:val="none" w:sz="0" w:space="0" w:color="auto"/>
        <w:right w:val="none" w:sz="0" w:space="0" w:color="auto"/>
      </w:divBdr>
      <w:divsChild>
        <w:div w:id="197013026">
          <w:marLeft w:val="0"/>
          <w:marRight w:val="0"/>
          <w:marTop w:val="360"/>
          <w:marBottom w:val="180"/>
          <w:divBdr>
            <w:top w:val="none" w:sz="0" w:space="0" w:color="auto"/>
            <w:left w:val="none" w:sz="0" w:space="0" w:color="auto"/>
            <w:bottom w:val="none" w:sz="0" w:space="0" w:color="auto"/>
            <w:right w:val="none" w:sz="0" w:space="0" w:color="auto"/>
          </w:divBdr>
        </w:div>
        <w:div w:id="1389842018">
          <w:marLeft w:val="0"/>
          <w:marRight w:val="0"/>
          <w:marTop w:val="180"/>
          <w:marBottom w:val="240"/>
          <w:divBdr>
            <w:top w:val="none" w:sz="0" w:space="0" w:color="auto"/>
            <w:left w:val="none" w:sz="0" w:space="0" w:color="auto"/>
            <w:bottom w:val="none" w:sz="0" w:space="0" w:color="auto"/>
            <w:right w:val="none" w:sz="0" w:space="0" w:color="auto"/>
          </w:divBdr>
        </w:div>
        <w:div w:id="867645991">
          <w:marLeft w:val="0"/>
          <w:marRight w:val="0"/>
          <w:marTop w:val="180"/>
          <w:marBottom w:val="240"/>
          <w:divBdr>
            <w:top w:val="none" w:sz="0" w:space="0" w:color="auto"/>
            <w:left w:val="none" w:sz="0" w:space="0" w:color="auto"/>
            <w:bottom w:val="none" w:sz="0" w:space="0" w:color="auto"/>
            <w:right w:val="none" w:sz="0" w:space="0" w:color="auto"/>
          </w:divBdr>
        </w:div>
        <w:div w:id="276185575">
          <w:marLeft w:val="0"/>
          <w:marRight w:val="0"/>
          <w:marTop w:val="360"/>
          <w:marBottom w:val="180"/>
          <w:divBdr>
            <w:top w:val="none" w:sz="0" w:space="0" w:color="auto"/>
            <w:left w:val="none" w:sz="0" w:space="0" w:color="auto"/>
            <w:bottom w:val="none" w:sz="0" w:space="0" w:color="auto"/>
            <w:right w:val="none" w:sz="0" w:space="0" w:color="auto"/>
          </w:divBdr>
        </w:div>
        <w:div w:id="1943493033">
          <w:marLeft w:val="0"/>
          <w:marRight w:val="0"/>
          <w:marTop w:val="360"/>
          <w:marBottom w:val="180"/>
          <w:divBdr>
            <w:top w:val="none" w:sz="0" w:space="0" w:color="auto"/>
            <w:left w:val="none" w:sz="0" w:space="0" w:color="auto"/>
            <w:bottom w:val="none" w:sz="0" w:space="0" w:color="auto"/>
            <w:right w:val="none" w:sz="0" w:space="0" w:color="auto"/>
          </w:divBdr>
        </w:div>
        <w:div w:id="1008286652">
          <w:marLeft w:val="0"/>
          <w:marRight w:val="0"/>
          <w:marTop w:val="360"/>
          <w:marBottom w:val="180"/>
          <w:divBdr>
            <w:top w:val="none" w:sz="0" w:space="0" w:color="auto"/>
            <w:left w:val="none" w:sz="0" w:space="0" w:color="auto"/>
            <w:bottom w:val="none" w:sz="0" w:space="0" w:color="auto"/>
            <w:right w:val="none" w:sz="0" w:space="0" w:color="auto"/>
          </w:divBdr>
        </w:div>
        <w:div w:id="765347494">
          <w:marLeft w:val="0"/>
          <w:marRight w:val="0"/>
          <w:marTop w:val="360"/>
          <w:marBottom w:val="180"/>
          <w:divBdr>
            <w:top w:val="none" w:sz="0" w:space="0" w:color="auto"/>
            <w:left w:val="none" w:sz="0" w:space="0" w:color="auto"/>
            <w:bottom w:val="none" w:sz="0" w:space="0" w:color="auto"/>
            <w:right w:val="none" w:sz="0" w:space="0" w:color="auto"/>
          </w:divBdr>
        </w:div>
        <w:div w:id="70858383">
          <w:marLeft w:val="0"/>
          <w:marRight w:val="0"/>
          <w:marTop w:val="360"/>
          <w:marBottom w:val="180"/>
          <w:divBdr>
            <w:top w:val="none" w:sz="0" w:space="0" w:color="auto"/>
            <w:left w:val="none" w:sz="0" w:space="0" w:color="auto"/>
            <w:bottom w:val="none" w:sz="0" w:space="0" w:color="auto"/>
            <w:right w:val="none" w:sz="0" w:space="0" w:color="auto"/>
          </w:divBdr>
        </w:div>
        <w:div w:id="845680150">
          <w:marLeft w:val="0"/>
          <w:marRight w:val="0"/>
          <w:marTop w:val="180"/>
          <w:marBottom w:val="240"/>
          <w:divBdr>
            <w:top w:val="none" w:sz="0" w:space="0" w:color="auto"/>
            <w:left w:val="none" w:sz="0" w:space="0" w:color="auto"/>
            <w:bottom w:val="none" w:sz="0" w:space="0" w:color="auto"/>
            <w:right w:val="none" w:sz="0" w:space="0" w:color="auto"/>
          </w:divBdr>
        </w:div>
        <w:div w:id="645476736">
          <w:marLeft w:val="0"/>
          <w:marRight w:val="0"/>
          <w:marTop w:val="360"/>
          <w:marBottom w:val="180"/>
          <w:divBdr>
            <w:top w:val="none" w:sz="0" w:space="0" w:color="auto"/>
            <w:left w:val="none" w:sz="0" w:space="0" w:color="auto"/>
            <w:bottom w:val="none" w:sz="0" w:space="0" w:color="auto"/>
            <w:right w:val="none" w:sz="0" w:space="0" w:color="auto"/>
          </w:divBdr>
        </w:div>
        <w:div w:id="238904501">
          <w:marLeft w:val="0"/>
          <w:marRight w:val="0"/>
          <w:marTop w:val="180"/>
          <w:marBottom w:val="240"/>
          <w:divBdr>
            <w:top w:val="none" w:sz="0" w:space="0" w:color="auto"/>
            <w:left w:val="none" w:sz="0" w:space="0" w:color="auto"/>
            <w:bottom w:val="none" w:sz="0" w:space="0" w:color="auto"/>
            <w:right w:val="none" w:sz="0" w:space="0" w:color="auto"/>
          </w:divBdr>
        </w:div>
        <w:div w:id="1730035091">
          <w:marLeft w:val="0"/>
          <w:marRight w:val="0"/>
          <w:marTop w:val="360"/>
          <w:marBottom w:val="180"/>
          <w:divBdr>
            <w:top w:val="none" w:sz="0" w:space="0" w:color="auto"/>
            <w:left w:val="none" w:sz="0" w:space="0" w:color="auto"/>
            <w:bottom w:val="none" w:sz="0" w:space="0" w:color="auto"/>
            <w:right w:val="none" w:sz="0" w:space="0" w:color="auto"/>
          </w:divBdr>
        </w:div>
      </w:divsChild>
    </w:div>
    <w:div w:id="412894820">
      <w:bodyDiv w:val="1"/>
      <w:marLeft w:val="0"/>
      <w:marRight w:val="0"/>
      <w:marTop w:val="0"/>
      <w:marBottom w:val="0"/>
      <w:divBdr>
        <w:top w:val="none" w:sz="0" w:space="0" w:color="auto"/>
        <w:left w:val="none" w:sz="0" w:space="0" w:color="auto"/>
        <w:bottom w:val="none" w:sz="0" w:space="0" w:color="auto"/>
        <w:right w:val="none" w:sz="0" w:space="0" w:color="auto"/>
      </w:divBdr>
      <w:divsChild>
        <w:div w:id="1868370122">
          <w:marLeft w:val="0"/>
          <w:marRight w:val="0"/>
          <w:marTop w:val="0"/>
          <w:marBottom w:val="0"/>
          <w:divBdr>
            <w:top w:val="none" w:sz="0" w:space="0" w:color="auto"/>
            <w:left w:val="none" w:sz="0" w:space="0" w:color="auto"/>
            <w:bottom w:val="none" w:sz="0" w:space="0" w:color="auto"/>
            <w:right w:val="none" w:sz="0" w:space="0" w:color="auto"/>
          </w:divBdr>
          <w:divsChild>
            <w:div w:id="1000739260">
              <w:marLeft w:val="0"/>
              <w:marRight w:val="0"/>
              <w:marTop w:val="0"/>
              <w:marBottom w:val="0"/>
              <w:divBdr>
                <w:top w:val="none" w:sz="0" w:space="0" w:color="auto"/>
                <w:left w:val="none" w:sz="0" w:space="0" w:color="auto"/>
                <w:bottom w:val="none" w:sz="0" w:space="0" w:color="auto"/>
                <w:right w:val="none" w:sz="0" w:space="0" w:color="auto"/>
              </w:divBdr>
            </w:div>
          </w:divsChild>
        </w:div>
        <w:div w:id="532959148">
          <w:marLeft w:val="0"/>
          <w:marRight w:val="0"/>
          <w:marTop w:val="0"/>
          <w:marBottom w:val="0"/>
          <w:divBdr>
            <w:top w:val="none" w:sz="0" w:space="0" w:color="auto"/>
            <w:left w:val="none" w:sz="0" w:space="0" w:color="auto"/>
            <w:bottom w:val="none" w:sz="0" w:space="0" w:color="auto"/>
            <w:right w:val="none" w:sz="0" w:space="0" w:color="auto"/>
          </w:divBdr>
        </w:div>
      </w:divsChild>
    </w:div>
    <w:div w:id="883710686">
      <w:bodyDiv w:val="1"/>
      <w:marLeft w:val="0"/>
      <w:marRight w:val="0"/>
      <w:marTop w:val="0"/>
      <w:marBottom w:val="0"/>
      <w:divBdr>
        <w:top w:val="none" w:sz="0" w:space="0" w:color="auto"/>
        <w:left w:val="none" w:sz="0" w:space="0" w:color="auto"/>
        <w:bottom w:val="none" w:sz="0" w:space="0" w:color="auto"/>
        <w:right w:val="none" w:sz="0" w:space="0" w:color="auto"/>
      </w:divBdr>
      <w:divsChild>
        <w:div w:id="1855537143">
          <w:marLeft w:val="0"/>
          <w:marRight w:val="0"/>
          <w:marTop w:val="180"/>
          <w:marBottom w:val="240"/>
          <w:divBdr>
            <w:top w:val="none" w:sz="0" w:space="0" w:color="auto"/>
            <w:left w:val="none" w:sz="0" w:space="0" w:color="auto"/>
            <w:bottom w:val="none" w:sz="0" w:space="0" w:color="auto"/>
            <w:right w:val="none" w:sz="0" w:space="0" w:color="auto"/>
          </w:divBdr>
        </w:div>
      </w:divsChild>
    </w:div>
    <w:div w:id="1054162977">
      <w:bodyDiv w:val="1"/>
      <w:marLeft w:val="0"/>
      <w:marRight w:val="0"/>
      <w:marTop w:val="0"/>
      <w:marBottom w:val="0"/>
      <w:divBdr>
        <w:top w:val="none" w:sz="0" w:space="0" w:color="auto"/>
        <w:left w:val="none" w:sz="0" w:space="0" w:color="auto"/>
        <w:bottom w:val="none" w:sz="0" w:space="0" w:color="auto"/>
        <w:right w:val="none" w:sz="0" w:space="0" w:color="auto"/>
      </w:divBdr>
      <w:divsChild>
        <w:div w:id="320355150">
          <w:marLeft w:val="0"/>
          <w:marRight w:val="0"/>
          <w:marTop w:val="0"/>
          <w:marBottom w:val="0"/>
          <w:divBdr>
            <w:top w:val="none" w:sz="0" w:space="0" w:color="auto"/>
            <w:left w:val="none" w:sz="0" w:space="0" w:color="auto"/>
            <w:bottom w:val="none" w:sz="0" w:space="0" w:color="auto"/>
            <w:right w:val="none" w:sz="0" w:space="0" w:color="auto"/>
          </w:divBdr>
          <w:divsChild>
            <w:div w:id="10220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57A59B-C753-40CC-A57C-CA4FD7529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11</Pages>
  <Words>1805</Words>
  <Characters>9930</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2013-12-23T23:15:00Z</dcterms:created>
  <dcterms:modified xsi:type="dcterms:W3CDTF">2026-10-06T03:32:00Z</dcterms:modified>
  <cp:category/>
</cp:coreProperties>
</file>