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2A6B2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fillcolor="window">
            <v:imagedata r:id="rId8" o:title="muegyetem"/>
          </v:shape>
        </w:pict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FC59D8" w:rsidP="00D429F2">
      <w:pPr>
        <w:pStyle w:val="Cmlapkarstanszk"/>
      </w:pPr>
      <w:fldSimple w:instr=" DOCPROPERTY  Company  \* MERGEFORMAT ">
        <w:r w:rsidR="00B36577">
          <w:t>Villamos Energetika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FC59D8" w:rsidP="00171054">
      <w:pPr>
        <w:pStyle w:val="Cmlapszerz"/>
      </w:pPr>
      <w:fldSimple w:instr=" AUTHOR  \* MERGEFORMAT ">
        <w:r w:rsidR="00B36577">
          <w:t>Rácz Benedek György</w:t>
        </w:r>
      </w:fldSimple>
    </w:p>
    <w:p w:rsidR="0063585C" w:rsidRPr="00B50CAA" w:rsidRDefault="00FC59D8">
      <w:pPr>
        <w:pStyle w:val="Title"/>
      </w:pPr>
      <w:fldSimple w:instr=" TITLE  \* MERGEFORMAT ">
        <w:r w:rsidR="00B36577">
          <w:t>Frekvenciaváltós aszinkron motoros hajtások vizsgálata</w:t>
        </w:r>
      </w:fldSimple>
    </w:p>
    <w:p w:rsidR="0063585C" w:rsidRPr="00B50CAA" w:rsidRDefault="00FC59D8" w:rsidP="009C1C93">
      <w:pPr>
        <w:pStyle w:val="Subtitle"/>
      </w:pPr>
      <w:fldSimple w:instr=" SUBJECT  \* MERGEFORMAT ">
        <w:r w:rsidR="00B36577">
          <w:t>Villamos gépek</w:t>
        </w:r>
      </w:fldSimple>
    </w:p>
    <w:p w:rsidR="0063585C" w:rsidRPr="00D429F2" w:rsidRDefault="00FC59D8" w:rsidP="009C1C93">
      <w:pPr>
        <w:pStyle w:val="Sub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:rsidR="008F5D79" w:rsidRDefault="008F5D79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8F5D79" w:rsidRDefault="008F5D79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:rsidR="008F5D79" w:rsidRDefault="008F5D79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B36577" w:rsidRPr="00B5627C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347341" w:history="1">
        <w:r w:rsidR="00B36577" w:rsidRPr="006634FD">
          <w:rPr>
            <w:rStyle w:val="Hyperlink"/>
            <w:noProof/>
          </w:rPr>
          <w:t>Összefoglaló</w:t>
        </w:r>
        <w:r w:rsidR="00B36577">
          <w:rPr>
            <w:noProof/>
            <w:webHidden/>
          </w:rPr>
          <w:tab/>
        </w:r>
        <w:r w:rsidR="00B36577">
          <w:rPr>
            <w:noProof/>
            <w:webHidden/>
          </w:rPr>
          <w:fldChar w:fldCharType="begin"/>
        </w:r>
        <w:r w:rsidR="00B36577">
          <w:rPr>
            <w:noProof/>
            <w:webHidden/>
          </w:rPr>
          <w:instrText xml:space="preserve"> PAGEREF _Toc468347341 \h </w:instrText>
        </w:r>
        <w:r w:rsidR="00B36577">
          <w:rPr>
            <w:noProof/>
            <w:webHidden/>
          </w:rPr>
        </w:r>
        <w:r w:rsidR="00B36577">
          <w:rPr>
            <w:noProof/>
            <w:webHidden/>
          </w:rPr>
          <w:fldChar w:fldCharType="separate"/>
        </w:r>
        <w:r w:rsidR="00B36577">
          <w:rPr>
            <w:noProof/>
            <w:webHidden/>
          </w:rPr>
          <w:t>5</w:t>
        </w:r>
        <w:r w:rsidR="00B36577"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2" w:history="1">
        <w:r w:rsidRPr="006634FD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3" w:history="1">
        <w:r w:rsidRPr="006634FD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4" w:history="1">
        <w:r w:rsidRPr="006634FD">
          <w:rPr>
            <w:rStyle w:val="Hyperlink"/>
            <w:noProof/>
          </w:rPr>
          <w:t>1.1 Villamos gépek osztályozás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5" w:history="1">
        <w:r w:rsidRPr="006634FD">
          <w:rPr>
            <w:rStyle w:val="Hyperlink"/>
            <w:noProof/>
          </w:rPr>
          <w:t>1.1.1 A frekvencia feltétel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6" w:history="1">
        <w:r w:rsidRPr="006634FD">
          <w:rPr>
            <w:rStyle w:val="Hyperlink"/>
            <w:noProof/>
          </w:rPr>
          <w:t>1.2 Az aszinkron gép más forgógépekhez viszonyítva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7" w:history="1">
        <w:r w:rsidRPr="006634FD">
          <w:rPr>
            <w:rStyle w:val="Hyperlink"/>
            <w:noProof/>
          </w:rPr>
          <w:t>2 Az indukciós aszinkron gép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8" w:history="1">
        <w:r w:rsidRPr="006634FD">
          <w:rPr>
            <w:rStyle w:val="Hyperlink"/>
            <w:noProof/>
          </w:rPr>
          <w:t>2.1 Fizikai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9" w:history="1">
        <w:r w:rsidRPr="006634FD">
          <w:rPr>
            <w:rStyle w:val="Hyperlink"/>
            <w:noProof/>
          </w:rPr>
          <w:t>2.2 Működési elv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50" w:history="1">
        <w:r w:rsidRPr="006634FD">
          <w:rPr>
            <w:rStyle w:val="Hyperlink"/>
            <w:noProof/>
          </w:rPr>
          <w:t>3 Aszinkron gép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1" w:history="1">
        <w:r w:rsidRPr="006634FD">
          <w:rPr>
            <w:rStyle w:val="Hyperlink"/>
            <w:noProof/>
          </w:rPr>
          <w:t>3.1 Motor egyenletek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2" w:history="1">
        <w:r w:rsidRPr="006634FD">
          <w:rPr>
            <w:rStyle w:val="Hyperlink"/>
            <w:noProof/>
          </w:rPr>
          <w:t>3.2 Motor modell állandósult állapotban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3" w:history="1">
        <w:r w:rsidRPr="006634FD">
          <w:rPr>
            <w:rStyle w:val="Hyperlink"/>
            <w:noProof/>
          </w:rPr>
          <w:t>3.3 Álltalános motor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4" w:history="1">
        <w:r w:rsidRPr="006634FD">
          <w:rPr>
            <w:rStyle w:val="Hyperlink"/>
            <w:noProof/>
          </w:rPr>
          <w:t>3.4 Matlab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55" w:history="1">
        <w:r w:rsidRPr="006634FD">
          <w:rPr>
            <w:rStyle w:val="Hyperlink"/>
            <w:noProof/>
          </w:rPr>
          <w:t>4 Vezérlési stratégiák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6" w:history="1">
        <w:r w:rsidRPr="006634FD">
          <w:rPr>
            <w:rStyle w:val="Hyperlink"/>
            <w:noProof/>
          </w:rPr>
          <w:t>4.1 Hálózati táplálás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7" w:history="1">
        <w:r w:rsidRPr="006634FD">
          <w:rPr>
            <w:rStyle w:val="Hyperlink"/>
            <w:noProof/>
          </w:rPr>
          <w:t>4.2 PWM technikák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8" w:history="1">
        <w:r w:rsidRPr="006634FD">
          <w:rPr>
            <w:rStyle w:val="Hyperlink"/>
            <w:noProof/>
          </w:rPr>
          <w:t>4.3 V/F vezérlés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9" w:history="1">
        <w:r w:rsidRPr="006634FD">
          <w:rPr>
            <w:rStyle w:val="Hyperlink"/>
            <w:noProof/>
          </w:rPr>
          <w:t>4.4 Fluxus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60" w:history="1">
        <w:r w:rsidRPr="006634FD">
          <w:rPr>
            <w:rStyle w:val="Hyperlink"/>
            <w:noProof/>
          </w:rPr>
          <w:t>4.5 Áram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61" w:history="1">
        <w:r w:rsidRPr="006634FD">
          <w:rPr>
            <w:rStyle w:val="Hyperlink"/>
            <w:noProof/>
          </w:rPr>
          <w:t>4.6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2" w:history="1">
        <w:r w:rsidRPr="006634FD">
          <w:rPr>
            <w:rStyle w:val="Hyperlink"/>
            <w:noProof/>
          </w:rPr>
          <w:t>5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3" w:history="1">
        <w:r w:rsidRPr="006634FD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577" w:rsidRPr="00B5627C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4" w:history="1">
        <w:r w:rsidRPr="006634FD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 w:rsidP="00FA0150">
      <w:pPr>
        <w:pStyle w:val="Caption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B36577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B36577">
        <w:rPr>
          <w:noProof/>
        </w:rPr>
        <w:t>2016. 12. 01.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B36577">
          <w:t>Rácz Benedek György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68347341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68347342"/>
      <w:r w:rsidRPr="00B50CAA">
        <w:lastRenderedPageBreak/>
        <w:t>Abstract</w:t>
      </w:r>
      <w:bookmarkEnd w:id="1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Heading1"/>
      </w:pPr>
      <w:bookmarkStart w:id="2" w:name="_Toc332797397"/>
      <w:bookmarkStart w:id="3" w:name="_Toc468347343"/>
      <w:r>
        <w:lastRenderedPageBreak/>
        <w:t>Bevezetés</w:t>
      </w:r>
      <w:bookmarkEnd w:id="2"/>
      <w:bookmarkEnd w:id="3"/>
    </w:p>
    <w:p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:rsidR="00195054" w:rsidRDefault="00B7430F" w:rsidP="00B7430F">
      <w:pPr>
        <w:pStyle w:val="Heading2"/>
      </w:pPr>
      <w:bookmarkStart w:id="4" w:name="_Toc468347344"/>
      <w:r>
        <w:t>Villamos gépek osztályozás</w:t>
      </w:r>
      <w:bookmarkEnd w:id="4"/>
    </w:p>
    <w:p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B36577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B36577">
        <w:t>[2]</w:t>
      </w:r>
      <w:r w:rsidR="00E20BD3">
        <w:fldChar w:fldCharType="end"/>
      </w:r>
    </w:p>
    <w:p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:rsidR="003A610A" w:rsidRDefault="003A610A" w:rsidP="003A610A">
      <w:pPr>
        <w:pStyle w:val="Heading3"/>
      </w:pPr>
      <w:bookmarkStart w:id="5" w:name="_Toc468347345"/>
      <w:r>
        <w:t>A frekvencia feltétel</w:t>
      </w:r>
      <w:bookmarkEnd w:id="5"/>
    </w:p>
    <w:p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B36577">
        <w:t>[1]</w:t>
      </w:r>
      <w:r>
        <w:fldChar w:fldCharType="end"/>
      </w:r>
    </w:p>
    <w:p w:rsidR="00E15A80" w:rsidRDefault="002A6B2C" w:rsidP="002A6B2C">
      <w:pPr>
        <w:jc w:val="center"/>
      </w:pPr>
      <w:r>
        <w:pict>
          <v:shape id="_x0000_i1044" type="#_x0000_t75" style="width:102pt;height:25.5pt">
            <v:imagedata r:id="rId10" o:title="freq_cond"/>
          </v:shape>
        </w:pict>
      </w:r>
    </w:p>
    <w:p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:rsidR="00FC59D8" w:rsidRPr="003A610A" w:rsidRDefault="00FC59D8" w:rsidP="00FC59D8">
      <w:pPr>
        <w:ind w:firstLine="0"/>
        <w:jc w:val="left"/>
      </w:pPr>
      <w:r>
        <w:rPr>
          <w:noProof/>
          <w:lang w:val="en-US"/>
        </w:rPr>
        <w:pict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6;top:3021;width:364;height:2927;rotation:180" o:connectortype="elbow" adj="-613347,-47822,-613347" strokeweight="2.25pt"/>
            <v:shape id="_s1058" o:spid="_x0000_s1058" type="#_x0000_t33" style="position:absolute;left:2732;top:4119;width:366;height:1829;rotation:180" o:connectortype="elbow" adj="-265739,-76503,-265739" strokeweight="2.25pt"/>
            <v:shape id="_s1056" o:spid="_x0000_s1056" type="#_x0000_t33" style="position:absolute;left:2732;top:4119;width:366;height:732;rotation:180" o:connectortype="elbow" adj="-265739,-158767,-265739" strokeweight="2.25pt"/>
            <v:shape id="_s1054" o:spid="_x0000_s1054" type="#_x0000_t33" style="position:absolute;left:5658;top:4119;width:366;height:1829;rotation:180" o:connectortype="elbow" adj="-438606,-76503,-438606" strokeweight="2.25pt"/>
            <v:shape id="_s1052" o:spid="_x0000_s1052" type="#_x0000_t33" style="position:absolute;left:5658;top:4119;width:366;height:732;rotation:180" o:connectortype="elbow" adj="-438606,-158767,-438606" strokeweight="2.25pt"/>
            <v:shape id="_s1050" o:spid="_x0000_s1050" type="#_x0000_t33" style="position:absolute;left:8586;top:3021;width:364;height:1830;rotation:180" o:connectortype="elbow" adj="-613347,-63549,-613347" strokeweight="2.25pt"/>
            <v:shape id="_s1048" o:spid="_x0000_s1048" type="#_x0000_t33" style="position:absolute;left:8586;top:3021;width:364;height:733;rotation:180" o:connectortype="elbow" adj="-613347,-126403,-613347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4;width:367;height:1462;rotation:270;flip:x" o:connectortype="elbow" adj=",53736,-448555" strokeweight="2.25pt"/>
            <v:shape id="_s1044" o:spid="_x0000_s1044" type="#_x0000_t34" style="position:absolute;left:3280;top:2473;width:367;height:1464;rotation:270" o:connectortype="elbow" adj=",-53695,-262611" strokeweight="2.25pt"/>
            <v:shape id="_s1041" o:spid="_x0000_s1041" type="#_x0000_t34" style="position:absolute;left:7306;top:1009;width:366;height:2195;rotation:270;flip:x" o:connectortype="elbow" adj=",25781,-634571" strokeweight="2.25pt"/>
            <v:shape id="_s1040" o:spid="_x0000_s1040" type="#_x0000_t34" style="position:absolute;left:5111;top:1009;width:366;height:2195;rotation:270" o:connectortype="elbow" adj=",-25781,-355618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:rsidR="008F5D79" w:rsidRPr="00FC59D8" w:rsidRDefault="008F5D79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>
          <v:shape id="_x0000_i1082" type="#_x0000_t75" style="width:418.5pt;height:212.25pt">
            <v:imagedata croptop="-65520f" cropbottom="65520f"/>
          </v:shape>
        </w:pict>
      </w:r>
    </w:p>
    <w:bookmarkStart w:id="6" w:name="_Toc468347346"/>
    <w:p w:rsidR="00FC59D8" w:rsidRPr="00FC59D8" w:rsidRDefault="009B4465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:rsidR="00B7430F" w:rsidRDefault="00B7430F" w:rsidP="00B7430F">
      <w:pPr>
        <w:pStyle w:val="Heading2"/>
      </w:pPr>
      <w:r>
        <w:t>Az aszinkron gép más forgógépekhez viszonyítva</w:t>
      </w:r>
      <w:bookmarkEnd w:id="6"/>
    </w:p>
    <w:p w:rsidR="0039134A" w:rsidRDefault="0039134A" w:rsidP="003A610A">
      <w:r>
        <w:t>A következőkben a teljesség igénye nélkül néhány alapvető motortípussal vetném össze az aszinkron motorok tulajdonságait.</w:t>
      </w:r>
    </w:p>
    <w:p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B5627C" w:rsidTr="00B5627C">
        <w:tc>
          <w:tcPr>
            <w:tcW w:w="2203" w:type="dxa"/>
            <w:vMerge w:val="restart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Aszinkron</w:t>
            </w:r>
          </w:p>
        </w:tc>
      </w:tr>
      <w:tr w:rsidR="00B5627C" w:rsidTr="00B5627C">
        <w:tc>
          <w:tcPr>
            <w:tcW w:w="2203" w:type="dxa"/>
            <w:vMerge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B5627C">
            <w:pPr>
              <w:ind w:firstLine="0"/>
              <w:jc w:val="center"/>
            </w:pPr>
            <w:r>
              <w:t>-</w:t>
            </w:r>
          </w:p>
        </w:tc>
      </w:tr>
      <w:tr w:rsidR="00B5627C" w:rsidTr="00B5627C">
        <w:tc>
          <w:tcPr>
            <w:tcW w:w="2203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FC59D8" w:rsidP="00B5627C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</w:tr>
      <w:tr w:rsidR="00B5627C" w:rsidTr="00B5627C">
        <w:tc>
          <w:tcPr>
            <w:tcW w:w="2203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</w:tr>
      <w:tr w:rsidR="00B5627C" w:rsidTr="00B5627C">
        <w:tc>
          <w:tcPr>
            <w:tcW w:w="2203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</w:tr>
      <w:tr w:rsidR="00B5627C" w:rsidTr="00B5627C">
        <w:tc>
          <w:tcPr>
            <w:tcW w:w="2203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B5627C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B5627C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FC59D8" w:rsidP="00B5627C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:rsidR="0039134A" w:rsidRPr="003A610A" w:rsidRDefault="0039134A" w:rsidP="003A610A"/>
    <w:p w:rsidR="009455FA" w:rsidRDefault="00370D69" w:rsidP="00EB2509">
      <w:pPr>
        <w:pStyle w:val="Heading1"/>
      </w:pPr>
      <w:bookmarkStart w:id="7" w:name="_Toc468347347"/>
      <w:r>
        <w:lastRenderedPageBreak/>
        <w:t xml:space="preserve">Az indukciós </w:t>
      </w:r>
      <w:r w:rsidR="009455FA">
        <w:t>aszinkron gép</w:t>
      </w:r>
      <w:bookmarkEnd w:id="7"/>
    </w:p>
    <w:p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:rsidR="009455FA" w:rsidRDefault="009455FA" w:rsidP="009455FA">
      <w:pPr>
        <w:pStyle w:val="Heading2"/>
      </w:pPr>
      <w:bookmarkStart w:id="8" w:name="_Toc468347348"/>
      <w:r>
        <w:t>Fizikai felépítés</w:t>
      </w:r>
      <w:bookmarkEnd w:id="8"/>
    </w:p>
    <w:p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2043B7">
        <w:t>[3]</w:t>
      </w:r>
      <w:r w:rsidR="002043B7">
        <w:fldChar w:fldCharType="end"/>
      </w:r>
    </w:p>
    <w:p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FA0150">
        <w:rPr>
          <w:noProof/>
        </w:rPr>
        <w:t>2</w:t>
      </w:r>
      <w:r w:rsidR="00FA0150">
        <w:t>.</w:t>
      </w:r>
      <w:r w:rsidR="00FA0150">
        <w:rPr>
          <w:noProof/>
        </w:rPr>
        <w:t>1</w:t>
      </w:r>
      <w:r w:rsidR="00FA0150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:rsidR="00FA0150" w:rsidRDefault="00FA0150" w:rsidP="00FA0150">
      <w:pPr>
        <w:keepNext/>
        <w:jc w:val="center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>
        <w:pict>
          <v:shape id="_x0000_i1116" type="#_x0000_t75" alt="http://2.bp.blogspot.com/_h6Rnyooa-s4/S19wgnkuZBI/AAAAAAAAAC0/BWOsIUKu_i4/s320/B_WOU1.jpg" style="width:240pt;height:210pt">
            <v:imagedata r:id="rId11" r:href="rId12"/>
          </v:shape>
        </w:pict>
      </w:r>
      <w:r>
        <w:fldChar w:fldCharType="end"/>
      </w:r>
    </w:p>
    <w:bookmarkStart w:id="9" w:name="_Ref468382792"/>
    <w:bookmarkStart w:id="10" w:name="_Ref468382805"/>
    <w:p w:rsidR="00FA0150" w:rsidRPr="00AC13D3" w:rsidRDefault="009B4465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A0150">
        <w:t xml:space="preserve"> Ábra</w:t>
      </w:r>
      <w:bookmarkEnd w:id="9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FA0150">
        <w:t>[4]</w:t>
      </w:r>
      <w:r w:rsidR="00FA0150">
        <w:fldChar w:fldCharType="end"/>
      </w:r>
      <w:bookmarkEnd w:id="10"/>
    </w:p>
    <w:p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:rsidR="009B4465" w:rsidRDefault="009B4465" w:rsidP="009B4465">
      <w:pPr>
        <w:keepNext/>
        <w:jc w:val="center"/>
      </w:pPr>
      <w:r w:rsidRPr="009B4465">
        <w:rPr>
          <w:noProof/>
          <w:lang w:val="en-US"/>
        </w:rPr>
        <w:lastRenderedPageBreak/>
        <w:pict>
          <v:shape id="Picture 1" o:spid="_x0000_i1121" type="#_x0000_t75" style="width:152.25pt;height:149.25pt;visibility:visible;mso-wrap-style:square">
            <v:imagedata r:id="rId13" o:title=""/>
          </v:shape>
        </w:pict>
      </w:r>
    </w:p>
    <w:p w:rsidR="009B4465" w:rsidRDefault="009B4465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1B00E5">
        <w:t>[5]</w:t>
      </w:r>
      <w:r w:rsidR="001B00E5">
        <w:fldChar w:fldCharType="end"/>
      </w:r>
    </w:p>
    <w:p w:rsidR="00FA0150" w:rsidRDefault="00FA0150" w:rsidP="00AC13D3"/>
    <w:p w:rsidR="009455FA" w:rsidRDefault="009455FA" w:rsidP="009455FA">
      <w:pPr>
        <w:pStyle w:val="Heading2"/>
      </w:pPr>
      <w:bookmarkStart w:id="11" w:name="_Toc468347349"/>
      <w:bookmarkStart w:id="12" w:name="_Ref468384279"/>
      <w:r>
        <w:t>Működési elv</w:t>
      </w:r>
      <w:bookmarkEnd w:id="11"/>
      <w:bookmarkEnd w:id="12"/>
    </w:p>
    <w:p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:rsidR="00562773" w:rsidRDefault="00EB2509" w:rsidP="00EB2509">
      <w:pPr>
        <w:pStyle w:val="Heading1"/>
      </w:pPr>
      <w:bookmarkStart w:id="13" w:name="_Toc468347350"/>
      <w:r>
        <w:lastRenderedPageBreak/>
        <w:t>Aszinkron gép modellje</w:t>
      </w:r>
      <w:bookmarkEnd w:id="13"/>
    </w:p>
    <w:p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:rsidR="00EB2509" w:rsidRDefault="00EB2509" w:rsidP="00EB2509">
      <w:pPr>
        <w:pStyle w:val="Heading2"/>
      </w:pPr>
      <w:bookmarkStart w:id="14" w:name="_Toc468347351"/>
      <w:r>
        <w:t>Motor egyenletek</w:t>
      </w:r>
      <w:bookmarkEnd w:id="14"/>
    </w:p>
    <w:p w:rsidR="00A773DA" w:rsidRDefault="0002749F" w:rsidP="00A773DA">
      <w:r>
        <w:t>Mind a sztátor mind a rotor tekercsekre felírható az alábbi összefüggés:</w:t>
      </w:r>
    </w:p>
    <w:p w:rsidR="0002749F" w:rsidRDefault="0002749F" w:rsidP="0002749F">
      <w:pPr>
        <w:jc w:val="center"/>
      </w:pPr>
      <w:r>
        <w:pict>
          <v:shape id="_x0000_i1124" type="#_x0000_t75" style="width:125.25pt;height:52.5pt">
            <v:imagedata r:id="rId14" o:title="magnetic_induct"/>
          </v:shape>
        </w:pict>
      </w:r>
    </w:p>
    <w:p w:rsidR="0002749F" w:rsidRPr="00A773DA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bookmarkStart w:id="15" w:name="_GoBack"/>
      <w:bookmarkEnd w:id="15"/>
    </w:p>
    <w:p w:rsidR="00EB2509" w:rsidRDefault="00EB2509" w:rsidP="00EB2509">
      <w:pPr>
        <w:pStyle w:val="Heading2"/>
      </w:pPr>
      <w:bookmarkStart w:id="16" w:name="_Toc468347352"/>
      <w:r>
        <w:t>Motor modell állandósult állapotban</w:t>
      </w:r>
      <w:bookmarkEnd w:id="16"/>
    </w:p>
    <w:p w:rsidR="00EB2509" w:rsidRDefault="00EB2509" w:rsidP="00EB2509">
      <w:pPr>
        <w:pStyle w:val="Heading2"/>
      </w:pPr>
      <w:bookmarkStart w:id="17" w:name="_Toc468347353"/>
      <w:r>
        <w:t>Álltalános motor modell</w:t>
      </w:r>
      <w:bookmarkEnd w:id="17"/>
    </w:p>
    <w:p w:rsidR="00EB2509" w:rsidRDefault="00EB2509" w:rsidP="00EB2509">
      <w:pPr>
        <w:pStyle w:val="Heading2"/>
      </w:pPr>
      <w:bookmarkStart w:id="18" w:name="_Toc468347354"/>
      <w:r>
        <w:t>Matlab szimuláció</w:t>
      </w:r>
      <w:bookmarkEnd w:id="18"/>
    </w:p>
    <w:p w:rsidR="00EB2509" w:rsidRDefault="00EB2509" w:rsidP="00EB2509">
      <w:pPr>
        <w:pStyle w:val="Heading1"/>
      </w:pPr>
      <w:bookmarkStart w:id="19" w:name="_Toc468347355"/>
      <w:r>
        <w:lastRenderedPageBreak/>
        <w:t>Vezérlési stratégiák</w:t>
      </w:r>
      <w:bookmarkEnd w:id="19"/>
    </w:p>
    <w:p w:rsidR="00EB2509" w:rsidRDefault="00EB2509" w:rsidP="00EB2509">
      <w:pPr>
        <w:pStyle w:val="Heading2"/>
      </w:pPr>
      <w:bookmarkStart w:id="20" w:name="_Toc468347356"/>
      <w:r>
        <w:t>Hálózati táplálás</w:t>
      </w:r>
      <w:bookmarkEnd w:id="20"/>
    </w:p>
    <w:p w:rsidR="00EB2509" w:rsidRPr="00EB2509" w:rsidRDefault="00EB2509" w:rsidP="00EB2509">
      <w:pPr>
        <w:pStyle w:val="Heading2"/>
      </w:pPr>
      <w:bookmarkStart w:id="21" w:name="_Toc468347357"/>
      <w:r>
        <w:t>PWM technikák</w:t>
      </w:r>
      <w:bookmarkEnd w:id="21"/>
    </w:p>
    <w:p w:rsidR="00EB2509" w:rsidRDefault="00EB2509" w:rsidP="00EB2509">
      <w:pPr>
        <w:pStyle w:val="Heading2"/>
      </w:pPr>
      <w:bookmarkStart w:id="22" w:name="_Toc468347358"/>
      <w:r>
        <w:t>V/F vezérlés</w:t>
      </w:r>
      <w:bookmarkEnd w:id="22"/>
    </w:p>
    <w:p w:rsidR="00EB2509" w:rsidRDefault="00EB2509" w:rsidP="00EB2509">
      <w:pPr>
        <w:pStyle w:val="Heading2"/>
      </w:pPr>
      <w:bookmarkStart w:id="23" w:name="_Toc468347359"/>
      <w:r>
        <w:t>Fluxus</w:t>
      </w:r>
      <w:bookmarkEnd w:id="23"/>
    </w:p>
    <w:p w:rsidR="00EB2509" w:rsidRDefault="00EB2509" w:rsidP="00EB2509">
      <w:pPr>
        <w:pStyle w:val="Heading2"/>
      </w:pPr>
      <w:bookmarkStart w:id="24" w:name="_Toc468347360"/>
      <w:r>
        <w:t>Áram</w:t>
      </w:r>
      <w:bookmarkEnd w:id="24"/>
    </w:p>
    <w:p w:rsidR="00EB2509" w:rsidRDefault="00EB2509" w:rsidP="00EB2509">
      <w:pPr>
        <w:pStyle w:val="Heading2"/>
      </w:pPr>
      <w:bookmarkStart w:id="25" w:name="_Toc468347361"/>
      <w:r>
        <w:t>Szimuláció</w:t>
      </w:r>
      <w:bookmarkEnd w:id="25"/>
    </w:p>
    <w:p w:rsidR="00EB2509" w:rsidRPr="00EB2509" w:rsidRDefault="00EB2509" w:rsidP="00EB2509">
      <w:pPr>
        <w:pStyle w:val="Heading1"/>
      </w:pPr>
      <w:bookmarkStart w:id="26" w:name="_Toc468347362"/>
      <w:r>
        <w:lastRenderedPageBreak/>
        <w:t>Összegzés</w:t>
      </w:r>
      <w:bookmarkEnd w:id="26"/>
    </w:p>
    <w:p w:rsidR="00EB2509" w:rsidRPr="00EB2509" w:rsidRDefault="00EB2509" w:rsidP="00EB2509">
      <w:pPr>
        <w:pStyle w:val="Heading1"/>
        <w:numPr>
          <w:ilvl w:val="0"/>
          <w:numId w:val="0"/>
        </w:numPr>
      </w:pPr>
    </w:p>
    <w:p w:rsidR="00EB2509" w:rsidRPr="0037381F" w:rsidRDefault="00EB2509" w:rsidP="00225F65"/>
    <w:p w:rsidR="0063585C" w:rsidRDefault="0063585C" w:rsidP="00816BCB">
      <w:pPr>
        <w:pStyle w:val="Fejezetcimszmozsnlkl"/>
      </w:pPr>
      <w:bookmarkStart w:id="27" w:name="_Toc468347363"/>
      <w:r w:rsidRPr="00B50CAA">
        <w:lastRenderedPageBreak/>
        <w:t>Irodalomjegyzék</w:t>
      </w:r>
      <w:bookmarkEnd w:id="27"/>
    </w:p>
    <w:p w:rsidR="00B7430F" w:rsidRDefault="00B7430F" w:rsidP="00B7430F">
      <w:pPr>
        <w:pStyle w:val="Irodalomjegyzksor"/>
      </w:pPr>
      <w:bookmarkStart w:id="28" w:name="_Ref468289882"/>
      <w:bookmarkStart w:id="29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15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28"/>
    </w:p>
    <w:p w:rsidR="00E20BD3" w:rsidRDefault="00E20BD3" w:rsidP="00FC59D8">
      <w:pPr>
        <w:pStyle w:val="Irodalomjegyzksor"/>
      </w:pPr>
      <w:bookmarkStart w:id="30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16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30"/>
    </w:p>
    <w:p w:rsidR="00A256BB" w:rsidRDefault="00A256BB" w:rsidP="00A256BB">
      <w:pPr>
        <w:pStyle w:val="Irodalomjegyzksor"/>
      </w:pPr>
      <w:bookmarkStart w:id="31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17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31"/>
    </w:p>
    <w:p w:rsidR="00FA0150" w:rsidRDefault="00FA0150" w:rsidP="00FA0150">
      <w:pPr>
        <w:pStyle w:val="Irodalomjegyzksor"/>
      </w:pPr>
      <w:bookmarkStart w:id="32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18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32"/>
    </w:p>
    <w:p w:rsidR="009B4465" w:rsidRDefault="009B4465" w:rsidP="009B4465">
      <w:pPr>
        <w:pStyle w:val="Irodalomjegyzksor"/>
      </w:pPr>
      <w:bookmarkStart w:id="33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19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33"/>
    </w:p>
    <w:p w:rsidR="009B4465" w:rsidRDefault="009B4465" w:rsidP="009B4465">
      <w:pPr>
        <w:pStyle w:val="Irodalomjegyzksor"/>
      </w:pPr>
    </w:p>
    <w:p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29"/>
    </w:p>
    <w:p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20" w:history="1">
        <w:r w:rsidRPr="00EE1A1F">
          <w:rPr>
            <w:rStyle w:val="Hyperlink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21" w:history="1">
        <w:r w:rsidR="00D95E2C" w:rsidRPr="00D95E2C">
          <w:rPr>
            <w:rStyle w:val="Hyperlink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:rsidR="00B50CAA" w:rsidRDefault="00B50CAA" w:rsidP="00816BCB">
      <w:pPr>
        <w:pStyle w:val="Fejezetcimszmozsnlkl"/>
      </w:pPr>
      <w:bookmarkStart w:id="34" w:name="_Toc468347364"/>
      <w:r>
        <w:lastRenderedPageBreak/>
        <w:t>Függelék</w:t>
      </w:r>
      <w:bookmarkEnd w:id="34"/>
    </w:p>
    <w:p w:rsidR="00B50CAA" w:rsidRDefault="00B50CAA" w:rsidP="00B50CAA"/>
    <w:sectPr w:rsidR="00B50CAA" w:rsidSect="00D23BFC">
      <w:headerReference w:type="even" r:id="rId22"/>
      <w:footerReference w:type="default" r:id="rId2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7C" w:rsidRDefault="00B5627C">
      <w:r>
        <w:separator/>
      </w:r>
    </w:p>
  </w:endnote>
  <w:endnote w:type="continuationSeparator" w:id="0">
    <w:p w:rsidR="00B5627C" w:rsidRDefault="00B56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749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7C" w:rsidRDefault="00B5627C">
      <w:r>
        <w:separator/>
      </w:r>
    </w:p>
  </w:footnote>
  <w:footnote w:type="continuationSeparator" w:id="0">
    <w:p w:rsidR="00B5627C" w:rsidRDefault="00B5627C">
      <w:r>
        <w:continuationSeparator/>
      </w:r>
    </w:p>
  </w:footnote>
  <w:footnote w:id="1">
    <w:p w:rsidR="008F5D79" w:rsidRDefault="008F5D79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:rsidR="008F5D79" w:rsidRDefault="008F5D79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:rsidR="008F5D79" w:rsidRDefault="008F5D79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parazita hatásokat elhanyagolva.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/>
  <w:p w:rsidR="008F5D79" w:rsidRDefault="008F5D79"/>
  <w:p w:rsidR="008F5D79" w:rsidRDefault="008F5D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A7483"/>
    <w:rsid w:val="000B53E0"/>
    <w:rsid w:val="00123CDB"/>
    <w:rsid w:val="00171054"/>
    <w:rsid w:val="00195054"/>
    <w:rsid w:val="001A57BC"/>
    <w:rsid w:val="001B00E5"/>
    <w:rsid w:val="002043B7"/>
    <w:rsid w:val="002102C3"/>
    <w:rsid w:val="00225F65"/>
    <w:rsid w:val="00227347"/>
    <w:rsid w:val="00267677"/>
    <w:rsid w:val="00281BBB"/>
    <w:rsid w:val="002841F9"/>
    <w:rsid w:val="002A6B2C"/>
    <w:rsid w:val="002D0621"/>
    <w:rsid w:val="002D7DA9"/>
    <w:rsid w:val="002E0E8A"/>
    <w:rsid w:val="002E1D2A"/>
    <w:rsid w:val="00302BB3"/>
    <w:rsid w:val="00313013"/>
    <w:rsid w:val="00350AEC"/>
    <w:rsid w:val="00370D69"/>
    <w:rsid w:val="0037381F"/>
    <w:rsid w:val="0039134A"/>
    <w:rsid w:val="003A4CDB"/>
    <w:rsid w:val="003A610A"/>
    <w:rsid w:val="003E70B1"/>
    <w:rsid w:val="003F5425"/>
    <w:rsid w:val="00400BC6"/>
    <w:rsid w:val="00410924"/>
    <w:rsid w:val="004309DF"/>
    <w:rsid w:val="0048395A"/>
    <w:rsid w:val="004851C7"/>
    <w:rsid w:val="00495D31"/>
    <w:rsid w:val="004E1053"/>
    <w:rsid w:val="00502A30"/>
    <w:rsid w:val="00541723"/>
    <w:rsid w:val="005524FC"/>
    <w:rsid w:val="00562773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B0E1E"/>
    <w:rsid w:val="006D338C"/>
    <w:rsid w:val="006F512E"/>
    <w:rsid w:val="00700E3A"/>
    <w:rsid w:val="00730B3C"/>
    <w:rsid w:val="0075706D"/>
    <w:rsid w:val="007C3192"/>
    <w:rsid w:val="00816BCB"/>
    <w:rsid w:val="00854BDC"/>
    <w:rsid w:val="00874A86"/>
    <w:rsid w:val="008E7228"/>
    <w:rsid w:val="008F5D79"/>
    <w:rsid w:val="0090541F"/>
    <w:rsid w:val="00940CB1"/>
    <w:rsid w:val="009455FA"/>
    <w:rsid w:val="0098532E"/>
    <w:rsid w:val="009B1AB8"/>
    <w:rsid w:val="009B4465"/>
    <w:rsid w:val="009C1C93"/>
    <w:rsid w:val="009F428A"/>
    <w:rsid w:val="00A256BB"/>
    <w:rsid w:val="00A32DC7"/>
    <w:rsid w:val="00A34DC4"/>
    <w:rsid w:val="00A773DA"/>
    <w:rsid w:val="00AB511F"/>
    <w:rsid w:val="00AC13D3"/>
    <w:rsid w:val="00AE05C4"/>
    <w:rsid w:val="00B13FD0"/>
    <w:rsid w:val="00B36577"/>
    <w:rsid w:val="00B4104A"/>
    <w:rsid w:val="00B50CAA"/>
    <w:rsid w:val="00B5627C"/>
    <w:rsid w:val="00B7430F"/>
    <w:rsid w:val="00B96880"/>
    <w:rsid w:val="00C00B3C"/>
    <w:rsid w:val="00C034A2"/>
    <w:rsid w:val="00C2686E"/>
    <w:rsid w:val="00C31260"/>
    <w:rsid w:val="00C53F92"/>
    <w:rsid w:val="00C73DEE"/>
    <w:rsid w:val="00C83A5F"/>
    <w:rsid w:val="00C90E39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15A80"/>
    <w:rsid w:val="00E20BD3"/>
    <w:rsid w:val="00E42F0D"/>
    <w:rsid w:val="00E8385C"/>
    <w:rsid w:val="00E86A0C"/>
    <w:rsid w:val="00EB2509"/>
    <w:rsid w:val="00EE1A1F"/>
    <w:rsid w:val="00EE2264"/>
    <w:rsid w:val="00F050F9"/>
    <w:rsid w:val="00F3684F"/>
    <w:rsid w:val="00FA0150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1">
          <o:proxy start="" idref="#_s1038" connectloc="0"/>
          <o:proxy end="" idref="#_s1036" connectloc="2"/>
        </o:r>
        <o:r id="V:Rule3" type="connector" idref="#_s1044">
          <o:proxy start="" idref="#_s1043" connectloc="0"/>
          <o:proxy end="" idref="#_s1037" connectloc="2"/>
        </o:r>
        <o:r id="V:Rule4" type="connector" idref="#_s1046">
          <o:proxy start="" idref="#_s1045" connectloc="0"/>
          <o:proxy end="" idref="#_s1037" connectloc="2"/>
        </o:r>
        <o:r id="V:Rule5" type="connector" idref="#_s1048">
          <o:proxy start="" idref="#_s1047" connectloc="1"/>
          <o:proxy end="" idref="#_s1038" connectloc="2"/>
        </o:r>
        <o:r id="V:Rule6" type="connector" idref="#_s1050">
          <o:proxy start="" idref="#_s1049" connectloc="1"/>
          <o:proxy end="" idref="#_s1038" connectloc="2"/>
        </o:r>
        <o:r id="V:Rule7" type="connector" idref="#_s1052">
          <o:proxy start="" idref="#_s1051" connectloc="1"/>
          <o:proxy end="" idref="#_s1045" connectloc="2"/>
        </o:r>
        <o:r id="V:Rule8" type="connector" idref="#_s1054">
          <o:proxy start="" idref="#_s1053" connectloc="1"/>
          <o:proxy end="" idref="#_s1045" connectloc="2"/>
        </o:r>
        <o:r id="V:Rule9" type="connector" idref="#_s1056">
          <o:proxy start="" idref="#_s1055" connectloc="1"/>
          <o:proxy end="" idref="#_s1043" connectloc="2"/>
        </o:r>
        <o:r id="V:Rule10" type="connector" idref="#_s1058">
          <o:proxy start="" idref="#_s1057" connectloc="1"/>
          <o:proxy end="" idref="#_s1043" connectloc="2"/>
        </o:r>
        <o:r id="V:Rule11" type="connector" idref="#_s1060">
          <o:proxy start="" idref="#_s1059" connectloc="1"/>
          <o:proxy end="" idref="#_s1038" connectloc="2"/>
        </o:r>
      </o:rules>
    </o:shapelayout>
  </w:shapeDefaults>
  <w:decimalSymbol w:val="."/>
  <w:listSeparator w:val=","/>
  <w14:docId w14:val="3AB90F31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basedOn w:val="DobozChar"/>
    <w:link w:val="Doboz2"/>
    <w:rsid w:val="00FC59D8"/>
    <w:rPr>
      <w:sz w:val="22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2.bp.blogspot.com/_h6Rnyooa-s4/S19wgnkuZBI/AAAAAAAAAC0/BWOsIUKu_i4/s320/B_WOU1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Evaluation_strategy" TargetMode="External"/><Relationship Id="rId7" Type="http://schemas.openxmlformats.org/officeDocument/2006/relationships/endnotes" Target="endnot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hyperlink" Target="https://en.wikipedia.org/wiki/Induction_moto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et.bme.hu/sites/default/files/tantargyi_fajlok/sze%2C%202016/03/30%20-%2013%3A18/KVGH_Ch1%20ElMechElm%202016%20tavasz.pdf" TargetMode="External"/><Relationship Id="rId20" Type="http://schemas.openxmlformats.org/officeDocument/2006/relationships/hyperlink" Target="http://www.ni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et.bme.hu/drupal/sites/default/files/tantargyi_fajlok/VillGepekKiegV10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hyperlink" Target="https://qph.ec.quoracdn.net/main-qimg-2bd11901ce5362393e93c178b42dc083?convert_to_webp=tru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4A211-43D3-46A2-9513-C5FFC5F4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1303</TotalTime>
  <Pages>17</Pages>
  <Words>1975</Words>
  <Characters>11026</Characters>
  <Application>Microsoft Office Word</Application>
  <DocSecurity>0</DocSecurity>
  <Lines>689</Lines>
  <Paragraphs>650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12351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>Villamos gépek</dc:subject>
  <dc:creator>Rácz Benedek György</dc:creator>
  <cp:keywords/>
  <dc:description>Diplomatervezés 1 (MSc)</dc:description>
  <cp:lastModifiedBy>Benedek Racz</cp:lastModifiedBy>
  <cp:revision>17</cp:revision>
  <cp:lastPrinted>2002-07-08T12:51:00Z</cp:lastPrinted>
  <dcterms:created xsi:type="dcterms:W3CDTF">2016-11-30T16:31:00Z</dcterms:created>
  <dcterms:modified xsi:type="dcterms:W3CDTF">2016-12-01T19:36:00Z</dcterms:modified>
</cp:coreProperties>
</file>