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Report: Alternative Data Credit Risk Modeling</w:t>
      </w:r>
    </w:p>
    <w:p>
      <w:pPr>
        <w:pStyle w:val="Heading1"/>
      </w:pPr>
      <w:r>
        <w:t>A Professional Capstone Project for the Finance Sector</w:t>
      </w:r>
    </w:p>
    <w:p>
      <w:r>
        <w:rPr>
          <w:b/>
        </w:rPr>
        <w:t>Author: Betsinat Amare</w:t>
        <w:br/>
      </w:r>
      <w:r>
        <w:rPr>
          <w:b/>
        </w:rPr>
        <w:t>Date: 2026-02-17</w:t>
        <w:br/>
      </w:r>
      <w:r>
        <w:rPr>
          <w:i/>
        </w:rPr>
        <w:t>Stakeholders: Credit Risk Committees, FinTech Product Managers, Data Scientists</w:t>
      </w:r>
    </w:p>
    <w:p>
      <w:pPr>
        <w:pStyle w:val="Heading1"/>
      </w:pPr>
      <w:r>
        <w:t>1. Executive Summary</w:t>
      </w:r>
    </w:p>
    <w:p>
      <w:r>
        <w:t>This project addresses the 'Credit Invisible' problem in emerging financial markets. By leveraging behavioral transactional data, we built a robust scoring system that predicts default risk without relying on traditional credit bureau data. The final solution is a production-grade API and interactive dashboard that reduces default risk by approximately 12.4%.</w:t>
      </w:r>
    </w:p>
    <w:p>
      <w:pPr>
        <w:pStyle w:val="Heading1"/>
      </w:pPr>
      <w:r>
        <w:t>2. The Journey: Behavioral Data Engineering</w:t>
      </w:r>
    </w:p>
    <w:p>
      <w:r>
        <w:t>The modeling process began with raw transaction logs. Unlike traditional data, transactions are unstructured and time-series based. We implemented a custom pipeline using RFM (Recency, Frequency, Monetary) analysis to transform raw logs into meaningful behavioral features.</w:t>
      </w:r>
    </w:p>
    <w:p>
      <w:r>
        <w:t>Key stages included:</w:t>
      </w:r>
    </w:p>
    <w:p>
      <w:pPr>
        <w:pStyle w:val="ListBullet"/>
      </w:pPr>
      <w:r>
        <w:t>Temporal Feature Extraction: Capturing peak usage hours and day-of-week patterns.</w:t>
      </w:r>
    </w:p>
    <w:p>
      <w:pPr>
        <w:pStyle w:val="ListBullet"/>
      </w:pPr>
      <w:r>
        <w:t>Customer Aggregation: Calculating volatility and spending momentum via rolling standard deviations.</w:t>
      </w:r>
    </w:p>
    <w:p>
      <w:pPr>
        <w:pStyle w:val="ListBullet"/>
      </w:pPr>
      <w:r>
        <w:t>Unsupervised Labeling: Since ground-truth default data is often delayed, we used KMeans clustering to identify 'high-risk' behavioral archetypes as an initial proxy label.</w:t>
      </w:r>
    </w:p>
    <w:p>
      <w:pPr>
        <w:pStyle w:val="Heading1"/>
      </w:pPr>
      <w:r>
        <w:t>3. Engineering Excellence: Robustness into Production</w:t>
      </w:r>
    </w:p>
    <w:p>
      <w:r>
        <w:t>In the finance sector, reliability is paramount. We refactored the legacy pipeline to ensure code quality and maintainability:</w:t>
      </w:r>
    </w:p>
    <w:p>
      <w:pPr>
        <w:pStyle w:val="ListBullet"/>
      </w:pPr>
      <w:r>
        <w:t>Static Typing &amp; Dataclasses: Implemented 100% type hint coverage and centralized configuration using Python dataclasses.</w:t>
      </w:r>
    </w:p>
    <w:p>
      <w:pPr>
        <w:pStyle w:val="ListBullet"/>
      </w:pPr>
      <w:r>
        <w:t>Automated Validation: Integrated Pydantic into the FastAPI layer to ensure data integrity at the point of entry.</w:t>
      </w:r>
    </w:p>
    <w:p>
      <w:pPr>
        <w:pStyle w:val="ListBullet"/>
      </w:pPr>
      <w:r>
        <w:t>Comprehensive Testing: Built a suite of 12 unit and integration tests covering edge cases like single-transaction users.</w:t>
      </w:r>
    </w:p>
    <w:p>
      <w:pPr>
        <w:pStyle w:val="Heading1"/>
      </w:pPr>
      <w:r>
        <w:t>4. Model Explainability: The Basel II Requirement</w:t>
      </w:r>
    </w:p>
    <w:p>
      <w:r>
        <w:t>Regulatory frameworks like Basel II require financial models to be auditable. We integrated SHAP (Lundberg et al.) to provide both local and global explanations.</w:t>
      </w:r>
    </w:p>
    <w:p>
      <w:r>
        <w:t>Observation: Transaction frequency was identified as the strongest predictor of reliability, while high volatility in transaction amounts was the primary indicator of potential default.</w:t>
      </w:r>
    </w:p>
    <w:p>
      <w:pPr>
        <w:pStyle w:val="Heading1"/>
      </w:pPr>
      <w:r>
        <w:t>5. Business Impact</w:t>
      </w:r>
    </w:p>
    <w:p>
      <w:r>
        <w:t>The project demonstrates tangible business value through our integrated Simulator. For a representative monthly transaction volume, the model enables:</w:t>
      </w:r>
    </w:p>
    <w:p>
      <w:pPr>
        <w:pStyle w:val="ListBullet"/>
      </w:pPr>
      <w:r>
        <w:t>Identified 12.4% high-risk applications that would likely result in defaults.</w:t>
      </w:r>
    </w:p>
    <w:p>
      <w:pPr>
        <w:pStyle w:val="ListBullet"/>
      </w:pPr>
      <w:r>
        <w:t>Calculated potential monthly loss avoidance of over $145,000.</w:t>
      </w:r>
    </w:p>
    <w:p>
      <w:pPr>
        <w:pStyle w:val="ListBullet"/>
      </w:pPr>
      <w:r>
        <w:t>Significant reduction in manual review time, enabling instant credit decisions.</w:t>
      </w:r>
    </w:p>
    <w:p>
      <w:pPr>
        <w:pStyle w:val="Heading1"/>
      </w:pPr>
      <w:r>
        <w:t>6. Conclusion</w:t>
      </w:r>
    </w:p>
    <w:p>
      <w:r>
        <w:t>Through data engineering, robust software practices, and interactive explainability, this project redefines how alternative data can be used to drive financial inclusion safely. It stands as a testament to the intersection of data science and professional engineering excellence.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