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50259" w14:textId="43FF05A5" w:rsidR="00AB6902" w:rsidRDefault="00AB6902" w:rsidP="00A24F9F">
      <w:pPr>
        <w:spacing w:line="240" w:lineRule="auto"/>
        <w:ind w:firstLine="0"/>
        <w:rPr>
          <w:rFonts w:asciiTheme="minorHAnsi" w:hAnsiTheme="minorHAnsi" w:cstheme="minorHAnsi"/>
          <w:b/>
          <w:bCs/>
          <w:sz w:val="22"/>
          <w:szCs w:val="22"/>
        </w:rPr>
      </w:pPr>
      <w:r>
        <w:rPr>
          <w:rFonts w:asciiTheme="minorHAnsi" w:hAnsiTheme="minorHAnsi" w:cstheme="minorHAnsi"/>
          <w:b/>
          <w:bCs/>
          <w:sz w:val="22"/>
          <w:szCs w:val="22"/>
        </w:rPr>
        <w:t xml:space="preserve">Online Technical Appendix for What Works for Whom: </w:t>
      </w:r>
      <w:r w:rsidRPr="00602526">
        <w:rPr>
          <w:rFonts w:asciiTheme="minorHAnsi" w:hAnsiTheme="minorHAnsi" w:cstheme="minorHAnsi"/>
          <w:b/>
          <w:bCs/>
          <w:sz w:val="22"/>
          <w:szCs w:val="22"/>
        </w:rPr>
        <w:t>E</w:t>
      </w:r>
      <w:r w:rsidR="006348E3">
        <w:rPr>
          <w:rFonts w:asciiTheme="minorHAnsi" w:hAnsiTheme="minorHAnsi" w:cstheme="minorHAnsi"/>
          <w:b/>
          <w:bCs/>
          <w:sz w:val="22"/>
          <w:szCs w:val="22"/>
        </w:rPr>
        <w:t>xploring the students, settings, and outcomes in W</w:t>
      </w:r>
      <w:r w:rsidR="00CC10E9">
        <w:rPr>
          <w:rFonts w:asciiTheme="minorHAnsi" w:hAnsiTheme="minorHAnsi" w:cstheme="minorHAnsi"/>
          <w:b/>
          <w:bCs/>
          <w:sz w:val="22"/>
          <w:szCs w:val="22"/>
        </w:rPr>
        <w:t xml:space="preserve">hat </w:t>
      </w:r>
      <w:r w:rsidR="006348E3">
        <w:rPr>
          <w:rFonts w:asciiTheme="minorHAnsi" w:hAnsiTheme="minorHAnsi" w:cstheme="minorHAnsi"/>
          <w:b/>
          <w:bCs/>
          <w:sz w:val="22"/>
          <w:szCs w:val="22"/>
        </w:rPr>
        <w:t>W</w:t>
      </w:r>
      <w:r w:rsidR="00CC10E9">
        <w:rPr>
          <w:rFonts w:asciiTheme="minorHAnsi" w:hAnsiTheme="minorHAnsi" w:cstheme="minorHAnsi"/>
          <w:b/>
          <w:bCs/>
          <w:sz w:val="22"/>
          <w:szCs w:val="22"/>
        </w:rPr>
        <w:t xml:space="preserve">orks </w:t>
      </w:r>
      <w:r w:rsidR="006348E3">
        <w:rPr>
          <w:rFonts w:asciiTheme="minorHAnsi" w:hAnsiTheme="minorHAnsi" w:cstheme="minorHAnsi"/>
          <w:b/>
          <w:bCs/>
          <w:sz w:val="22"/>
          <w:szCs w:val="22"/>
        </w:rPr>
        <w:t>C</w:t>
      </w:r>
      <w:r w:rsidR="00CC10E9">
        <w:rPr>
          <w:rFonts w:asciiTheme="minorHAnsi" w:hAnsiTheme="minorHAnsi" w:cstheme="minorHAnsi"/>
          <w:b/>
          <w:bCs/>
          <w:sz w:val="22"/>
          <w:szCs w:val="22"/>
        </w:rPr>
        <w:t>learinghouse</w:t>
      </w:r>
      <w:r w:rsidR="006348E3">
        <w:rPr>
          <w:rFonts w:asciiTheme="minorHAnsi" w:hAnsiTheme="minorHAnsi" w:cstheme="minorHAnsi"/>
          <w:b/>
          <w:bCs/>
          <w:sz w:val="22"/>
          <w:szCs w:val="22"/>
        </w:rPr>
        <w:t xml:space="preserve"> study data</w:t>
      </w:r>
    </w:p>
    <w:p w14:paraId="7D2405AC" w14:textId="0A78030D" w:rsidR="00AB6902" w:rsidRDefault="00AB6902" w:rsidP="00AB6902">
      <w:pPr>
        <w:ind w:firstLine="0"/>
        <w:jc w:val="center"/>
        <w:rPr>
          <w:rFonts w:asciiTheme="minorHAnsi" w:hAnsiTheme="minorHAnsi" w:cstheme="minorHAnsi"/>
          <w:b/>
          <w:bCs/>
          <w:sz w:val="22"/>
          <w:szCs w:val="22"/>
        </w:rPr>
      </w:pPr>
    </w:p>
    <w:p w14:paraId="5C5F458C" w14:textId="2E2C1ED3" w:rsidR="00C5624E" w:rsidRDefault="00AB6902" w:rsidP="00AB6902">
      <w:pPr>
        <w:spacing w:line="240" w:lineRule="auto"/>
        <w:ind w:firstLine="0"/>
        <w:rPr>
          <w:rFonts w:asciiTheme="minorHAnsi" w:hAnsiTheme="minorHAnsi" w:cstheme="minorHAnsi"/>
          <w:sz w:val="22"/>
          <w:szCs w:val="22"/>
        </w:rPr>
      </w:pPr>
      <w:r>
        <w:rPr>
          <w:rFonts w:asciiTheme="minorHAnsi" w:hAnsiTheme="minorHAnsi" w:cstheme="minorHAnsi"/>
          <w:sz w:val="22"/>
          <w:szCs w:val="22"/>
        </w:rPr>
        <w:t xml:space="preserve">This online technical appendix is presented as a Google Drive document to facilitate an anonymous review. The materials will ultimately be available on GitHub. </w:t>
      </w:r>
    </w:p>
    <w:p w14:paraId="6DA751C0" w14:textId="350CA209" w:rsidR="00AB6902" w:rsidRDefault="00AB6902">
      <w:pPr>
        <w:spacing w:after="160" w:line="259" w:lineRule="auto"/>
        <w:ind w:firstLine="0"/>
        <w:rPr>
          <w:rFonts w:asciiTheme="minorHAnsi" w:hAnsiTheme="minorHAnsi" w:cstheme="minorHAnsi"/>
          <w:sz w:val="22"/>
          <w:szCs w:val="22"/>
        </w:rPr>
      </w:pPr>
    </w:p>
    <w:p w14:paraId="609BFC02" w14:textId="142AC3BA" w:rsidR="00AB6902" w:rsidRDefault="00AB6902" w:rsidP="00AB6902">
      <w:pPr>
        <w:pStyle w:val="FootnoteText"/>
        <w:rPr>
          <w:sz w:val="22"/>
          <w:szCs w:val="22"/>
        </w:rPr>
      </w:pPr>
      <w:r w:rsidRPr="00D46472">
        <w:rPr>
          <w:sz w:val="22"/>
          <w:szCs w:val="22"/>
        </w:rPr>
        <w:t xml:space="preserve">This technical appendix </w:t>
      </w:r>
      <w:r>
        <w:rPr>
          <w:sz w:val="22"/>
          <w:szCs w:val="22"/>
        </w:rPr>
        <w:t xml:space="preserve">contains </w:t>
      </w:r>
      <w:r w:rsidR="00A85597">
        <w:rPr>
          <w:sz w:val="22"/>
          <w:szCs w:val="22"/>
        </w:rPr>
        <w:t>five</w:t>
      </w:r>
      <w:r>
        <w:rPr>
          <w:sz w:val="22"/>
          <w:szCs w:val="22"/>
        </w:rPr>
        <w:t xml:space="preserve"> parts:</w:t>
      </w:r>
    </w:p>
    <w:p w14:paraId="5B1FD435" w14:textId="43373204" w:rsidR="00AB6902" w:rsidRDefault="00AB6902" w:rsidP="00AB6902">
      <w:pPr>
        <w:pStyle w:val="FootnoteText"/>
        <w:numPr>
          <w:ilvl w:val="0"/>
          <w:numId w:val="5"/>
        </w:numPr>
        <w:rPr>
          <w:sz w:val="22"/>
          <w:szCs w:val="22"/>
        </w:rPr>
      </w:pPr>
      <w:r w:rsidRPr="00D15EA7">
        <w:rPr>
          <w:b/>
          <w:bCs/>
          <w:sz w:val="22"/>
          <w:szCs w:val="22"/>
        </w:rPr>
        <w:t xml:space="preserve">Part </w:t>
      </w:r>
      <w:r w:rsidR="005A0031">
        <w:rPr>
          <w:b/>
          <w:bCs/>
          <w:sz w:val="22"/>
          <w:szCs w:val="22"/>
        </w:rPr>
        <w:t>A</w:t>
      </w:r>
      <w:r>
        <w:rPr>
          <w:sz w:val="22"/>
          <w:szCs w:val="22"/>
        </w:rPr>
        <w:t xml:space="preserve"> </w:t>
      </w:r>
      <w:r w:rsidRPr="00D46472">
        <w:rPr>
          <w:sz w:val="22"/>
          <w:szCs w:val="22"/>
        </w:rPr>
        <w:t xml:space="preserve">provides more information about the extraction and cleaning of the WWC study for this paper. </w:t>
      </w:r>
    </w:p>
    <w:p w14:paraId="6F1CDC47" w14:textId="7A107E53" w:rsidR="00AB6902" w:rsidRDefault="00AB6902" w:rsidP="00AB6902">
      <w:pPr>
        <w:pStyle w:val="FootnoteText"/>
        <w:numPr>
          <w:ilvl w:val="0"/>
          <w:numId w:val="5"/>
        </w:numPr>
        <w:rPr>
          <w:sz w:val="22"/>
          <w:szCs w:val="22"/>
        </w:rPr>
      </w:pPr>
      <w:r w:rsidRPr="00D15EA7">
        <w:rPr>
          <w:b/>
          <w:bCs/>
          <w:sz w:val="22"/>
          <w:szCs w:val="22"/>
        </w:rPr>
        <w:t xml:space="preserve">Part </w:t>
      </w:r>
      <w:r w:rsidR="005A0031">
        <w:rPr>
          <w:b/>
          <w:bCs/>
          <w:sz w:val="22"/>
          <w:szCs w:val="22"/>
        </w:rPr>
        <w:t>B</w:t>
      </w:r>
      <w:r>
        <w:rPr>
          <w:sz w:val="22"/>
          <w:szCs w:val="22"/>
        </w:rPr>
        <w:t xml:space="preserve"> includes information about the degree to which the study data are missing contextual information about the underlying studies by the WWC’s purpose of review. </w:t>
      </w:r>
    </w:p>
    <w:p w14:paraId="65CB26D8" w14:textId="223B0801" w:rsidR="000F6236" w:rsidRDefault="000F6236" w:rsidP="00AB6902">
      <w:pPr>
        <w:pStyle w:val="FootnoteText"/>
        <w:numPr>
          <w:ilvl w:val="0"/>
          <w:numId w:val="5"/>
        </w:numPr>
        <w:rPr>
          <w:sz w:val="22"/>
          <w:szCs w:val="22"/>
        </w:rPr>
      </w:pPr>
      <w:r w:rsidRPr="00D15EA7">
        <w:rPr>
          <w:b/>
          <w:bCs/>
          <w:sz w:val="22"/>
          <w:szCs w:val="22"/>
        </w:rPr>
        <w:t xml:space="preserve">Part </w:t>
      </w:r>
      <w:r>
        <w:rPr>
          <w:b/>
          <w:bCs/>
          <w:sz w:val="22"/>
          <w:szCs w:val="22"/>
        </w:rPr>
        <w:t>C</w:t>
      </w:r>
      <w:r>
        <w:rPr>
          <w:sz w:val="22"/>
          <w:szCs w:val="22"/>
        </w:rPr>
        <w:t xml:space="preserve"> provides more information about the </w:t>
      </w:r>
      <w:r w:rsidR="00A502EE">
        <w:rPr>
          <w:sz w:val="22"/>
          <w:szCs w:val="22"/>
        </w:rPr>
        <w:t>National Center for Education Statistics</w:t>
      </w:r>
      <w:r>
        <w:rPr>
          <w:sz w:val="22"/>
          <w:szCs w:val="22"/>
        </w:rPr>
        <w:t xml:space="preserve"> </w:t>
      </w:r>
      <w:r w:rsidR="00A502EE">
        <w:rPr>
          <w:sz w:val="22"/>
          <w:szCs w:val="22"/>
        </w:rPr>
        <w:t xml:space="preserve">and Office of Civil Rights </w:t>
      </w:r>
      <w:r>
        <w:rPr>
          <w:sz w:val="22"/>
          <w:szCs w:val="22"/>
        </w:rPr>
        <w:t xml:space="preserve">data used as a point of comparison to </w:t>
      </w:r>
      <w:r w:rsidR="00DF1FC0">
        <w:rPr>
          <w:sz w:val="22"/>
          <w:szCs w:val="22"/>
        </w:rPr>
        <w:t>calculate</w:t>
      </w:r>
      <w:r>
        <w:rPr>
          <w:sz w:val="22"/>
          <w:szCs w:val="22"/>
        </w:rPr>
        <w:t xml:space="preserve"> </w:t>
      </w:r>
      <w:r w:rsidR="00A17DA2">
        <w:rPr>
          <w:sz w:val="22"/>
          <w:szCs w:val="22"/>
        </w:rPr>
        <w:t xml:space="preserve">descriptives </w:t>
      </w:r>
      <w:r w:rsidR="00EE4C25">
        <w:rPr>
          <w:sz w:val="22"/>
          <w:szCs w:val="22"/>
        </w:rPr>
        <w:t>for all</w:t>
      </w:r>
      <w:r w:rsidR="00A17DA2">
        <w:rPr>
          <w:sz w:val="22"/>
          <w:szCs w:val="22"/>
        </w:rPr>
        <w:t xml:space="preserve"> schools and students in the U.S. </w:t>
      </w:r>
    </w:p>
    <w:p w14:paraId="581A349F" w14:textId="5CD35502" w:rsidR="002145E6" w:rsidRDefault="002145E6" w:rsidP="00AB6902">
      <w:pPr>
        <w:pStyle w:val="FootnoteText"/>
        <w:numPr>
          <w:ilvl w:val="0"/>
          <w:numId w:val="5"/>
        </w:numPr>
        <w:rPr>
          <w:sz w:val="22"/>
          <w:szCs w:val="22"/>
        </w:rPr>
      </w:pPr>
      <w:r>
        <w:rPr>
          <w:b/>
          <w:bCs/>
          <w:sz w:val="22"/>
          <w:szCs w:val="22"/>
        </w:rPr>
        <w:t xml:space="preserve">Part D </w:t>
      </w:r>
      <w:r>
        <w:rPr>
          <w:sz w:val="22"/>
          <w:szCs w:val="22"/>
        </w:rPr>
        <w:t>includes additional graph</w:t>
      </w:r>
      <w:r w:rsidR="00155E2E">
        <w:rPr>
          <w:sz w:val="22"/>
          <w:szCs w:val="22"/>
        </w:rPr>
        <w:t>s</w:t>
      </w:r>
      <w:r>
        <w:rPr>
          <w:sz w:val="22"/>
          <w:szCs w:val="22"/>
        </w:rPr>
        <w:t xml:space="preserve">. </w:t>
      </w:r>
    </w:p>
    <w:p w14:paraId="543D6ED4" w14:textId="7196523E" w:rsidR="00B81367" w:rsidRDefault="00B81367" w:rsidP="00AB6902">
      <w:pPr>
        <w:pStyle w:val="FootnoteText"/>
        <w:numPr>
          <w:ilvl w:val="0"/>
          <w:numId w:val="5"/>
        </w:numPr>
        <w:rPr>
          <w:sz w:val="22"/>
          <w:szCs w:val="22"/>
        </w:rPr>
      </w:pPr>
      <w:r>
        <w:rPr>
          <w:b/>
          <w:bCs/>
          <w:sz w:val="22"/>
          <w:szCs w:val="22"/>
        </w:rPr>
        <w:t xml:space="preserve">Part E </w:t>
      </w:r>
      <w:r>
        <w:rPr>
          <w:sz w:val="22"/>
          <w:szCs w:val="22"/>
        </w:rPr>
        <w:t xml:space="preserve">includes </w:t>
      </w:r>
      <w:r w:rsidR="00466A19">
        <w:rPr>
          <w:sz w:val="22"/>
          <w:szCs w:val="22"/>
        </w:rPr>
        <w:t xml:space="preserve">additional </w:t>
      </w:r>
      <w:r>
        <w:rPr>
          <w:sz w:val="22"/>
          <w:szCs w:val="22"/>
        </w:rPr>
        <w:t xml:space="preserve">references for the technical appendix. </w:t>
      </w:r>
    </w:p>
    <w:p w14:paraId="40B0FB0D" w14:textId="77777777" w:rsidR="00AB6902" w:rsidRDefault="00AB6902">
      <w:pPr>
        <w:spacing w:after="160" w:line="259" w:lineRule="auto"/>
        <w:ind w:firstLine="0"/>
        <w:rPr>
          <w:rFonts w:asciiTheme="minorHAnsi" w:hAnsiTheme="minorHAnsi" w:cstheme="minorHAnsi"/>
          <w:sz w:val="22"/>
          <w:szCs w:val="22"/>
        </w:rPr>
      </w:pPr>
    </w:p>
    <w:p w14:paraId="02A1AB83" w14:textId="77777777" w:rsidR="00AB6902" w:rsidRDefault="00AB6902">
      <w:pPr>
        <w:spacing w:after="160" w:line="259" w:lineRule="auto"/>
        <w:ind w:firstLine="0"/>
        <w:rPr>
          <w:rFonts w:asciiTheme="minorHAnsi" w:eastAsiaTheme="minorHAnsi" w:hAnsiTheme="minorHAnsi" w:cs="Arial"/>
          <w:b/>
          <w:i/>
          <w:noProof/>
          <w:color w:val="405D88"/>
          <w:szCs w:val="26"/>
        </w:rPr>
      </w:pPr>
      <w:r>
        <w:br w:type="page"/>
      </w:r>
    </w:p>
    <w:p w14:paraId="3C6D21D1" w14:textId="3611B311" w:rsidR="00AB6902" w:rsidRPr="00AB6902" w:rsidRDefault="00AB6902" w:rsidP="00457B72">
      <w:pPr>
        <w:pStyle w:val="22dRELlevel2headingappendix"/>
        <w:keepNext w:val="0"/>
        <w:keepLines w:val="0"/>
        <w:suppressAutoHyphens w:val="0"/>
        <w:spacing w:before="0" w:after="160" w:line="259" w:lineRule="auto"/>
        <w:outlineLvl w:val="9"/>
      </w:pPr>
      <w:r w:rsidRPr="00AB6902">
        <w:lastRenderedPageBreak/>
        <w:t xml:space="preserve">Technical Appendix Part </w:t>
      </w:r>
      <w:r w:rsidR="005A0031">
        <w:t>A</w:t>
      </w:r>
      <w:r w:rsidRPr="00AB6902">
        <w:t>: Data Extraction and Cleaning</w:t>
      </w:r>
    </w:p>
    <w:p w14:paraId="3DB46C91" w14:textId="6D2F85C8" w:rsidR="00AB6902" w:rsidRPr="00AB6902" w:rsidRDefault="00AB6902" w:rsidP="00457B72">
      <w:pPr>
        <w:pStyle w:val="23aRELlevel3heading15page"/>
      </w:pPr>
      <w:r w:rsidRPr="00AB6902">
        <w:t>Data extraction</w:t>
      </w:r>
    </w:p>
    <w:p w14:paraId="10560BE0" w14:textId="02DA210C" w:rsidR="00D371A4" w:rsidRPr="00D371A4" w:rsidRDefault="00AB6902" w:rsidP="00A24F9F">
      <w:pPr>
        <w:pStyle w:val="FootnoteText"/>
        <w:spacing w:after="160"/>
        <w:ind w:firstLine="720"/>
        <w:rPr>
          <w:sz w:val="22"/>
          <w:szCs w:val="22"/>
        </w:rPr>
      </w:pPr>
      <w:r w:rsidRPr="00D46472">
        <w:rPr>
          <w:sz w:val="22"/>
          <w:szCs w:val="22"/>
        </w:rPr>
        <w:t xml:space="preserve">WWC study data were extracted in November 2022 from </w:t>
      </w:r>
      <w:hyperlink r:id="rId8" w:history="1">
        <w:r w:rsidRPr="00D46472">
          <w:rPr>
            <w:rStyle w:val="Hyperlink"/>
            <w:sz w:val="22"/>
            <w:szCs w:val="22"/>
          </w:rPr>
          <w:t>https://ies.ed.gov/ncee/wwc/StudyFindings</w:t>
        </w:r>
      </w:hyperlink>
      <w:r>
        <w:rPr>
          <w:sz w:val="22"/>
          <w:szCs w:val="22"/>
        </w:rPr>
        <w:t xml:space="preserve">. The merged file was used because it contains detailed information on the findings in the studies that meet WWC </w:t>
      </w:r>
      <w:r w:rsidRPr="00E34715">
        <w:rPr>
          <w:sz w:val="22"/>
          <w:szCs w:val="22"/>
        </w:rPr>
        <w:t xml:space="preserve">standards. </w:t>
      </w:r>
      <w:r w:rsidR="00D371A4" w:rsidRPr="00602526">
        <w:rPr>
          <w:rFonts w:cstheme="minorHAnsi"/>
          <w:sz w:val="22"/>
          <w:szCs w:val="22"/>
        </w:rPr>
        <w:t xml:space="preserve">The study data were restricted to include only studies that were reviewed with WWC Handbooks Version 2.1 or higher. Version 2.1 of the WWC Handbook was the first to include pilot standards for studies with regression discontinuity and single case designs (WWC, 2011). Previous versions of the WWC Handbook included only standards for studies with randomized controlled trial and quasi-experimental designs (WWC, 2008). </w:t>
      </w:r>
    </w:p>
    <w:p w14:paraId="4F4909B6" w14:textId="5D24F09C" w:rsidR="00AB6902" w:rsidRPr="00AB6902" w:rsidRDefault="00AB6902" w:rsidP="00457B72">
      <w:pPr>
        <w:pStyle w:val="23aRELlevel3heading15page"/>
      </w:pPr>
      <w:r w:rsidRPr="00AB6902">
        <w:t xml:space="preserve">Data </w:t>
      </w:r>
      <w:r>
        <w:t>deduplication</w:t>
      </w:r>
    </w:p>
    <w:p w14:paraId="7030442B" w14:textId="007AFD7E" w:rsidR="00AB6902" w:rsidRDefault="00AB6902" w:rsidP="00457B72">
      <w:pPr>
        <w:pStyle w:val="FootnoteText"/>
        <w:spacing w:after="160"/>
        <w:ind w:firstLine="720"/>
        <w:rPr>
          <w:sz w:val="22"/>
          <w:szCs w:val="22"/>
        </w:rPr>
      </w:pPr>
      <w:r w:rsidRPr="00D46472">
        <w:rPr>
          <w:sz w:val="22"/>
          <w:szCs w:val="22"/>
        </w:rPr>
        <w:t xml:space="preserve">Because studies may have been reviewed by the WWC more than once, the </w:t>
      </w:r>
      <w:r>
        <w:rPr>
          <w:sz w:val="22"/>
          <w:szCs w:val="22"/>
        </w:rPr>
        <w:t xml:space="preserve">study </w:t>
      </w:r>
      <w:r w:rsidRPr="00D46472">
        <w:rPr>
          <w:sz w:val="22"/>
          <w:szCs w:val="22"/>
        </w:rPr>
        <w:t>data were deduplicated</w:t>
      </w:r>
      <w:r>
        <w:rPr>
          <w:sz w:val="22"/>
          <w:szCs w:val="22"/>
        </w:rPr>
        <w:t>. First, the review</w:t>
      </w:r>
      <w:r w:rsidRPr="00D46472">
        <w:rPr>
          <w:sz w:val="22"/>
          <w:szCs w:val="22"/>
        </w:rPr>
        <w:t xml:space="preserve"> </w:t>
      </w:r>
      <w:r>
        <w:rPr>
          <w:sz w:val="22"/>
          <w:szCs w:val="22"/>
        </w:rPr>
        <w:t>under th</w:t>
      </w:r>
      <w:r w:rsidRPr="00D46472">
        <w:rPr>
          <w:sz w:val="22"/>
          <w:szCs w:val="22"/>
        </w:rPr>
        <w:t>e most recent review standards version was retained</w:t>
      </w:r>
      <w:r>
        <w:rPr>
          <w:sz w:val="22"/>
          <w:szCs w:val="22"/>
        </w:rPr>
        <w:t xml:space="preserve">. Next, for the studies that were reviewed multiple times under the same standards version, reviews were prioritized based on the purpose of review: 1) intervention report; 2) single study review; 3) IES-funded study, grant competition, or other WWC report; and 4) practice guide or quick review. The remaining duplicates were manually checked. Either the duplicates were retained because they involved multiple contrasts and different interventions or different grade bands within the same study, or they were deduplicated retaining the most recent review. </w:t>
      </w:r>
    </w:p>
    <w:p w14:paraId="6670E131" w14:textId="2C457A8B" w:rsidR="00AB6902" w:rsidRPr="00AB6902" w:rsidRDefault="00AB6902" w:rsidP="00457B72">
      <w:pPr>
        <w:pStyle w:val="23aRELlevel3heading15page"/>
      </w:pPr>
      <w:r>
        <w:t>Outcome domains</w:t>
      </w:r>
    </w:p>
    <w:p w14:paraId="4430AE9C" w14:textId="226E2701" w:rsidR="00AB6902" w:rsidRDefault="00AB6902" w:rsidP="00E77430">
      <w:pPr>
        <w:pStyle w:val="FootnoteText"/>
        <w:spacing w:after="160"/>
        <w:ind w:firstLine="720"/>
        <w:rPr>
          <w:sz w:val="22"/>
          <w:szCs w:val="22"/>
        </w:rPr>
      </w:pPr>
      <w:r>
        <w:rPr>
          <w:sz w:val="22"/>
          <w:szCs w:val="22"/>
        </w:rPr>
        <w:t xml:space="preserve">The WWC defines and names outcome domains in </w:t>
      </w:r>
      <w:hyperlink r:id="rId9" w:anchor="protocol" w:history="1">
        <w:r w:rsidRPr="005C2570">
          <w:rPr>
            <w:rStyle w:val="Hyperlink"/>
            <w:sz w:val="22"/>
            <w:szCs w:val="22"/>
          </w:rPr>
          <w:t>review protocols</w:t>
        </w:r>
      </w:hyperlink>
      <w:r>
        <w:rPr>
          <w:sz w:val="22"/>
          <w:szCs w:val="22"/>
        </w:rPr>
        <w:t xml:space="preserve">, and domain names and definitions vary from protocol to protocol (WWC, 2022d). One challenge with using WWC data is aligning outcome domains over time. In some cases, outcome domains became more narrowly focused over time. For example, </w:t>
      </w:r>
      <w:r w:rsidR="00E77430">
        <w:rPr>
          <w:sz w:val="22"/>
          <w:szCs w:val="22"/>
        </w:rPr>
        <w:t xml:space="preserve">“geometry &amp; measurement” were included in the general math domains in older review protocols, whereas “geometry &amp; measurement” is a separate domain in the newer protocols. </w:t>
      </w:r>
      <w:r>
        <w:rPr>
          <w:sz w:val="22"/>
          <w:szCs w:val="22"/>
        </w:rPr>
        <w:t>In other cases, the name of the outcome domain changed, but the scope of the outcome domain did not change substantially. For example, the problem behavior, external behavior, and student behavior domains contain similar constructs. For the purposes of this paper, domains that are conceptually similar were aligned</w:t>
      </w:r>
      <w:r w:rsidR="008E028A">
        <w:rPr>
          <w:sz w:val="22"/>
          <w:szCs w:val="22"/>
        </w:rPr>
        <w:t xml:space="preserve"> when possible</w:t>
      </w:r>
      <w:r>
        <w:rPr>
          <w:sz w:val="22"/>
          <w:szCs w:val="22"/>
        </w:rPr>
        <w:t xml:space="preserve">. In addition, for simplicity, multiple domains were combined when </w:t>
      </w:r>
      <w:r w:rsidR="008F2FF9">
        <w:rPr>
          <w:sz w:val="22"/>
          <w:szCs w:val="22"/>
        </w:rPr>
        <w:t>the domains could be considered as subdomains</w:t>
      </w:r>
      <w:r w:rsidR="002B08CF">
        <w:rPr>
          <w:sz w:val="22"/>
          <w:szCs w:val="22"/>
        </w:rPr>
        <w:t xml:space="preserve">. For example, </w:t>
      </w:r>
      <w:r w:rsidR="008F2FF9">
        <w:rPr>
          <w:sz w:val="22"/>
          <w:szCs w:val="22"/>
        </w:rPr>
        <w:t>“physical science” and “life science”</w:t>
      </w:r>
      <w:r>
        <w:rPr>
          <w:sz w:val="22"/>
          <w:szCs w:val="22"/>
        </w:rPr>
        <w:t xml:space="preserve"> </w:t>
      </w:r>
      <w:r w:rsidR="002B08CF">
        <w:rPr>
          <w:sz w:val="22"/>
          <w:szCs w:val="22"/>
        </w:rPr>
        <w:t xml:space="preserve">were combined in “science” and “writing quality” and “writing conventions” were </w:t>
      </w:r>
      <w:r w:rsidR="002B08CF" w:rsidRPr="004B78C8">
        <w:rPr>
          <w:sz w:val="22"/>
          <w:szCs w:val="22"/>
        </w:rPr>
        <w:t>combined in “writing</w:t>
      </w:r>
      <w:r w:rsidR="00050599" w:rsidRPr="004B78C8">
        <w:rPr>
          <w:sz w:val="22"/>
          <w:szCs w:val="22"/>
        </w:rPr>
        <w:t>”</w:t>
      </w:r>
      <w:r w:rsidR="002B08CF" w:rsidRPr="004B78C8">
        <w:rPr>
          <w:sz w:val="22"/>
          <w:szCs w:val="22"/>
        </w:rPr>
        <w:t xml:space="preserve">. </w:t>
      </w:r>
      <w:r w:rsidR="00050599" w:rsidRPr="004B78C8">
        <w:rPr>
          <w:sz w:val="22"/>
          <w:szCs w:val="22"/>
        </w:rPr>
        <w:t xml:space="preserve">The mappings from the original to revised outcome domains can be found in the </w:t>
      </w:r>
      <w:hyperlink r:id="rId10" w:history="1">
        <w:r w:rsidR="00050599" w:rsidRPr="004B78C8">
          <w:rPr>
            <w:rStyle w:val="Hyperlink"/>
            <w:sz w:val="22"/>
            <w:szCs w:val="22"/>
          </w:rPr>
          <w:t>data</w:t>
        </w:r>
      </w:hyperlink>
      <w:r w:rsidR="00050599" w:rsidRPr="004B78C8">
        <w:rPr>
          <w:sz w:val="22"/>
          <w:szCs w:val="22"/>
        </w:rPr>
        <w:t>.</w:t>
      </w:r>
    </w:p>
    <w:p w14:paraId="1AA76A72" w14:textId="213D2243" w:rsidR="00AB6902" w:rsidRDefault="008D2566" w:rsidP="00AB6902">
      <w:pPr>
        <w:pStyle w:val="FootnoteText"/>
        <w:rPr>
          <w:sz w:val="22"/>
          <w:szCs w:val="22"/>
        </w:rPr>
      </w:pPr>
      <w:r>
        <w:rPr>
          <w:sz w:val="22"/>
          <w:szCs w:val="22"/>
        </w:rPr>
        <w:tab/>
        <w:t xml:space="preserve">Outcome domains were flagged as being relevant to specific student subpopulations and/or grade levels </w:t>
      </w:r>
      <w:r w:rsidR="0017351E">
        <w:rPr>
          <w:sz w:val="22"/>
          <w:szCs w:val="22"/>
        </w:rPr>
        <w:t xml:space="preserve">based on </w:t>
      </w:r>
      <w:hyperlink r:id="rId11" w:anchor="protocol" w:history="1">
        <w:r w:rsidR="0017351E" w:rsidRPr="005C2570">
          <w:rPr>
            <w:rStyle w:val="Hyperlink"/>
            <w:sz w:val="22"/>
            <w:szCs w:val="22"/>
          </w:rPr>
          <w:t>review protocols</w:t>
        </w:r>
      </w:hyperlink>
      <w:r w:rsidR="0017351E">
        <w:rPr>
          <w:sz w:val="22"/>
          <w:szCs w:val="22"/>
        </w:rPr>
        <w:t xml:space="preserve">. For example, domains </w:t>
      </w:r>
      <w:r w:rsidR="00650061">
        <w:rPr>
          <w:sz w:val="22"/>
          <w:szCs w:val="22"/>
        </w:rPr>
        <w:t xml:space="preserve">listed in protocols focused on students with disabilities </w:t>
      </w:r>
      <w:r w:rsidR="00433DA1">
        <w:rPr>
          <w:sz w:val="22"/>
          <w:szCs w:val="22"/>
        </w:rPr>
        <w:t xml:space="preserve">were coded as </w:t>
      </w:r>
      <w:r w:rsidR="008238E7">
        <w:rPr>
          <w:sz w:val="22"/>
          <w:szCs w:val="22"/>
        </w:rPr>
        <w:t xml:space="preserve">being relevant for students with disabilities. Moreover, </w:t>
      </w:r>
      <w:r w:rsidR="002D7410">
        <w:rPr>
          <w:sz w:val="22"/>
          <w:szCs w:val="22"/>
        </w:rPr>
        <w:t xml:space="preserve">all potentially relevant domains were preserved, even though the WWC </w:t>
      </w:r>
      <w:r w:rsidR="00AA5DE7">
        <w:rPr>
          <w:sz w:val="22"/>
          <w:szCs w:val="22"/>
        </w:rPr>
        <w:t xml:space="preserve">may not have identified or reviewed research in all relevant domains. </w:t>
      </w:r>
      <w:r w:rsidR="00310BBC">
        <w:rPr>
          <w:sz w:val="22"/>
          <w:szCs w:val="22"/>
        </w:rPr>
        <w:t>Therefore,</w:t>
      </w:r>
      <w:r w:rsidR="0087693A">
        <w:rPr>
          <w:sz w:val="22"/>
          <w:szCs w:val="22"/>
        </w:rPr>
        <w:t xml:space="preserve"> the evidence maps capture both research reviewed by the WWC </w:t>
      </w:r>
      <w:r w:rsidR="00A43365">
        <w:rPr>
          <w:sz w:val="22"/>
          <w:szCs w:val="22"/>
        </w:rPr>
        <w:t xml:space="preserve">as well as research deemed relevant </w:t>
      </w:r>
      <w:r w:rsidR="00310BBC">
        <w:rPr>
          <w:sz w:val="22"/>
          <w:szCs w:val="22"/>
        </w:rPr>
        <w:t>for the systematic review</w:t>
      </w:r>
      <w:r w:rsidR="004E7C81">
        <w:rPr>
          <w:sz w:val="22"/>
          <w:szCs w:val="22"/>
        </w:rPr>
        <w:t>s</w:t>
      </w:r>
      <w:r w:rsidR="00310BBC">
        <w:rPr>
          <w:sz w:val="22"/>
          <w:szCs w:val="22"/>
        </w:rPr>
        <w:t xml:space="preserve"> </w:t>
      </w:r>
      <w:r w:rsidR="00A43365">
        <w:rPr>
          <w:sz w:val="22"/>
          <w:szCs w:val="22"/>
        </w:rPr>
        <w:t xml:space="preserve">but not </w:t>
      </w:r>
      <w:r w:rsidR="00F903B0">
        <w:rPr>
          <w:sz w:val="22"/>
          <w:szCs w:val="22"/>
        </w:rPr>
        <w:t xml:space="preserve">included in the WWC data, </w:t>
      </w:r>
      <w:r w:rsidR="007472E2">
        <w:rPr>
          <w:sz w:val="22"/>
          <w:szCs w:val="22"/>
        </w:rPr>
        <w:t xml:space="preserve">because either </w:t>
      </w:r>
      <w:r w:rsidR="00F903B0">
        <w:rPr>
          <w:sz w:val="22"/>
          <w:szCs w:val="22"/>
        </w:rPr>
        <w:t xml:space="preserve">no research was </w:t>
      </w:r>
      <w:proofErr w:type="gramStart"/>
      <w:r w:rsidR="00F903B0">
        <w:rPr>
          <w:sz w:val="22"/>
          <w:szCs w:val="22"/>
        </w:rPr>
        <w:t>identified</w:t>
      </w:r>
      <w:proofErr w:type="gramEnd"/>
      <w:r w:rsidR="00F903B0">
        <w:rPr>
          <w:sz w:val="22"/>
          <w:szCs w:val="22"/>
        </w:rPr>
        <w:t xml:space="preserve"> or the identified research did not meet WWC standards. </w:t>
      </w:r>
    </w:p>
    <w:p w14:paraId="23AB4DBD" w14:textId="77777777" w:rsidR="00AB6902" w:rsidRDefault="00AB6902" w:rsidP="00AB6902">
      <w:pPr>
        <w:rPr>
          <w:b/>
          <w:bCs/>
        </w:rPr>
      </w:pPr>
      <w:r>
        <w:rPr>
          <w:b/>
          <w:bCs/>
        </w:rPr>
        <w:br w:type="page"/>
      </w:r>
    </w:p>
    <w:p w14:paraId="32B6355E" w14:textId="77777777" w:rsidR="00AB6902" w:rsidRPr="009441A0" w:rsidRDefault="00AB6902" w:rsidP="00457B72">
      <w:pPr>
        <w:pStyle w:val="23aRELlevel3heading15page"/>
        <w:spacing w:line="240" w:lineRule="auto"/>
        <w:rPr>
          <w:rFonts w:asciiTheme="minorHAnsi" w:hAnsiTheme="minorHAnsi" w:cstheme="minorHAnsi"/>
        </w:rPr>
      </w:pPr>
      <w:r w:rsidRPr="009441A0">
        <w:rPr>
          <w:rFonts w:asciiTheme="minorHAnsi" w:hAnsiTheme="minorHAnsi" w:cstheme="minorHAnsi"/>
        </w:rPr>
        <w:lastRenderedPageBreak/>
        <w:t>Effect sizes</w:t>
      </w:r>
    </w:p>
    <w:p w14:paraId="544FEF76" w14:textId="76E741FB" w:rsidR="00AB6902" w:rsidRPr="009441A0" w:rsidRDefault="00AB6902" w:rsidP="00457B72">
      <w:pPr>
        <w:spacing w:after="160" w:line="240" w:lineRule="auto"/>
        <w:rPr>
          <w:rFonts w:asciiTheme="minorHAnsi" w:hAnsiTheme="minorHAnsi" w:cstheme="minorHAnsi"/>
          <w:sz w:val="22"/>
          <w:szCs w:val="22"/>
        </w:rPr>
      </w:pPr>
      <w:r w:rsidRPr="009441A0">
        <w:rPr>
          <w:rFonts w:asciiTheme="minorHAnsi" w:hAnsiTheme="minorHAnsi" w:cstheme="minorHAnsi"/>
          <w:sz w:val="22"/>
          <w:szCs w:val="22"/>
        </w:rPr>
        <w:t xml:space="preserve">The WWC typically calculates the study effect sizes based on information provided in the study and obtained through author queries (WWC, 2022c). In some cases, however, the WWC can use the study-reported effect sizes (WWC, 2022c). Because it is not possible to determine from the public extract data file which effect size is the official one for the study review, the analysis used the WWC calculated effect size when it was available and the study-reported effect size otherwise. Findings with missing effect sizes were excluded from the analysis because the size and direction of the effect are unknown. Effect sizes were missing for 5% of the study findings. </w:t>
      </w:r>
    </w:p>
    <w:p w14:paraId="05DB7276" w14:textId="224D8D0F" w:rsidR="00AB6902" w:rsidRPr="00457B72" w:rsidRDefault="00AB6902" w:rsidP="00457B72">
      <w:pPr>
        <w:spacing w:after="160" w:line="240" w:lineRule="auto"/>
        <w:rPr>
          <w:rFonts w:asciiTheme="minorHAnsi" w:hAnsiTheme="minorHAnsi" w:cstheme="minorHAnsi"/>
          <w:sz w:val="22"/>
          <w:szCs w:val="22"/>
        </w:rPr>
      </w:pPr>
      <w:r w:rsidRPr="009441A0">
        <w:rPr>
          <w:rFonts w:asciiTheme="minorHAnsi" w:hAnsiTheme="minorHAnsi" w:cstheme="minorHAnsi"/>
          <w:sz w:val="22"/>
          <w:szCs w:val="22"/>
        </w:rPr>
        <w:t xml:space="preserve">Some effect sizes, particularly in behavioral domains, reflect reductions in negative behaviors and were recorded as being negative when they should have been recorded as positive. In these cases, negative effect sizes were changed to positive, indicated by a positive improvement index. </w:t>
      </w:r>
    </w:p>
    <w:p w14:paraId="4EC2DB2E" w14:textId="77777777" w:rsidR="00AB6902" w:rsidRPr="009441A0" w:rsidRDefault="00AB6902" w:rsidP="00457B72">
      <w:pPr>
        <w:pStyle w:val="23aRELlevel3heading15page"/>
        <w:spacing w:line="240" w:lineRule="auto"/>
        <w:rPr>
          <w:rFonts w:asciiTheme="minorHAnsi" w:hAnsiTheme="minorHAnsi" w:cstheme="minorHAnsi"/>
        </w:rPr>
      </w:pPr>
      <w:r w:rsidRPr="009441A0">
        <w:rPr>
          <w:rFonts w:asciiTheme="minorHAnsi" w:hAnsiTheme="minorHAnsi" w:cstheme="minorHAnsi"/>
        </w:rPr>
        <w:t>Subgroup and supplemental findings</w:t>
      </w:r>
    </w:p>
    <w:p w14:paraId="75C1DC51" w14:textId="037B0531" w:rsidR="00AB6902" w:rsidRPr="009441A0"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 xml:space="preserve">In addition to the full sample (“main”) findings, the WWC may also review findings for specific subgroups or at additional time points, and these are referred to as “supplemental” findings. Although the WWC database contains a flag for subgroup findings, </w:t>
      </w:r>
      <w:proofErr w:type="gramStart"/>
      <w:r w:rsidRPr="009441A0">
        <w:rPr>
          <w:rFonts w:asciiTheme="minorHAnsi" w:hAnsiTheme="minorHAnsi" w:cstheme="minorHAnsi"/>
          <w:color w:val="1F1F1F"/>
          <w:sz w:val="22"/>
          <w:szCs w:val="22"/>
        </w:rPr>
        <w:t>in reality, these</w:t>
      </w:r>
      <w:proofErr w:type="gramEnd"/>
      <w:r w:rsidRPr="009441A0">
        <w:rPr>
          <w:rFonts w:asciiTheme="minorHAnsi" w:hAnsiTheme="minorHAnsi" w:cstheme="minorHAnsi"/>
          <w:color w:val="1F1F1F"/>
          <w:sz w:val="22"/>
          <w:szCs w:val="22"/>
        </w:rPr>
        <w:t xml:space="preserve"> findings could be either subgroup findings or other supplemental findings, such as findings from follow-up time periods (WWC, 2022e). These findings were dropped from the sample because the WWC generally reviews the full sample findings by default, and the students in the subgroup and supplemental findings will be represented in the full sample findings (WWC, 2022c). However, some subgroup findings may have been reviewed as main (non-subgroup) findings if relevant to the systematic review and specified in the review protocol (WWC, 2022d). For example, a systematic review focused on English learners may have reviewed the English learner subgroup as the main findings. In these cases, subgroup findings are analyzed in this report. </w:t>
      </w:r>
    </w:p>
    <w:p w14:paraId="64FB1DC0" w14:textId="546981AD" w:rsidR="00AB6902" w:rsidRPr="009441A0"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 xml:space="preserve">A limitation to the WWC study data is that characteristics of subgroup and supplemental findings are not coded systematically and are instead manually entered by WWC reviewers, which makes analyzing these findings more challenging. The WWC could increase the utility of subgroup and supplemental findings if these findings were more systematically coded. </w:t>
      </w:r>
    </w:p>
    <w:p w14:paraId="10B141B1" w14:textId="77777777" w:rsidR="00AB6902" w:rsidRPr="009441A0" w:rsidRDefault="00AB6902" w:rsidP="00457B72">
      <w:pPr>
        <w:pStyle w:val="23aRELlevel3heading15page"/>
        <w:spacing w:line="240" w:lineRule="auto"/>
        <w:rPr>
          <w:rFonts w:asciiTheme="minorHAnsi" w:hAnsiTheme="minorHAnsi" w:cstheme="minorHAnsi"/>
        </w:rPr>
      </w:pPr>
      <w:r w:rsidRPr="009441A0">
        <w:rPr>
          <w:rFonts w:asciiTheme="minorHAnsi" w:hAnsiTheme="minorHAnsi" w:cstheme="minorHAnsi"/>
        </w:rPr>
        <w:t>Variables for intervention reports versus study reviews</w:t>
      </w:r>
    </w:p>
    <w:p w14:paraId="45B277CE" w14:textId="1B021900" w:rsidR="00AB6902" w:rsidRPr="00457B72"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The WWC study data contain “</w:t>
      </w:r>
      <w:proofErr w:type="spellStart"/>
      <w:r w:rsidRPr="009441A0">
        <w:rPr>
          <w:rFonts w:asciiTheme="minorHAnsi" w:hAnsiTheme="minorHAnsi" w:cstheme="minorHAnsi"/>
          <w:color w:val="1F1F1F"/>
          <w:sz w:val="22"/>
          <w:szCs w:val="22"/>
        </w:rPr>
        <w:t>i_variables</w:t>
      </w:r>
      <w:proofErr w:type="spellEnd"/>
      <w:r w:rsidRPr="009441A0">
        <w:rPr>
          <w:rFonts w:asciiTheme="minorHAnsi" w:hAnsiTheme="minorHAnsi" w:cstheme="minorHAnsi"/>
          <w:color w:val="1F1F1F"/>
          <w:sz w:val="22"/>
          <w:szCs w:val="22"/>
        </w:rPr>
        <w:t>,” which are populated for intervention reports, and “</w:t>
      </w:r>
      <w:proofErr w:type="spellStart"/>
      <w:r w:rsidRPr="009441A0">
        <w:rPr>
          <w:rFonts w:asciiTheme="minorHAnsi" w:hAnsiTheme="minorHAnsi" w:cstheme="minorHAnsi"/>
          <w:color w:val="1F1F1F"/>
          <w:sz w:val="22"/>
          <w:szCs w:val="22"/>
        </w:rPr>
        <w:t>s_variables</w:t>
      </w:r>
      <w:proofErr w:type="spellEnd"/>
      <w:r w:rsidRPr="009441A0">
        <w:rPr>
          <w:rFonts w:asciiTheme="minorHAnsi" w:hAnsiTheme="minorHAnsi" w:cstheme="minorHAnsi"/>
          <w:color w:val="1F1F1F"/>
          <w:sz w:val="22"/>
          <w:szCs w:val="22"/>
        </w:rPr>
        <w:t xml:space="preserve">,” which are populated for all study reviews, including study reviews included in intervention reports. However, in some cases, the </w:t>
      </w:r>
      <w:proofErr w:type="spellStart"/>
      <w:r w:rsidRPr="009441A0">
        <w:rPr>
          <w:rFonts w:asciiTheme="minorHAnsi" w:hAnsiTheme="minorHAnsi" w:cstheme="minorHAnsi"/>
          <w:color w:val="1F1F1F"/>
          <w:sz w:val="22"/>
          <w:szCs w:val="22"/>
        </w:rPr>
        <w:t>s_variables</w:t>
      </w:r>
      <w:proofErr w:type="spellEnd"/>
      <w:r w:rsidRPr="009441A0">
        <w:rPr>
          <w:rFonts w:asciiTheme="minorHAnsi" w:hAnsiTheme="minorHAnsi" w:cstheme="minorHAnsi"/>
          <w:color w:val="1F1F1F"/>
          <w:sz w:val="22"/>
          <w:szCs w:val="22"/>
        </w:rPr>
        <w:t xml:space="preserve"> regarding demographic and contextual information are missing, but the </w:t>
      </w:r>
      <w:proofErr w:type="spellStart"/>
      <w:r w:rsidRPr="009441A0">
        <w:rPr>
          <w:rFonts w:asciiTheme="minorHAnsi" w:hAnsiTheme="minorHAnsi" w:cstheme="minorHAnsi"/>
          <w:color w:val="1F1F1F"/>
          <w:sz w:val="22"/>
          <w:szCs w:val="22"/>
        </w:rPr>
        <w:t>i_variables</w:t>
      </w:r>
      <w:proofErr w:type="spellEnd"/>
      <w:r w:rsidRPr="009441A0">
        <w:rPr>
          <w:rFonts w:asciiTheme="minorHAnsi" w:hAnsiTheme="minorHAnsi" w:cstheme="minorHAnsi"/>
          <w:color w:val="1F1F1F"/>
          <w:sz w:val="22"/>
          <w:szCs w:val="22"/>
        </w:rPr>
        <w:t xml:space="preserve"> are populated. </w:t>
      </w:r>
      <w:r w:rsidR="009424B4">
        <w:rPr>
          <w:rFonts w:asciiTheme="minorHAnsi" w:hAnsiTheme="minorHAnsi" w:cstheme="minorHAnsi"/>
          <w:color w:val="1F1F1F"/>
          <w:sz w:val="22"/>
          <w:szCs w:val="22"/>
        </w:rPr>
        <w:t xml:space="preserve">When there was only one study </w:t>
      </w:r>
      <w:r w:rsidR="000041E5">
        <w:rPr>
          <w:rFonts w:asciiTheme="minorHAnsi" w:hAnsiTheme="minorHAnsi" w:cstheme="minorHAnsi"/>
          <w:color w:val="1F1F1F"/>
          <w:sz w:val="22"/>
          <w:szCs w:val="22"/>
        </w:rPr>
        <w:t xml:space="preserve">meeting WWC standards </w:t>
      </w:r>
      <w:r w:rsidR="009424B4">
        <w:rPr>
          <w:rFonts w:asciiTheme="minorHAnsi" w:hAnsiTheme="minorHAnsi" w:cstheme="minorHAnsi"/>
          <w:color w:val="1F1F1F"/>
          <w:sz w:val="22"/>
          <w:szCs w:val="22"/>
        </w:rPr>
        <w:t xml:space="preserve">in the intervention report, </w:t>
      </w:r>
      <w:r w:rsidR="000041E5">
        <w:rPr>
          <w:rFonts w:asciiTheme="minorHAnsi" w:hAnsiTheme="minorHAnsi" w:cstheme="minorHAnsi"/>
          <w:color w:val="1F1F1F"/>
          <w:sz w:val="22"/>
          <w:szCs w:val="22"/>
        </w:rPr>
        <w:t xml:space="preserve">the </w:t>
      </w:r>
      <w:proofErr w:type="spellStart"/>
      <w:r w:rsidR="000041E5">
        <w:rPr>
          <w:rFonts w:asciiTheme="minorHAnsi" w:hAnsiTheme="minorHAnsi" w:cstheme="minorHAnsi"/>
          <w:color w:val="1F1F1F"/>
          <w:sz w:val="22"/>
          <w:szCs w:val="22"/>
        </w:rPr>
        <w:t>i_variables</w:t>
      </w:r>
      <w:proofErr w:type="spellEnd"/>
      <w:r w:rsidR="000041E5">
        <w:rPr>
          <w:rFonts w:asciiTheme="minorHAnsi" w:hAnsiTheme="minorHAnsi" w:cstheme="minorHAnsi"/>
          <w:color w:val="1F1F1F"/>
          <w:sz w:val="22"/>
          <w:szCs w:val="22"/>
        </w:rPr>
        <w:t xml:space="preserve"> are essentially the same as the </w:t>
      </w:r>
      <w:proofErr w:type="spellStart"/>
      <w:r w:rsidR="000041E5">
        <w:rPr>
          <w:rFonts w:asciiTheme="minorHAnsi" w:hAnsiTheme="minorHAnsi" w:cstheme="minorHAnsi"/>
          <w:color w:val="1F1F1F"/>
          <w:sz w:val="22"/>
          <w:szCs w:val="22"/>
        </w:rPr>
        <w:t>s_variables</w:t>
      </w:r>
      <w:proofErr w:type="spellEnd"/>
      <w:r w:rsidR="000041E5">
        <w:rPr>
          <w:rFonts w:asciiTheme="minorHAnsi" w:hAnsiTheme="minorHAnsi" w:cstheme="minorHAnsi"/>
          <w:color w:val="1F1F1F"/>
          <w:sz w:val="22"/>
          <w:szCs w:val="22"/>
        </w:rPr>
        <w:t xml:space="preserve">, </w:t>
      </w:r>
      <w:proofErr w:type="gramStart"/>
      <w:r w:rsidR="000041E5">
        <w:rPr>
          <w:rFonts w:asciiTheme="minorHAnsi" w:hAnsiTheme="minorHAnsi" w:cstheme="minorHAnsi"/>
          <w:color w:val="1F1F1F"/>
          <w:sz w:val="22"/>
          <w:szCs w:val="22"/>
        </w:rPr>
        <w:t>In</w:t>
      </w:r>
      <w:proofErr w:type="gramEnd"/>
      <w:r w:rsidR="000041E5">
        <w:rPr>
          <w:rFonts w:asciiTheme="minorHAnsi" w:hAnsiTheme="minorHAnsi" w:cstheme="minorHAnsi"/>
          <w:color w:val="1F1F1F"/>
          <w:sz w:val="22"/>
          <w:szCs w:val="22"/>
        </w:rPr>
        <w:t xml:space="preserve"> these cases, t</w:t>
      </w:r>
      <w:r w:rsidRPr="009441A0">
        <w:rPr>
          <w:rFonts w:asciiTheme="minorHAnsi" w:hAnsiTheme="minorHAnsi" w:cstheme="minorHAnsi"/>
          <w:color w:val="1F1F1F"/>
          <w:sz w:val="22"/>
          <w:szCs w:val="22"/>
        </w:rPr>
        <w:t xml:space="preserve">he analysis used the </w:t>
      </w:r>
      <w:proofErr w:type="spellStart"/>
      <w:r w:rsidRPr="009441A0">
        <w:rPr>
          <w:rFonts w:asciiTheme="minorHAnsi" w:hAnsiTheme="minorHAnsi" w:cstheme="minorHAnsi"/>
          <w:color w:val="1F1F1F"/>
          <w:sz w:val="22"/>
          <w:szCs w:val="22"/>
        </w:rPr>
        <w:t>i_variables</w:t>
      </w:r>
      <w:proofErr w:type="spellEnd"/>
      <w:r w:rsidRPr="009441A0">
        <w:rPr>
          <w:rFonts w:asciiTheme="minorHAnsi" w:hAnsiTheme="minorHAnsi" w:cstheme="minorHAnsi"/>
          <w:color w:val="1F1F1F"/>
          <w:sz w:val="22"/>
          <w:szCs w:val="22"/>
        </w:rPr>
        <w:t xml:space="preserve"> to preserve the maximum information about the study reviews. </w:t>
      </w:r>
    </w:p>
    <w:p w14:paraId="6AAAF279" w14:textId="77777777" w:rsidR="00AB6902" w:rsidRPr="009441A0" w:rsidRDefault="00AB6902" w:rsidP="00457B72">
      <w:pPr>
        <w:pStyle w:val="23aRELlevel3heading15page"/>
        <w:spacing w:line="240" w:lineRule="auto"/>
        <w:rPr>
          <w:rFonts w:asciiTheme="minorHAnsi" w:hAnsiTheme="minorHAnsi" w:cstheme="minorHAnsi"/>
        </w:rPr>
      </w:pPr>
      <w:r w:rsidRPr="009441A0">
        <w:rPr>
          <w:rFonts w:asciiTheme="minorHAnsi" w:hAnsiTheme="minorHAnsi" w:cstheme="minorHAnsi"/>
        </w:rPr>
        <w:t>Grade levels</w:t>
      </w:r>
    </w:p>
    <w:p w14:paraId="16A0FA75" w14:textId="0AA87EED" w:rsidR="00AB6902" w:rsidRPr="009441A0"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WWC study data contain an indicator at the study level for each grade level of students in the sample, ranging from preschool to post-secondary education. Grade level was missing for only 1% of studies</w:t>
      </w:r>
      <w:r w:rsidR="00B03703">
        <w:rPr>
          <w:rFonts w:asciiTheme="minorHAnsi" w:hAnsiTheme="minorHAnsi" w:cstheme="minorHAnsi"/>
          <w:color w:val="1F1F1F"/>
          <w:sz w:val="22"/>
          <w:szCs w:val="22"/>
        </w:rPr>
        <w:t xml:space="preserve"> initially, and the missing grade levels were manually imputed by examining the outcome measures, intervention names, and the WWC study review webpages</w:t>
      </w:r>
      <w:r w:rsidRPr="009441A0">
        <w:rPr>
          <w:rFonts w:asciiTheme="minorHAnsi" w:hAnsiTheme="minorHAnsi" w:cstheme="minorHAnsi"/>
          <w:color w:val="1F1F1F"/>
          <w:sz w:val="22"/>
          <w:szCs w:val="22"/>
        </w:rPr>
        <w:t xml:space="preserve">. Grade levels were </w:t>
      </w:r>
      <w:r w:rsidR="00B03703">
        <w:rPr>
          <w:rFonts w:asciiTheme="minorHAnsi" w:hAnsiTheme="minorHAnsi" w:cstheme="minorHAnsi"/>
          <w:color w:val="1F1F1F"/>
          <w:sz w:val="22"/>
          <w:szCs w:val="22"/>
        </w:rPr>
        <w:t xml:space="preserve">then </w:t>
      </w:r>
      <w:r w:rsidRPr="009441A0">
        <w:rPr>
          <w:rFonts w:asciiTheme="minorHAnsi" w:hAnsiTheme="minorHAnsi" w:cstheme="minorHAnsi"/>
          <w:color w:val="1F1F1F"/>
          <w:sz w:val="22"/>
          <w:szCs w:val="22"/>
        </w:rPr>
        <w:t xml:space="preserve">combined into five bands: </w:t>
      </w:r>
    </w:p>
    <w:p w14:paraId="38B522BC" w14:textId="77777777" w:rsidR="00AB6902" w:rsidRPr="009441A0" w:rsidRDefault="00AB6902" w:rsidP="00AB6902">
      <w:pPr>
        <w:pStyle w:val="ListParagraph"/>
        <w:numPr>
          <w:ilvl w:val="0"/>
          <w:numId w:val="6"/>
        </w:numPr>
        <w:spacing w:after="0" w:line="240" w:lineRule="auto"/>
        <w:rPr>
          <w:rFonts w:cstheme="minorHAnsi"/>
          <w:color w:val="1F1F1F"/>
        </w:rPr>
      </w:pPr>
      <w:r w:rsidRPr="009441A0">
        <w:rPr>
          <w:rFonts w:cstheme="minorHAnsi"/>
          <w:color w:val="1F1F1F"/>
        </w:rPr>
        <w:t>Early childhood: Grades PK and K</w:t>
      </w:r>
    </w:p>
    <w:p w14:paraId="18026409" w14:textId="77777777" w:rsidR="00AB6902" w:rsidRPr="009441A0" w:rsidRDefault="00AB6902" w:rsidP="00AB6902">
      <w:pPr>
        <w:pStyle w:val="ListParagraph"/>
        <w:numPr>
          <w:ilvl w:val="0"/>
          <w:numId w:val="6"/>
        </w:numPr>
        <w:spacing w:after="0" w:line="240" w:lineRule="auto"/>
        <w:rPr>
          <w:rFonts w:cstheme="minorHAnsi"/>
          <w:color w:val="1F1F1F"/>
        </w:rPr>
      </w:pPr>
      <w:r w:rsidRPr="009441A0">
        <w:rPr>
          <w:rFonts w:cstheme="minorHAnsi"/>
          <w:color w:val="1F1F1F"/>
        </w:rPr>
        <w:t>Lower elementary: Grades 1–3 or grades K–3 with no PK</w:t>
      </w:r>
    </w:p>
    <w:p w14:paraId="2EC469AA" w14:textId="77777777" w:rsidR="00AB6902" w:rsidRPr="009441A0" w:rsidRDefault="00AB6902" w:rsidP="00AB6902">
      <w:pPr>
        <w:pStyle w:val="ListParagraph"/>
        <w:numPr>
          <w:ilvl w:val="0"/>
          <w:numId w:val="6"/>
        </w:numPr>
        <w:spacing w:after="0" w:line="240" w:lineRule="auto"/>
        <w:rPr>
          <w:rFonts w:cstheme="minorHAnsi"/>
          <w:color w:val="1F1F1F"/>
        </w:rPr>
      </w:pPr>
      <w:r w:rsidRPr="009441A0">
        <w:rPr>
          <w:rFonts w:cstheme="minorHAnsi"/>
          <w:color w:val="1F1F1F"/>
        </w:rPr>
        <w:lastRenderedPageBreak/>
        <w:t>Upper elementary: Grades 4–5 or grades 3–6 with no lower grades or older grades</w:t>
      </w:r>
    </w:p>
    <w:p w14:paraId="401661AB" w14:textId="77777777" w:rsidR="00AB6902" w:rsidRPr="009441A0" w:rsidRDefault="00AB6902" w:rsidP="00AB6902">
      <w:pPr>
        <w:pStyle w:val="ListParagraph"/>
        <w:numPr>
          <w:ilvl w:val="0"/>
          <w:numId w:val="6"/>
        </w:numPr>
        <w:spacing w:after="0" w:line="240" w:lineRule="auto"/>
        <w:rPr>
          <w:rFonts w:cstheme="minorHAnsi"/>
          <w:color w:val="1F1F1F"/>
        </w:rPr>
      </w:pPr>
      <w:r w:rsidRPr="009441A0">
        <w:rPr>
          <w:rFonts w:cstheme="minorHAnsi"/>
          <w:color w:val="1F1F1F"/>
        </w:rPr>
        <w:t>Middle school: Grades 6–8 or grades 6–9 with no older grades</w:t>
      </w:r>
    </w:p>
    <w:p w14:paraId="35ADBED4" w14:textId="77777777" w:rsidR="00AB6902" w:rsidRPr="009441A0" w:rsidRDefault="00AB6902" w:rsidP="00AB6902">
      <w:pPr>
        <w:pStyle w:val="ListParagraph"/>
        <w:numPr>
          <w:ilvl w:val="0"/>
          <w:numId w:val="6"/>
        </w:numPr>
        <w:spacing w:after="0" w:line="240" w:lineRule="auto"/>
        <w:rPr>
          <w:rFonts w:cstheme="minorHAnsi"/>
          <w:color w:val="1F1F1F"/>
        </w:rPr>
      </w:pPr>
      <w:r w:rsidRPr="009441A0">
        <w:rPr>
          <w:rFonts w:cstheme="minorHAnsi"/>
          <w:color w:val="1F1F1F"/>
        </w:rPr>
        <w:t>High school: Grades 9–12</w:t>
      </w:r>
    </w:p>
    <w:p w14:paraId="657E9F75" w14:textId="77777777" w:rsidR="00AB6902" w:rsidRPr="009441A0" w:rsidRDefault="00AB6902" w:rsidP="00AB6902">
      <w:pPr>
        <w:pStyle w:val="ListParagraph"/>
        <w:numPr>
          <w:ilvl w:val="0"/>
          <w:numId w:val="6"/>
        </w:numPr>
        <w:spacing w:after="0" w:line="240" w:lineRule="auto"/>
        <w:rPr>
          <w:rFonts w:cstheme="minorHAnsi"/>
          <w:color w:val="1F1F1F"/>
        </w:rPr>
      </w:pPr>
      <w:r w:rsidRPr="009441A0">
        <w:rPr>
          <w:rFonts w:cstheme="minorHAnsi"/>
          <w:color w:val="1F1F1F"/>
        </w:rPr>
        <w:t xml:space="preserve">Post-secondary: All levels post high school </w:t>
      </w:r>
    </w:p>
    <w:p w14:paraId="45B8408B" w14:textId="77777777" w:rsidR="00AB6902" w:rsidRPr="009441A0" w:rsidRDefault="00AB6902" w:rsidP="00AB6902">
      <w:pPr>
        <w:spacing w:line="240" w:lineRule="auto"/>
        <w:rPr>
          <w:rFonts w:asciiTheme="minorHAnsi" w:hAnsiTheme="minorHAnsi" w:cstheme="minorHAnsi"/>
          <w:color w:val="1F1F1F"/>
          <w:sz w:val="22"/>
          <w:szCs w:val="22"/>
        </w:rPr>
      </w:pPr>
    </w:p>
    <w:p w14:paraId="797BFD46" w14:textId="4E10D4B3" w:rsidR="00AB6902" w:rsidRDefault="00102C56" w:rsidP="00457B72">
      <w:pPr>
        <w:spacing w:after="160" w:line="240" w:lineRule="auto"/>
        <w:rPr>
          <w:rFonts w:asciiTheme="minorHAnsi" w:hAnsiTheme="minorHAnsi" w:cstheme="minorHAnsi"/>
          <w:color w:val="1F1F1F"/>
          <w:sz w:val="22"/>
          <w:szCs w:val="22"/>
        </w:rPr>
      </w:pPr>
      <w:r>
        <w:rPr>
          <w:rFonts w:asciiTheme="minorHAnsi" w:hAnsiTheme="minorHAnsi" w:cstheme="minorHAnsi"/>
          <w:color w:val="1F1F1F"/>
          <w:sz w:val="22"/>
          <w:szCs w:val="22"/>
        </w:rPr>
        <w:t>Seventy-seven percent</w:t>
      </w:r>
      <w:r w:rsidR="00AB6902" w:rsidRPr="009441A0">
        <w:rPr>
          <w:rFonts w:asciiTheme="minorHAnsi" w:hAnsiTheme="minorHAnsi" w:cstheme="minorHAnsi"/>
          <w:color w:val="1F1F1F"/>
          <w:sz w:val="22"/>
          <w:szCs w:val="22"/>
        </w:rPr>
        <w:t xml:space="preserve"> of studies were identified as having one grade band, 1</w:t>
      </w:r>
      <w:r w:rsidR="0095773E">
        <w:rPr>
          <w:rFonts w:asciiTheme="minorHAnsi" w:hAnsiTheme="minorHAnsi" w:cstheme="minorHAnsi"/>
          <w:color w:val="1F1F1F"/>
          <w:sz w:val="22"/>
          <w:szCs w:val="22"/>
        </w:rPr>
        <w:t>8</w:t>
      </w:r>
      <w:r w:rsidR="00AB6902" w:rsidRPr="009441A0">
        <w:rPr>
          <w:rFonts w:asciiTheme="minorHAnsi" w:hAnsiTheme="minorHAnsi" w:cstheme="minorHAnsi"/>
          <w:color w:val="1F1F1F"/>
          <w:sz w:val="22"/>
          <w:szCs w:val="22"/>
        </w:rPr>
        <w:t>% as having two, 3% as having three (e.g., K–8), 2% as having 4 (e.g., K–12), and less than a percent as having all five (e.g., PK–12). Therefore, about 2</w:t>
      </w:r>
      <w:r w:rsidR="0095773E">
        <w:rPr>
          <w:rFonts w:asciiTheme="minorHAnsi" w:hAnsiTheme="minorHAnsi" w:cstheme="minorHAnsi"/>
          <w:color w:val="1F1F1F"/>
          <w:sz w:val="22"/>
          <w:szCs w:val="22"/>
        </w:rPr>
        <w:t>3</w:t>
      </w:r>
      <w:r w:rsidR="00AB6902" w:rsidRPr="009441A0">
        <w:rPr>
          <w:rFonts w:asciiTheme="minorHAnsi" w:hAnsiTheme="minorHAnsi" w:cstheme="minorHAnsi"/>
          <w:color w:val="1F1F1F"/>
          <w:sz w:val="22"/>
          <w:szCs w:val="22"/>
        </w:rPr>
        <w:t xml:space="preserve">% of studies were tagged as having more than one grade band. </w:t>
      </w:r>
    </w:p>
    <w:p w14:paraId="24B06FED" w14:textId="77777777" w:rsidR="00AB6902" w:rsidRPr="009441A0" w:rsidRDefault="00AB6902" w:rsidP="00457B72">
      <w:pPr>
        <w:pStyle w:val="23aRELlevel3heading15page"/>
        <w:spacing w:line="240" w:lineRule="auto"/>
        <w:rPr>
          <w:rFonts w:asciiTheme="minorHAnsi" w:hAnsiTheme="minorHAnsi" w:cstheme="minorHAnsi"/>
        </w:rPr>
      </w:pPr>
      <w:r w:rsidRPr="009441A0">
        <w:rPr>
          <w:rFonts w:asciiTheme="minorHAnsi" w:hAnsiTheme="minorHAnsi" w:cstheme="minorHAnsi"/>
        </w:rPr>
        <w:t>Student versus teacher characteristics</w:t>
      </w:r>
    </w:p>
    <w:p w14:paraId="0716E663" w14:textId="1B753566" w:rsidR="00AB6902" w:rsidRPr="00457B72"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 xml:space="preserve">Although the WWC typically reviews studies in which the study samples consist of students, in some instances, study samples can represent other populations, such as educators. The “f_l1_unit_of_analysis” variable is helpful to flag findings where the demographic variables describe educators, as opposed to students. In a few cases, the “f_l1_unit_of_analysis” variable may incorrectly indicate that the demographic characteristics are for the student samples when the variable instead reflects the characteristics of educators. The analysis did not use the demographic information or sample sizes when the value of the “f_l1_unit_of_analysis” variable indicated the information described educators as opposed to students. Only 1% of findings were flagged as reflecting educators, not students. </w:t>
      </w:r>
    </w:p>
    <w:p w14:paraId="14910FCD" w14:textId="77777777" w:rsidR="00AB6902" w:rsidRPr="009441A0" w:rsidRDefault="00AB6902" w:rsidP="00457B72">
      <w:pPr>
        <w:pStyle w:val="23aRELlevel3heading15page"/>
        <w:spacing w:line="240" w:lineRule="auto"/>
        <w:rPr>
          <w:rFonts w:asciiTheme="minorHAnsi" w:hAnsiTheme="minorHAnsi" w:cstheme="minorHAnsi"/>
        </w:rPr>
      </w:pPr>
      <w:r w:rsidRPr="009441A0">
        <w:rPr>
          <w:rFonts w:asciiTheme="minorHAnsi" w:hAnsiTheme="minorHAnsi" w:cstheme="minorHAnsi"/>
        </w:rPr>
        <w:t>Race and ethnicity</w:t>
      </w:r>
    </w:p>
    <w:p w14:paraId="61A7861E" w14:textId="77B8E3D6" w:rsidR="00961463"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 xml:space="preserve">The race </w:t>
      </w:r>
      <w:r w:rsidR="00FD4343">
        <w:rPr>
          <w:rFonts w:asciiTheme="minorHAnsi" w:hAnsiTheme="minorHAnsi" w:cstheme="minorHAnsi"/>
          <w:color w:val="1F1F1F"/>
          <w:sz w:val="22"/>
          <w:szCs w:val="22"/>
        </w:rPr>
        <w:t xml:space="preserve">and ethnicity </w:t>
      </w:r>
      <w:r w:rsidRPr="009441A0">
        <w:rPr>
          <w:rFonts w:asciiTheme="minorHAnsi" w:hAnsiTheme="minorHAnsi" w:cstheme="minorHAnsi"/>
          <w:color w:val="1F1F1F"/>
          <w:sz w:val="22"/>
          <w:szCs w:val="22"/>
        </w:rPr>
        <w:t xml:space="preserve">variables for the student sample were modified to correct errors. </w:t>
      </w:r>
      <w:r w:rsidR="008979EA">
        <w:rPr>
          <w:rFonts w:asciiTheme="minorHAnsi" w:hAnsiTheme="minorHAnsi" w:cstheme="minorHAnsi"/>
          <w:color w:val="1F1F1F"/>
          <w:sz w:val="22"/>
          <w:szCs w:val="22"/>
        </w:rPr>
        <w:t>First, r</w:t>
      </w:r>
      <w:r w:rsidRPr="009441A0">
        <w:rPr>
          <w:rFonts w:asciiTheme="minorHAnsi" w:hAnsiTheme="minorHAnsi" w:cstheme="minorHAnsi"/>
          <w:color w:val="1F1F1F"/>
          <w:sz w:val="22"/>
          <w:szCs w:val="22"/>
        </w:rPr>
        <w:t xml:space="preserve">ace </w:t>
      </w:r>
      <w:r w:rsidR="00E81D05">
        <w:rPr>
          <w:rFonts w:asciiTheme="minorHAnsi" w:hAnsiTheme="minorHAnsi" w:cstheme="minorHAnsi"/>
          <w:color w:val="1F1F1F"/>
          <w:sz w:val="22"/>
          <w:szCs w:val="22"/>
        </w:rPr>
        <w:t xml:space="preserve">and ethnicity </w:t>
      </w:r>
      <w:r w:rsidRPr="009441A0">
        <w:rPr>
          <w:rFonts w:asciiTheme="minorHAnsi" w:hAnsiTheme="minorHAnsi" w:cstheme="minorHAnsi"/>
          <w:color w:val="1F1F1F"/>
          <w:sz w:val="22"/>
          <w:szCs w:val="22"/>
        </w:rPr>
        <w:t>w</w:t>
      </w:r>
      <w:r w:rsidR="00E81D05">
        <w:rPr>
          <w:rFonts w:asciiTheme="minorHAnsi" w:hAnsiTheme="minorHAnsi" w:cstheme="minorHAnsi"/>
          <w:color w:val="1F1F1F"/>
          <w:sz w:val="22"/>
          <w:szCs w:val="22"/>
        </w:rPr>
        <w:t>ere</w:t>
      </w:r>
      <w:r w:rsidRPr="009441A0">
        <w:rPr>
          <w:rFonts w:asciiTheme="minorHAnsi" w:hAnsiTheme="minorHAnsi" w:cstheme="minorHAnsi"/>
          <w:color w:val="1F1F1F"/>
          <w:sz w:val="22"/>
          <w:szCs w:val="22"/>
        </w:rPr>
        <w:t xml:space="preserve"> coded as missing </w:t>
      </w:r>
      <w:r w:rsidR="00125E41">
        <w:rPr>
          <w:rFonts w:asciiTheme="minorHAnsi" w:hAnsiTheme="minorHAnsi" w:cstheme="minorHAnsi"/>
          <w:color w:val="1F1F1F"/>
          <w:sz w:val="22"/>
          <w:szCs w:val="22"/>
        </w:rPr>
        <w:t>(as opposed to</w:t>
      </w:r>
      <w:r w:rsidR="00643501">
        <w:rPr>
          <w:rFonts w:asciiTheme="minorHAnsi" w:hAnsiTheme="minorHAnsi" w:cstheme="minorHAnsi"/>
          <w:color w:val="1F1F1F"/>
          <w:sz w:val="22"/>
          <w:szCs w:val="22"/>
        </w:rPr>
        <w:t xml:space="preserve"> percentages of zero) </w:t>
      </w:r>
      <w:r w:rsidRPr="009441A0">
        <w:rPr>
          <w:rFonts w:asciiTheme="minorHAnsi" w:hAnsiTheme="minorHAnsi" w:cstheme="minorHAnsi"/>
          <w:color w:val="1F1F1F"/>
          <w:sz w:val="22"/>
          <w:szCs w:val="22"/>
        </w:rPr>
        <w:t xml:space="preserve">when </w:t>
      </w:r>
      <w:r w:rsidR="00F25BFB">
        <w:rPr>
          <w:rFonts w:asciiTheme="minorHAnsi" w:hAnsiTheme="minorHAnsi" w:cstheme="minorHAnsi"/>
          <w:color w:val="1F1F1F"/>
          <w:sz w:val="22"/>
          <w:szCs w:val="22"/>
        </w:rPr>
        <w:t>there was</w:t>
      </w:r>
      <w:r w:rsidRPr="009441A0">
        <w:rPr>
          <w:rFonts w:asciiTheme="minorHAnsi" w:hAnsiTheme="minorHAnsi" w:cstheme="minorHAnsi"/>
          <w:color w:val="1F1F1F"/>
          <w:sz w:val="22"/>
          <w:szCs w:val="22"/>
        </w:rPr>
        <w:t xml:space="preserve"> </w:t>
      </w:r>
      <w:r w:rsidR="00E81D05">
        <w:rPr>
          <w:rFonts w:asciiTheme="minorHAnsi" w:hAnsiTheme="minorHAnsi" w:cstheme="minorHAnsi"/>
          <w:color w:val="1F1F1F"/>
          <w:sz w:val="22"/>
          <w:szCs w:val="22"/>
        </w:rPr>
        <w:t xml:space="preserve">no </w:t>
      </w:r>
      <w:r w:rsidRPr="009441A0">
        <w:rPr>
          <w:rFonts w:asciiTheme="minorHAnsi" w:hAnsiTheme="minorHAnsi" w:cstheme="minorHAnsi"/>
          <w:color w:val="1F1F1F"/>
          <w:sz w:val="22"/>
          <w:szCs w:val="22"/>
        </w:rPr>
        <w:t xml:space="preserve">race </w:t>
      </w:r>
      <w:r w:rsidR="00E81D05">
        <w:rPr>
          <w:rFonts w:asciiTheme="minorHAnsi" w:hAnsiTheme="minorHAnsi" w:cstheme="minorHAnsi"/>
          <w:color w:val="1F1F1F"/>
          <w:sz w:val="22"/>
          <w:szCs w:val="22"/>
        </w:rPr>
        <w:t xml:space="preserve">or ethnicity </w:t>
      </w:r>
      <w:r w:rsidRPr="009441A0">
        <w:rPr>
          <w:rFonts w:asciiTheme="minorHAnsi" w:hAnsiTheme="minorHAnsi" w:cstheme="minorHAnsi"/>
          <w:color w:val="1F1F1F"/>
          <w:sz w:val="22"/>
          <w:szCs w:val="22"/>
        </w:rPr>
        <w:t>information</w:t>
      </w:r>
      <w:r w:rsidR="00E81D05">
        <w:rPr>
          <w:rFonts w:asciiTheme="minorHAnsi" w:hAnsiTheme="minorHAnsi" w:cstheme="minorHAnsi"/>
          <w:color w:val="1F1F1F"/>
          <w:sz w:val="22"/>
          <w:szCs w:val="22"/>
        </w:rPr>
        <w:t xml:space="preserve">, respectively, </w:t>
      </w:r>
      <w:r w:rsidRPr="009441A0">
        <w:rPr>
          <w:rFonts w:asciiTheme="minorHAnsi" w:hAnsiTheme="minorHAnsi" w:cstheme="minorHAnsi"/>
          <w:color w:val="1F1F1F"/>
          <w:sz w:val="22"/>
          <w:szCs w:val="22"/>
        </w:rPr>
        <w:t>for the study.</w:t>
      </w:r>
    </w:p>
    <w:p w14:paraId="5C4F30BF" w14:textId="1F3C2F6F" w:rsidR="00AB6902" w:rsidRPr="009441A0"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 xml:space="preserve">Second, studies where the new total sum of the race categories exceeded 110% were manually checked against the study pages on the website. There were obvious errors in the race variables in a few studies, but when the percentages were plausible (because students can belong to more than one race category), the study data were preserved.  Care was taken to avoiding changing the review </w:t>
      </w:r>
      <w:proofErr w:type="gramStart"/>
      <w:r w:rsidRPr="009441A0">
        <w:rPr>
          <w:rFonts w:asciiTheme="minorHAnsi" w:hAnsiTheme="minorHAnsi" w:cstheme="minorHAnsi"/>
          <w:color w:val="1F1F1F"/>
          <w:sz w:val="22"/>
          <w:szCs w:val="22"/>
        </w:rPr>
        <w:t>data</w:t>
      </w:r>
      <w:proofErr w:type="gramEnd"/>
      <w:r w:rsidRPr="009441A0">
        <w:rPr>
          <w:rFonts w:asciiTheme="minorHAnsi" w:hAnsiTheme="minorHAnsi" w:cstheme="minorHAnsi"/>
          <w:color w:val="1F1F1F"/>
          <w:sz w:val="22"/>
          <w:szCs w:val="22"/>
        </w:rPr>
        <w:t xml:space="preserve"> if possible, but data errors are possible because the race variables are manually entered in by WWC reviewers. After these revisions, only 1% of studies had percentages that summed to over 110% across the different race categories. Third, given the very small counts of studies that reported race separately for native American and Pacific Islander students, these categories were </w:t>
      </w:r>
      <w:r w:rsidR="00B5712B">
        <w:rPr>
          <w:rFonts w:asciiTheme="minorHAnsi" w:hAnsiTheme="minorHAnsi" w:cstheme="minorHAnsi"/>
          <w:color w:val="1F1F1F"/>
          <w:sz w:val="22"/>
          <w:szCs w:val="22"/>
        </w:rPr>
        <w:t>combined in an “indigenous race”</w:t>
      </w:r>
      <w:r w:rsidRPr="009441A0">
        <w:rPr>
          <w:rFonts w:asciiTheme="minorHAnsi" w:hAnsiTheme="minorHAnsi" w:cstheme="minorHAnsi"/>
          <w:color w:val="1F1F1F"/>
          <w:sz w:val="22"/>
          <w:szCs w:val="22"/>
        </w:rPr>
        <w:t xml:space="preserve"> category. </w:t>
      </w:r>
    </w:p>
    <w:p w14:paraId="650E0420" w14:textId="77777777" w:rsidR="00AB6902" w:rsidRPr="009441A0" w:rsidRDefault="00AB6902" w:rsidP="00457B72">
      <w:pPr>
        <w:pStyle w:val="23aRELlevel3heading15page"/>
        <w:spacing w:line="240" w:lineRule="auto"/>
        <w:rPr>
          <w:rFonts w:asciiTheme="minorHAnsi" w:hAnsiTheme="minorHAnsi" w:cstheme="minorHAnsi"/>
        </w:rPr>
      </w:pPr>
      <w:r w:rsidRPr="009441A0">
        <w:rPr>
          <w:rFonts w:asciiTheme="minorHAnsi" w:hAnsiTheme="minorHAnsi" w:cstheme="minorHAnsi"/>
        </w:rPr>
        <w:t>Socio-economic status</w:t>
      </w:r>
    </w:p>
    <w:p w14:paraId="3BF4FC29" w14:textId="62F47B61" w:rsidR="00AB6902" w:rsidRPr="009441A0"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 xml:space="preserve">The WWC database contains a variable for the percent of students who qualified for free- and reduced-price lunch in the study. However, this variable may reflect other indicators of low socio-economic status, such as the percent eligible for Pell grants in studies of post-secondary interventions. Therefore, this variable represents low socio-economic status more generally.  </w:t>
      </w:r>
    </w:p>
    <w:p w14:paraId="407A9287" w14:textId="77777777" w:rsidR="00AB6902" w:rsidRPr="009441A0" w:rsidRDefault="00AB6902" w:rsidP="00457B72">
      <w:pPr>
        <w:pStyle w:val="23aRELlevel3heading15page"/>
        <w:spacing w:line="240" w:lineRule="auto"/>
        <w:rPr>
          <w:rFonts w:asciiTheme="minorHAnsi" w:hAnsiTheme="minorHAnsi" w:cstheme="minorHAnsi"/>
        </w:rPr>
      </w:pPr>
      <w:r w:rsidRPr="009441A0">
        <w:rPr>
          <w:rFonts w:asciiTheme="minorHAnsi" w:hAnsiTheme="minorHAnsi" w:cstheme="minorHAnsi"/>
        </w:rPr>
        <w:t>Other student characteristics</w:t>
      </w:r>
    </w:p>
    <w:p w14:paraId="69574B1C" w14:textId="7CF3779F" w:rsidR="00AB6902" w:rsidRPr="009441A0" w:rsidRDefault="00D56D9F" w:rsidP="00457B72">
      <w:pPr>
        <w:spacing w:after="160" w:line="240" w:lineRule="auto"/>
        <w:rPr>
          <w:rFonts w:asciiTheme="minorHAnsi" w:hAnsiTheme="minorHAnsi" w:cstheme="minorHAnsi"/>
          <w:color w:val="1F1F1F"/>
          <w:sz w:val="22"/>
          <w:szCs w:val="22"/>
        </w:rPr>
      </w:pPr>
      <w:r>
        <w:rPr>
          <w:rFonts w:asciiTheme="minorHAnsi" w:hAnsiTheme="minorHAnsi" w:cstheme="minorHAnsi"/>
          <w:color w:val="1F1F1F"/>
          <w:sz w:val="22"/>
          <w:szCs w:val="22"/>
        </w:rPr>
        <w:t>The WWC data also include the percentage</w:t>
      </w:r>
      <w:r w:rsidR="00F86F43">
        <w:rPr>
          <w:rFonts w:asciiTheme="minorHAnsi" w:hAnsiTheme="minorHAnsi" w:cstheme="minorHAnsi"/>
          <w:color w:val="1F1F1F"/>
          <w:sz w:val="22"/>
          <w:szCs w:val="22"/>
        </w:rPr>
        <w:t>s</w:t>
      </w:r>
      <w:r>
        <w:rPr>
          <w:rFonts w:asciiTheme="minorHAnsi" w:hAnsiTheme="minorHAnsi" w:cstheme="minorHAnsi"/>
          <w:color w:val="1F1F1F"/>
          <w:sz w:val="22"/>
          <w:szCs w:val="22"/>
        </w:rPr>
        <w:t xml:space="preserve"> </w:t>
      </w:r>
      <w:r w:rsidR="003B7F06">
        <w:rPr>
          <w:rFonts w:asciiTheme="minorHAnsi" w:hAnsiTheme="minorHAnsi" w:cstheme="minorHAnsi"/>
          <w:color w:val="1F1F1F"/>
          <w:sz w:val="22"/>
          <w:szCs w:val="22"/>
        </w:rPr>
        <w:t xml:space="preserve">of </w:t>
      </w:r>
      <w:r>
        <w:rPr>
          <w:rFonts w:asciiTheme="minorHAnsi" w:hAnsiTheme="minorHAnsi" w:cstheme="minorHAnsi"/>
          <w:color w:val="1F1F1F"/>
          <w:sz w:val="22"/>
          <w:szCs w:val="22"/>
        </w:rPr>
        <w:t>female</w:t>
      </w:r>
      <w:r w:rsidR="003B7F06">
        <w:rPr>
          <w:rFonts w:asciiTheme="minorHAnsi" w:hAnsiTheme="minorHAnsi" w:cstheme="minorHAnsi"/>
          <w:color w:val="1F1F1F"/>
          <w:sz w:val="22"/>
          <w:szCs w:val="22"/>
        </w:rPr>
        <w:t xml:space="preserve"> students</w:t>
      </w:r>
      <w:r>
        <w:rPr>
          <w:rFonts w:asciiTheme="minorHAnsi" w:hAnsiTheme="minorHAnsi" w:cstheme="minorHAnsi"/>
          <w:color w:val="1F1F1F"/>
          <w:sz w:val="22"/>
          <w:szCs w:val="22"/>
        </w:rPr>
        <w:t xml:space="preserve">, students with </w:t>
      </w:r>
      <w:r w:rsidR="00344FEA">
        <w:rPr>
          <w:rFonts w:asciiTheme="minorHAnsi" w:hAnsiTheme="minorHAnsi" w:cstheme="minorHAnsi"/>
          <w:color w:val="1F1F1F"/>
          <w:sz w:val="22"/>
          <w:szCs w:val="22"/>
        </w:rPr>
        <w:t xml:space="preserve">disabilities or </w:t>
      </w:r>
      <w:r w:rsidR="00AB6902" w:rsidRPr="009441A0">
        <w:rPr>
          <w:rFonts w:asciiTheme="minorHAnsi" w:hAnsiTheme="minorHAnsi" w:cstheme="minorHAnsi"/>
          <w:color w:val="1F1F1F"/>
          <w:sz w:val="22"/>
          <w:szCs w:val="22"/>
        </w:rPr>
        <w:t>individual education plan</w:t>
      </w:r>
      <w:r w:rsidR="003B7F06">
        <w:rPr>
          <w:rFonts w:asciiTheme="minorHAnsi" w:hAnsiTheme="minorHAnsi" w:cstheme="minorHAnsi"/>
          <w:color w:val="1F1F1F"/>
          <w:sz w:val="22"/>
          <w:szCs w:val="22"/>
        </w:rPr>
        <w:t>s</w:t>
      </w:r>
      <w:r w:rsidR="00AB6902" w:rsidRPr="009441A0">
        <w:rPr>
          <w:rFonts w:asciiTheme="minorHAnsi" w:hAnsiTheme="minorHAnsi" w:cstheme="minorHAnsi"/>
          <w:color w:val="1F1F1F"/>
          <w:sz w:val="22"/>
          <w:szCs w:val="22"/>
        </w:rPr>
        <w:t xml:space="preserve"> (IEP</w:t>
      </w:r>
      <w:r w:rsidR="003B7F06">
        <w:rPr>
          <w:rFonts w:asciiTheme="minorHAnsi" w:hAnsiTheme="minorHAnsi" w:cstheme="minorHAnsi"/>
          <w:color w:val="1F1F1F"/>
          <w:sz w:val="22"/>
          <w:szCs w:val="22"/>
        </w:rPr>
        <w:t>s</w:t>
      </w:r>
      <w:r w:rsidR="00AB6902" w:rsidRPr="009441A0">
        <w:rPr>
          <w:rFonts w:asciiTheme="minorHAnsi" w:hAnsiTheme="minorHAnsi" w:cstheme="minorHAnsi"/>
          <w:color w:val="1F1F1F"/>
          <w:sz w:val="22"/>
          <w:szCs w:val="22"/>
        </w:rPr>
        <w:t xml:space="preserve">), </w:t>
      </w:r>
      <w:r w:rsidR="003B7F06">
        <w:rPr>
          <w:rFonts w:asciiTheme="minorHAnsi" w:hAnsiTheme="minorHAnsi" w:cstheme="minorHAnsi"/>
          <w:color w:val="1F1F1F"/>
          <w:sz w:val="22"/>
          <w:szCs w:val="22"/>
        </w:rPr>
        <w:t>and English learners.</w:t>
      </w:r>
    </w:p>
    <w:p w14:paraId="6AC743B8" w14:textId="77777777" w:rsidR="002909E6" w:rsidRDefault="002909E6" w:rsidP="00457B72">
      <w:pPr>
        <w:pStyle w:val="23aRELlevel3heading15page"/>
        <w:spacing w:line="240" w:lineRule="auto"/>
        <w:rPr>
          <w:rFonts w:asciiTheme="minorHAnsi" w:hAnsiTheme="minorHAnsi" w:cstheme="minorHAnsi"/>
        </w:rPr>
      </w:pPr>
    </w:p>
    <w:p w14:paraId="51E13284" w14:textId="77777777" w:rsidR="002909E6" w:rsidRDefault="002909E6" w:rsidP="00457B72">
      <w:pPr>
        <w:pStyle w:val="23aRELlevel3heading15page"/>
        <w:spacing w:line="240" w:lineRule="auto"/>
        <w:rPr>
          <w:rFonts w:asciiTheme="minorHAnsi" w:hAnsiTheme="minorHAnsi" w:cstheme="minorHAnsi"/>
        </w:rPr>
      </w:pPr>
    </w:p>
    <w:p w14:paraId="54E9665C" w14:textId="74FABAE7" w:rsidR="00AB6902" w:rsidRPr="009441A0" w:rsidRDefault="00AB6902" w:rsidP="00457B72">
      <w:pPr>
        <w:pStyle w:val="23aRELlevel3heading15page"/>
        <w:spacing w:line="240" w:lineRule="auto"/>
        <w:rPr>
          <w:rFonts w:asciiTheme="minorHAnsi" w:hAnsiTheme="minorHAnsi" w:cstheme="minorHAnsi"/>
        </w:rPr>
      </w:pPr>
      <w:r w:rsidRPr="009441A0">
        <w:rPr>
          <w:rFonts w:asciiTheme="minorHAnsi" w:hAnsiTheme="minorHAnsi" w:cstheme="minorHAnsi"/>
        </w:rPr>
        <w:lastRenderedPageBreak/>
        <w:t>School setting variables</w:t>
      </w:r>
    </w:p>
    <w:p w14:paraId="7E03A351" w14:textId="38AAA2D6" w:rsidR="00AB6902" w:rsidRPr="009441A0"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 xml:space="preserve">The WWC study database contains information about school types (public, private, parochial, and charter), urbanicities (urban, rural, suburban), and geographic location (states where studies were conducted). Studies may include settings with more than one school type, urbanicity, or geographic location. For each variable, such as school type - public, the variable is coded as 1 if the setting is included in the study, and the variable is left as missing if the setting is not included in the study. </w:t>
      </w:r>
    </w:p>
    <w:p w14:paraId="6D2BD2E7" w14:textId="5206DC22" w:rsidR="00AB6902" w:rsidRPr="009441A0"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 xml:space="preserve">Because the school type variables do not include a separate variable to reflect a postsecondary institution, some reviewers leave the school type variables blank when the studies include only postsecondary institutions. Other reviewers complete the school type variables to indicate whether the postsecondary institution was public, private, or parochial (charter is not applicable). </w:t>
      </w:r>
    </w:p>
    <w:p w14:paraId="4AFC0DC0" w14:textId="731BB0C1" w:rsidR="00AB6902" w:rsidRPr="009441A0"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Geographic location, or states included in the studies, may be missing for several reasons. First, study authors may not report the specific state locations. Second, the studies may have been conducted outside of the U.S., although this is a small proportion of studies. Finally, WWC reviewers may not have recorded this information in the study database. When analyzing the states included in the studies, only states included in more than 50 studies were singled out in this report due to the large number of states. The remaining states were combined into another category.</w:t>
      </w:r>
    </w:p>
    <w:p w14:paraId="42A8688D" w14:textId="77777777" w:rsidR="00AB6902" w:rsidRPr="009441A0" w:rsidRDefault="00AB6902" w:rsidP="00457B72">
      <w:pPr>
        <w:pStyle w:val="23aRELlevel3heading15page"/>
        <w:spacing w:line="240" w:lineRule="auto"/>
        <w:rPr>
          <w:rFonts w:asciiTheme="minorHAnsi" w:hAnsiTheme="minorHAnsi" w:cstheme="minorHAnsi"/>
        </w:rPr>
      </w:pPr>
      <w:r w:rsidRPr="009441A0">
        <w:rPr>
          <w:rFonts w:asciiTheme="minorHAnsi" w:hAnsiTheme="minorHAnsi" w:cstheme="minorHAnsi"/>
        </w:rPr>
        <w:t>Intervention type and delivery method variables</w:t>
      </w:r>
    </w:p>
    <w:p w14:paraId="41A8B125" w14:textId="7DD41B10" w:rsidR="00AB6902" w:rsidRPr="009441A0"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 xml:space="preserve">WWC study data also include intervention type (policy, practice, curriculum, supplement, school-level, teacher-level) and intervention delivery method (individual, school, small group, whole class). These variables are not mutually exclusive because study settings may include multiple schools, and interventions may contain multiple components. These variables were coded as missing only when no category was selected for the variable. </w:t>
      </w:r>
    </w:p>
    <w:p w14:paraId="7FA0A9BC" w14:textId="77777777" w:rsidR="00AB6902" w:rsidRPr="009441A0" w:rsidRDefault="00AB6902" w:rsidP="00457B72">
      <w:pPr>
        <w:pStyle w:val="23aRELlevel3heading15page"/>
        <w:spacing w:line="240" w:lineRule="auto"/>
        <w:rPr>
          <w:rFonts w:asciiTheme="minorHAnsi" w:hAnsiTheme="minorHAnsi" w:cstheme="minorHAnsi"/>
        </w:rPr>
      </w:pPr>
      <w:r w:rsidRPr="009441A0">
        <w:rPr>
          <w:rFonts w:asciiTheme="minorHAnsi" w:hAnsiTheme="minorHAnsi" w:cstheme="minorHAnsi"/>
        </w:rPr>
        <w:t>Evidence tiers</w:t>
      </w:r>
    </w:p>
    <w:p w14:paraId="7EFC87DE" w14:textId="3E714336" w:rsidR="00AB6902" w:rsidRPr="009441A0"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 xml:space="preserve">The WWC assigns evidence tiers to </w:t>
      </w:r>
      <w:r w:rsidR="005E4FB5">
        <w:rPr>
          <w:rFonts w:asciiTheme="minorHAnsi" w:hAnsiTheme="minorHAnsi" w:cstheme="minorHAnsi"/>
          <w:color w:val="1F1F1F"/>
          <w:sz w:val="22"/>
          <w:szCs w:val="22"/>
        </w:rPr>
        <w:t>favorable</w:t>
      </w:r>
      <w:r w:rsidR="005E4FB5" w:rsidRPr="009441A0">
        <w:rPr>
          <w:rFonts w:asciiTheme="minorHAnsi" w:hAnsiTheme="minorHAnsi" w:cstheme="minorHAnsi"/>
          <w:color w:val="1F1F1F"/>
          <w:sz w:val="22"/>
          <w:szCs w:val="22"/>
        </w:rPr>
        <w:t xml:space="preserve"> </w:t>
      </w:r>
      <w:r w:rsidRPr="009441A0">
        <w:rPr>
          <w:rFonts w:asciiTheme="minorHAnsi" w:hAnsiTheme="minorHAnsi" w:cstheme="minorHAnsi"/>
          <w:color w:val="1F1F1F"/>
          <w:sz w:val="22"/>
          <w:szCs w:val="22"/>
        </w:rPr>
        <w:t>findings in its study reviews according to the U.S. Department of Education’s regulatory evidence definitions. However, errors in the underlying data may result in a finding not being assigned an evidence tier in the public extract file. Additional findings were flagged as earning an evidence tier when each of the following conditions were true:</w:t>
      </w:r>
    </w:p>
    <w:p w14:paraId="38F53FE4" w14:textId="77777777" w:rsidR="00AB6902" w:rsidRPr="009441A0" w:rsidRDefault="00AB6902" w:rsidP="00AB6902">
      <w:pPr>
        <w:pStyle w:val="ListParagraph"/>
        <w:numPr>
          <w:ilvl w:val="0"/>
          <w:numId w:val="7"/>
        </w:numPr>
        <w:spacing w:after="0" w:line="240" w:lineRule="auto"/>
        <w:rPr>
          <w:rFonts w:cstheme="minorHAnsi"/>
          <w:color w:val="1F1F1F"/>
        </w:rPr>
      </w:pPr>
      <w:r w:rsidRPr="009441A0">
        <w:rPr>
          <w:rFonts w:cstheme="minorHAnsi"/>
          <w:color w:val="1F1F1F"/>
        </w:rPr>
        <w:t>The finding was statistically significant (“</w:t>
      </w:r>
      <w:proofErr w:type="spellStart"/>
      <w:r w:rsidRPr="009441A0">
        <w:rPr>
          <w:rFonts w:cstheme="minorHAnsi"/>
          <w:color w:val="1F1F1F"/>
        </w:rPr>
        <w:t>f_is_statistically_signifcant</w:t>
      </w:r>
      <w:proofErr w:type="spellEnd"/>
      <w:r w:rsidRPr="009441A0">
        <w:rPr>
          <w:rFonts w:cstheme="minorHAnsi"/>
          <w:color w:val="1F1F1F"/>
        </w:rPr>
        <w:t xml:space="preserve">” was True) </w:t>
      </w:r>
    </w:p>
    <w:p w14:paraId="33A0EB91" w14:textId="1A2C4EAE" w:rsidR="00AB6902" w:rsidRPr="009441A0" w:rsidRDefault="00AB6902" w:rsidP="00AB6902">
      <w:pPr>
        <w:pStyle w:val="ListParagraph"/>
        <w:numPr>
          <w:ilvl w:val="0"/>
          <w:numId w:val="7"/>
        </w:numPr>
        <w:spacing w:after="0" w:line="240" w:lineRule="auto"/>
        <w:rPr>
          <w:rFonts w:cstheme="minorHAnsi"/>
          <w:color w:val="1F1F1F"/>
        </w:rPr>
      </w:pPr>
      <w:r w:rsidRPr="009441A0">
        <w:rPr>
          <w:rFonts w:cstheme="minorHAnsi"/>
          <w:color w:val="1F1F1F"/>
        </w:rPr>
        <w:t xml:space="preserve">The effect size was positive, or the WWC-calculated effect size was </w:t>
      </w:r>
      <w:proofErr w:type="gramStart"/>
      <w:r w:rsidRPr="009441A0">
        <w:rPr>
          <w:rFonts w:cstheme="minorHAnsi"/>
          <w:color w:val="1F1F1F"/>
        </w:rPr>
        <w:t>negative</w:t>
      </w:r>
      <w:proofErr w:type="gramEnd"/>
      <w:r w:rsidRPr="009441A0">
        <w:rPr>
          <w:rFonts w:cstheme="minorHAnsi"/>
          <w:color w:val="1F1F1F"/>
        </w:rPr>
        <w:t xml:space="preserve"> but the improvement index was positive (see Effect size section)</w:t>
      </w:r>
    </w:p>
    <w:p w14:paraId="3F79D611" w14:textId="2D3726AA" w:rsidR="00AB6902" w:rsidRPr="009441A0" w:rsidRDefault="00AB6902" w:rsidP="00AB6902">
      <w:pPr>
        <w:pStyle w:val="ListParagraph"/>
        <w:numPr>
          <w:ilvl w:val="0"/>
          <w:numId w:val="7"/>
        </w:numPr>
        <w:spacing w:after="0" w:line="240" w:lineRule="auto"/>
        <w:rPr>
          <w:rFonts w:cstheme="minorHAnsi"/>
          <w:color w:val="1F1F1F"/>
        </w:rPr>
      </w:pPr>
      <w:r w:rsidRPr="009441A0">
        <w:rPr>
          <w:rFonts w:cstheme="minorHAnsi"/>
          <w:color w:val="1F1F1F"/>
        </w:rPr>
        <w:t xml:space="preserve">There were no statistically significant and negative findings within the same outcome domain </w:t>
      </w:r>
      <w:r w:rsidR="00F80FA4">
        <w:rPr>
          <w:rFonts w:cstheme="minorHAnsi"/>
          <w:color w:val="1F1F1F"/>
        </w:rPr>
        <w:t>in</w:t>
      </w:r>
      <w:r w:rsidRPr="009441A0">
        <w:rPr>
          <w:rFonts w:cstheme="minorHAnsi"/>
          <w:color w:val="1F1F1F"/>
        </w:rPr>
        <w:t xml:space="preserve"> the study review</w:t>
      </w:r>
    </w:p>
    <w:p w14:paraId="40163373" w14:textId="77777777" w:rsidR="00AB6902" w:rsidRPr="009441A0" w:rsidRDefault="00AB6902" w:rsidP="00AB6902">
      <w:pPr>
        <w:pStyle w:val="ListParagraph"/>
        <w:spacing w:after="0" w:line="240" w:lineRule="auto"/>
        <w:rPr>
          <w:rFonts w:cstheme="minorHAnsi"/>
          <w:color w:val="1F1F1F"/>
        </w:rPr>
      </w:pPr>
    </w:p>
    <w:p w14:paraId="2F72FD7E" w14:textId="77834A9E" w:rsidR="00AB6902" w:rsidRPr="00457B72"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Findings with the above characteristics that also had a multisite sample (</w:t>
      </w:r>
      <w:proofErr w:type="spellStart"/>
      <w:r w:rsidRPr="009441A0">
        <w:rPr>
          <w:rFonts w:asciiTheme="minorHAnsi" w:hAnsiTheme="minorHAnsi" w:cstheme="minorHAnsi"/>
          <w:color w:val="1F1F1F"/>
          <w:sz w:val="22"/>
          <w:szCs w:val="22"/>
        </w:rPr>
        <w:t>s_multisite</w:t>
      </w:r>
      <w:proofErr w:type="spellEnd"/>
      <w:r w:rsidRPr="009441A0">
        <w:rPr>
          <w:rFonts w:asciiTheme="minorHAnsi" w:hAnsiTheme="minorHAnsi" w:cstheme="minorHAnsi"/>
          <w:color w:val="1F1F1F"/>
          <w:sz w:val="22"/>
          <w:szCs w:val="22"/>
        </w:rPr>
        <w:t xml:space="preserve"> was True) and a sample size of 350+ participants were flagged as earning a Tier 1 strong or Tier 2 moderate evidence tier depending on the rating for the finding (</w:t>
      </w:r>
      <w:proofErr w:type="spellStart"/>
      <w:r w:rsidRPr="009441A0">
        <w:rPr>
          <w:rFonts w:asciiTheme="minorHAnsi" w:hAnsiTheme="minorHAnsi" w:cstheme="minorHAnsi"/>
          <w:color w:val="1F1F1F"/>
          <w:sz w:val="22"/>
          <w:szCs w:val="22"/>
        </w:rPr>
        <w:t>f_finding_rating</w:t>
      </w:r>
      <w:proofErr w:type="spellEnd"/>
      <w:r w:rsidRPr="009441A0">
        <w:rPr>
          <w:rFonts w:asciiTheme="minorHAnsi" w:hAnsiTheme="minorHAnsi" w:cstheme="minorHAnsi"/>
          <w:color w:val="1F1F1F"/>
          <w:sz w:val="22"/>
          <w:szCs w:val="22"/>
        </w:rPr>
        <w:t>). Findings with the above characteristics that did not have a multisite sample (</w:t>
      </w:r>
      <w:proofErr w:type="spellStart"/>
      <w:r w:rsidRPr="009441A0">
        <w:rPr>
          <w:rFonts w:asciiTheme="minorHAnsi" w:hAnsiTheme="minorHAnsi" w:cstheme="minorHAnsi"/>
          <w:color w:val="1F1F1F"/>
          <w:sz w:val="22"/>
          <w:szCs w:val="22"/>
        </w:rPr>
        <w:t>s_multisite</w:t>
      </w:r>
      <w:proofErr w:type="spellEnd"/>
      <w:r w:rsidRPr="009441A0">
        <w:rPr>
          <w:rFonts w:asciiTheme="minorHAnsi" w:hAnsiTheme="minorHAnsi" w:cstheme="minorHAnsi"/>
          <w:color w:val="1F1F1F"/>
          <w:sz w:val="22"/>
          <w:szCs w:val="22"/>
        </w:rPr>
        <w:t xml:space="preserve"> was False) or had a sample fewer than 350 participated was flagged as earning a Tier 3 promising evidence tier. This process resulted in an additional </w:t>
      </w:r>
      <w:r w:rsidR="00045DB6">
        <w:rPr>
          <w:rFonts w:asciiTheme="minorHAnsi" w:hAnsiTheme="minorHAnsi" w:cstheme="minorHAnsi"/>
          <w:color w:val="1F1F1F"/>
          <w:sz w:val="22"/>
          <w:szCs w:val="22"/>
        </w:rPr>
        <w:t>13</w:t>
      </w:r>
      <w:r w:rsidRPr="009441A0">
        <w:rPr>
          <w:rFonts w:asciiTheme="minorHAnsi" w:hAnsiTheme="minorHAnsi" w:cstheme="minorHAnsi"/>
          <w:color w:val="1F1F1F"/>
          <w:sz w:val="22"/>
          <w:szCs w:val="22"/>
        </w:rPr>
        <w:t xml:space="preserve"> findings being flagged as Tier 1 strong evidence, </w:t>
      </w:r>
      <w:r w:rsidR="00045DB6">
        <w:rPr>
          <w:rFonts w:asciiTheme="minorHAnsi" w:hAnsiTheme="minorHAnsi" w:cstheme="minorHAnsi"/>
          <w:color w:val="1F1F1F"/>
          <w:sz w:val="22"/>
          <w:szCs w:val="22"/>
        </w:rPr>
        <w:t>5</w:t>
      </w:r>
      <w:r w:rsidRPr="009441A0">
        <w:rPr>
          <w:rFonts w:asciiTheme="minorHAnsi" w:hAnsiTheme="minorHAnsi" w:cstheme="minorHAnsi"/>
          <w:color w:val="1F1F1F"/>
          <w:sz w:val="22"/>
          <w:szCs w:val="22"/>
        </w:rPr>
        <w:t xml:space="preserve"> findings as Tier 2 moderate evidence, and </w:t>
      </w:r>
      <w:r w:rsidR="00045DB6">
        <w:rPr>
          <w:rFonts w:asciiTheme="minorHAnsi" w:hAnsiTheme="minorHAnsi" w:cstheme="minorHAnsi"/>
          <w:color w:val="1F1F1F"/>
          <w:sz w:val="22"/>
          <w:szCs w:val="22"/>
        </w:rPr>
        <w:t>92</w:t>
      </w:r>
      <w:r w:rsidRPr="009441A0">
        <w:rPr>
          <w:rFonts w:asciiTheme="minorHAnsi" w:hAnsiTheme="minorHAnsi" w:cstheme="minorHAnsi"/>
          <w:color w:val="1F1F1F"/>
          <w:sz w:val="22"/>
          <w:szCs w:val="22"/>
        </w:rPr>
        <w:t xml:space="preserve"> findings as Tier 3 promising evidence. Note that this paper does not distinguish among the three evidence tiers, but rather flags findings if they have any evidence tier. </w:t>
      </w:r>
    </w:p>
    <w:p w14:paraId="3B293A12" w14:textId="77777777" w:rsidR="002909E6" w:rsidRDefault="002909E6" w:rsidP="00457B72">
      <w:pPr>
        <w:pStyle w:val="23aRELlevel3heading15page"/>
        <w:spacing w:line="240" w:lineRule="auto"/>
        <w:rPr>
          <w:rFonts w:asciiTheme="minorHAnsi" w:hAnsiTheme="minorHAnsi" w:cstheme="minorHAnsi"/>
        </w:rPr>
      </w:pPr>
    </w:p>
    <w:p w14:paraId="739C5B9C" w14:textId="463A06F2" w:rsidR="00AB6902" w:rsidRPr="009441A0" w:rsidRDefault="00AB6902" w:rsidP="00457B72">
      <w:pPr>
        <w:pStyle w:val="23aRELlevel3heading15page"/>
        <w:spacing w:line="240" w:lineRule="auto"/>
        <w:rPr>
          <w:rFonts w:asciiTheme="minorHAnsi" w:hAnsiTheme="minorHAnsi" w:cstheme="minorHAnsi"/>
        </w:rPr>
      </w:pPr>
      <w:r w:rsidRPr="009441A0">
        <w:rPr>
          <w:rFonts w:asciiTheme="minorHAnsi" w:hAnsiTheme="minorHAnsi" w:cstheme="minorHAnsi"/>
        </w:rPr>
        <w:lastRenderedPageBreak/>
        <w:t>Other changes to the data</w:t>
      </w:r>
    </w:p>
    <w:p w14:paraId="50736D2D" w14:textId="7E9609FF" w:rsidR="00AB6902" w:rsidRPr="009441A0"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 xml:space="preserve">Three studies were dropped from the sample because they either did not meet WWC standards or were ineligible for WWC review. The study design was missing from one study and was imputed based on information in the original report. </w:t>
      </w:r>
    </w:p>
    <w:p w14:paraId="68208CD8" w14:textId="77777777" w:rsidR="002909E6" w:rsidRDefault="002909E6">
      <w:pPr>
        <w:spacing w:after="160" w:line="259" w:lineRule="auto"/>
        <w:ind w:firstLine="0"/>
        <w:rPr>
          <w:rFonts w:asciiTheme="minorHAnsi" w:eastAsiaTheme="minorHAnsi" w:hAnsiTheme="minorHAnsi" w:cstheme="minorHAnsi"/>
          <w:b/>
          <w:i/>
          <w:noProof/>
          <w:color w:val="405D88"/>
          <w:szCs w:val="24"/>
        </w:rPr>
      </w:pPr>
      <w:r>
        <w:rPr>
          <w:rFonts w:cstheme="minorHAnsi"/>
          <w:szCs w:val="24"/>
        </w:rPr>
        <w:br w:type="page"/>
      </w:r>
    </w:p>
    <w:p w14:paraId="104BBF8F" w14:textId="2B5B4987" w:rsidR="00AB6902" w:rsidRPr="009441A0" w:rsidRDefault="009441A0" w:rsidP="00457B72">
      <w:pPr>
        <w:pStyle w:val="22dRELlevel2headingappendix"/>
        <w:spacing w:after="160"/>
        <w:rPr>
          <w:rFonts w:cstheme="minorHAnsi"/>
          <w:szCs w:val="24"/>
        </w:rPr>
      </w:pPr>
      <w:r>
        <w:rPr>
          <w:rFonts w:cstheme="minorHAnsi"/>
          <w:szCs w:val="24"/>
        </w:rPr>
        <w:lastRenderedPageBreak/>
        <w:t xml:space="preserve">Technical Appendix </w:t>
      </w:r>
      <w:r w:rsidR="00AB6902" w:rsidRPr="009441A0">
        <w:rPr>
          <w:rFonts w:cstheme="minorHAnsi"/>
          <w:szCs w:val="24"/>
        </w:rPr>
        <w:t xml:space="preserve">Part </w:t>
      </w:r>
      <w:r w:rsidR="00A42696">
        <w:rPr>
          <w:rFonts w:cstheme="minorHAnsi"/>
          <w:szCs w:val="24"/>
        </w:rPr>
        <w:t>B</w:t>
      </w:r>
      <w:r w:rsidR="00AB6902" w:rsidRPr="009441A0">
        <w:rPr>
          <w:rFonts w:cstheme="minorHAnsi"/>
          <w:szCs w:val="24"/>
        </w:rPr>
        <w:t>: Missingness by the Purpose of the Study Review</w:t>
      </w:r>
    </w:p>
    <w:p w14:paraId="41498B3C" w14:textId="101A00DB" w:rsidR="00AB6902" w:rsidRPr="009441A0" w:rsidRDefault="00AB6902" w:rsidP="00457B72">
      <w:pPr>
        <w:spacing w:after="160" w:line="240" w:lineRule="auto"/>
        <w:rPr>
          <w:rFonts w:asciiTheme="minorHAnsi" w:hAnsiTheme="minorHAnsi" w:cstheme="minorHAnsi"/>
          <w:color w:val="1F1F1F"/>
          <w:sz w:val="22"/>
          <w:szCs w:val="22"/>
        </w:rPr>
      </w:pPr>
      <w:r w:rsidRPr="009441A0">
        <w:rPr>
          <w:rFonts w:asciiTheme="minorHAnsi" w:hAnsiTheme="minorHAnsi" w:cstheme="minorHAnsi"/>
          <w:color w:val="1F1F1F"/>
          <w:sz w:val="22"/>
          <w:szCs w:val="22"/>
        </w:rPr>
        <w:t xml:space="preserve">The paper previously discusses that contextual information may not have been recorded by WWC reviewers for all study reviews, and that the degree of missingness is likely related to the purpose of the WWC study review. Table </w:t>
      </w:r>
      <w:r w:rsidR="00A42696">
        <w:rPr>
          <w:rFonts w:asciiTheme="minorHAnsi" w:hAnsiTheme="minorHAnsi" w:cstheme="minorHAnsi"/>
          <w:color w:val="1F1F1F"/>
          <w:sz w:val="22"/>
          <w:szCs w:val="22"/>
        </w:rPr>
        <w:t>B.1</w:t>
      </w:r>
      <w:r w:rsidRPr="009441A0">
        <w:rPr>
          <w:rFonts w:asciiTheme="minorHAnsi" w:hAnsiTheme="minorHAnsi" w:cstheme="minorHAnsi"/>
          <w:color w:val="1F1F1F"/>
          <w:sz w:val="22"/>
          <w:szCs w:val="22"/>
        </w:rPr>
        <w:t xml:space="preserve"> below shows the percent of studies missing each contextual field by the WWC purpose of review. </w:t>
      </w:r>
      <w:r w:rsidR="001C37FF">
        <w:rPr>
          <w:rFonts w:asciiTheme="minorHAnsi" w:hAnsiTheme="minorHAnsi" w:cstheme="minorHAnsi"/>
          <w:color w:val="1F1F1F"/>
          <w:sz w:val="22"/>
          <w:szCs w:val="22"/>
        </w:rPr>
        <w:t>S</w:t>
      </w:r>
      <w:r w:rsidRPr="009441A0">
        <w:rPr>
          <w:rFonts w:asciiTheme="minorHAnsi" w:hAnsiTheme="minorHAnsi" w:cstheme="minorHAnsi"/>
          <w:color w:val="1F1F1F"/>
          <w:sz w:val="22"/>
          <w:szCs w:val="22"/>
        </w:rPr>
        <w:t xml:space="preserve">tudies reviewed for grant competitions have </w:t>
      </w:r>
      <w:r w:rsidR="00E324D2">
        <w:rPr>
          <w:rFonts w:asciiTheme="minorHAnsi" w:hAnsiTheme="minorHAnsi" w:cstheme="minorHAnsi"/>
          <w:color w:val="1F1F1F"/>
          <w:sz w:val="22"/>
          <w:szCs w:val="22"/>
        </w:rPr>
        <w:t xml:space="preserve">some of </w:t>
      </w:r>
      <w:r w:rsidRPr="009441A0">
        <w:rPr>
          <w:rFonts w:asciiTheme="minorHAnsi" w:hAnsiTheme="minorHAnsi" w:cstheme="minorHAnsi"/>
          <w:color w:val="1F1F1F"/>
          <w:sz w:val="22"/>
          <w:szCs w:val="22"/>
        </w:rPr>
        <w:t xml:space="preserve">the highest percentages of missingness on student demographic variables, which is expected given that these reviews are time-sensitive and prioritize internal validity according to the WWC’s research standards. Conversely, studies reviewed for intervention reports have </w:t>
      </w:r>
      <w:r w:rsidR="004F200B">
        <w:rPr>
          <w:rFonts w:asciiTheme="minorHAnsi" w:hAnsiTheme="minorHAnsi" w:cstheme="minorHAnsi"/>
          <w:color w:val="1F1F1F"/>
          <w:sz w:val="22"/>
          <w:szCs w:val="22"/>
        </w:rPr>
        <w:t xml:space="preserve">some of </w:t>
      </w:r>
      <w:r w:rsidRPr="009441A0">
        <w:rPr>
          <w:rFonts w:asciiTheme="minorHAnsi" w:hAnsiTheme="minorHAnsi" w:cstheme="minorHAnsi"/>
          <w:color w:val="1F1F1F"/>
          <w:sz w:val="22"/>
          <w:szCs w:val="22"/>
        </w:rPr>
        <w:t>the lowest percentages of missingness on student demographic variables, which is also expected because intervention reports include descriptive information about the study samples. Still, student demographic variables may be missing for studies reviewed for intervention reports if the demographic information was not reported in the original studies</w:t>
      </w:r>
      <w:r w:rsidR="00286369">
        <w:rPr>
          <w:rFonts w:asciiTheme="minorHAnsi" w:hAnsiTheme="minorHAnsi" w:cstheme="minorHAnsi"/>
          <w:color w:val="1F1F1F"/>
          <w:sz w:val="22"/>
          <w:szCs w:val="22"/>
        </w:rPr>
        <w:t xml:space="preserve"> or was not recorded by WWC reviewers</w:t>
      </w:r>
      <w:r w:rsidRPr="009441A0">
        <w:rPr>
          <w:rFonts w:asciiTheme="minorHAnsi" w:hAnsiTheme="minorHAnsi" w:cstheme="minorHAnsi"/>
          <w:color w:val="1F1F1F"/>
          <w:sz w:val="22"/>
          <w:szCs w:val="22"/>
        </w:rPr>
        <w:t xml:space="preserve">. </w:t>
      </w:r>
    </w:p>
    <w:p w14:paraId="3D6F49E6" w14:textId="744E0EBB" w:rsidR="00AB6902" w:rsidRPr="009441A0" w:rsidRDefault="00AB6902" w:rsidP="009441A0">
      <w:pPr>
        <w:spacing w:line="240" w:lineRule="auto"/>
        <w:ind w:firstLine="0"/>
        <w:rPr>
          <w:rFonts w:asciiTheme="minorHAnsi" w:hAnsiTheme="minorHAnsi" w:cstheme="minorHAnsi"/>
          <w:b/>
          <w:bCs/>
          <w:sz w:val="22"/>
          <w:szCs w:val="22"/>
        </w:rPr>
      </w:pPr>
      <w:r w:rsidRPr="009441A0">
        <w:rPr>
          <w:rFonts w:asciiTheme="minorHAnsi" w:hAnsiTheme="minorHAnsi" w:cstheme="minorHAnsi"/>
          <w:b/>
          <w:bCs/>
          <w:sz w:val="22"/>
          <w:szCs w:val="22"/>
        </w:rPr>
        <w:t xml:space="preserve">Table </w:t>
      </w:r>
      <w:r w:rsidR="00A42696">
        <w:rPr>
          <w:rFonts w:asciiTheme="minorHAnsi" w:hAnsiTheme="minorHAnsi" w:cstheme="minorHAnsi"/>
          <w:b/>
          <w:bCs/>
          <w:sz w:val="22"/>
          <w:szCs w:val="22"/>
        </w:rPr>
        <w:t>B</w:t>
      </w:r>
      <w:r w:rsidR="009441A0" w:rsidRPr="009441A0">
        <w:rPr>
          <w:rFonts w:asciiTheme="minorHAnsi" w:hAnsiTheme="minorHAnsi" w:cstheme="minorHAnsi"/>
          <w:b/>
          <w:bCs/>
          <w:sz w:val="22"/>
          <w:szCs w:val="22"/>
        </w:rPr>
        <w:t>.1</w:t>
      </w:r>
      <w:r w:rsidRPr="009441A0">
        <w:rPr>
          <w:rFonts w:asciiTheme="minorHAnsi" w:hAnsiTheme="minorHAnsi" w:cstheme="minorHAnsi"/>
          <w:b/>
          <w:bCs/>
          <w:sz w:val="22"/>
          <w:szCs w:val="22"/>
        </w:rPr>
        <w:t>. Missing contextual fields by purpose of review</w:t>
      </w:r>
    </w:p>
    <w:p w14:paraId="76DE06C3" w14:textId="77777777" w:rsidR="009441A0" w:rsidRPr="009441A0" w:rsidRDefault="009441A0" w:rsidP="009441A0">
      <w:pPr>
        <w:spacing w:line="240" w:lineRule="auto"/>
        <w:ind w:firstLine="0"/>
        <w:rPr>
          <w:rFonts w:asciiTheme="minorHAnsi" w:hAnsiTheme="minorHAnsi" w:cstheme="minorHAnsi"/>
          <w:b/>
          <w:bCs/>
          <w:sz w:val="22"/>
          <w:szCs w:val="22"/>
        </w:rPr>
      </w:pPr>
    </w:p>
    <w:tbl>
      <w:tblPr>
        <w:tblW w:w="5000" w:type="pct"/>
        <w:tblCellMar>
          <w:left w:w="0" w:type="dxa"/>
          <w:right w:w="0" w:type="dxa"/>
        </w:tblCellMar>
        <w:tblLook w:val="04A0" w:firstRow="1" w:lastRow="0" w:firstColumn="1" w:lastColumn="0" w:noHBand="0" w:noVBand="1"/>
      </w:tblPr>
      <w:tblGrid>
        <w:gridCol w:w="1427"/>
        <w:gridCol w:w="1572"/>
        <w:gridCol w:w="9"/>
        <w:gridCol w:w="1250"/>
        <w:gridCol w:w="1250"/>
        <w:gridCol w:w="1250"/>
        <w:gridCol w:w="1196"/>
        <w:gridCol w:w="1406"/>
      </w:tblGrid>
      <w:tr w:rsidR="00AB6902" w:rsidRPr="009441A0" w14:paraId="60B50263" w14:textId="77777777" w:rsidTr="00155E2E">
        <w:tc>
          <w:tcPr>
            <w:tcW w:w="762" w:type="pct"/>
            <w:tcBorders>
              <w:top w:val="single" w:sz="4" w:space="0" w:color="auto"/>
              <w:bottom w:val="single" w:sz="4" w:space="0" w:color="auto"/>
            </w:tcBorders>
            <w:tcMar>
              <w:top w:w="0" w:type="dxa"/>
              <w:left w:w="108" w:type="dxa"/>
              <w:bottom w:w="0" w:type="dxa"/>
              <w:right w:w="108" w:type="dxa"/>
            </w:tcMar>
          </w:tcPr>
          <w:p w14:paraId="7172D2DF" w14:textId="77777777" w:rsidR="00AB6902" w:rsidRPr="009441A0" w:rsidRDefault="00AB6902" w:rsidP="009441A0">
            <w:pPr>
              <w:spacing w:line="240" w:lineRule="auto"/>
              <w:ind w:firstLine="0"/>
              <w:rPr>
                <w:rFonts w:asciiTheme="minorHAnsi" w:hAnsiTheme="minorHAnsi" w:cstheme="minorHAnsi"/>
                <w:sz w:val="22"/>
                <w:szCs w:val="22"/>
              </w:rPr>
            </w:pPr>
          </w:p>
        </w:tc>
        <w:tc>
          <w:tcPr>
            <w:tcW w:w="4238" w:type="pct"/>
            <w:gridSpan w:val="7"/>
            <w:tcBorders>
              <w:top w:val="single" w:sz="4" w:space="0" w:color="auto"/>
              <w:bottom w:val="single" w:sz="4" w:space="0" w:color="auto"/>
            </w:tcBorders>
            <w:tcMar>
              <w:top w:w="0" w:type="dxa"/>
              <w:left w:w="108" w:type="dxa"/>
              <w:bottom w:w="0" w:type="dxa"/>
              <w:right w:w="108" w:type="dxa"/>
            </w:tcMar>
          </w:tcPr>
          <w:p w14:paraId="5D109871" w14:textId="77777777" w:rsidR="00AB6902" w:rsidRPr="009441A0" w:rsidRDefault="00AB6902" w:rsidP="009441A0">
            <w:pPr>
              <w:spacing w:line="240" w:lineRule="auto"/>
              <w:ind w:firstLine="0"/>
              <w:jc w:val="center"/>
              <w:rPr>
                <w:rFonts w:asciiTheme="minorHAnsi" w:hAnsiTheme="minorHAnsi" w:cstheme="minorHAnsi"/>
                <w:b/>
                <w:bCs/>
                <w:sz w:val="22"/>
                <w:szCs w:val="22"/>
              </w:rPr>
            </w:pPr>
            <w:r w:rsidRPr="009441A0">
              <w:rPr>
                <w:rFonts w:asciiTheme="minorHAnsi" w:hAnsiTheme="minorHAnsi" w:cstheme="minorHAnsi"/>
                <w:b/>
                <w:bCs/>
                <w:sz w:val="22"/>
                <w:szCs w:val="22"/>
              </w:rPr>
              <w:t>Purpose of review</w:t>
            </w:r>
          </w:p>
        </w:tc>
      </w:tr>
      <w:tr w:rsidR="00AB6902" w:rsidRPr="009441A0" w14:paraId="416446AA" w14:textId="77777777" w:rsidTr="00155E2E">
        <w:tc>
          <w:tcPr>
            <w:tcW w:w="762" w:type="pct"/>
            <w:tcBorders>
              <w:top w:val="single" w:sz="4" w:space="0" w:color="auto"/>
              <w:bottom w:val="single" w:sz="4" w:space="0" w:color="auto"/>
            </w:tcBorders>
            <w:tcMar>
              <w:top w:w="0" w:type="dxa"/>
              <w:left w:w="108" w:type="dxa"/>
              <w:bottom w:w="0" w:type="dxa"/>
              <w:right w:w="108" w:type="dxa"/>
            </w:tcMar>
          </w:tcPr>
          <w:p w14:paraId="1B2979EB" w14:textId="77777777" w:rsidR="00AB6902" w:rsidRPr="009441A0" w:rsidRDefault="00AB6902" w:rsidP="009441A0">
            <w:pPr>
              <w:spacing w:line="240" w:lineRule="auto"/>
              <w:ind w:firstLine="0"/>
              <w:rPr>
                <w:rFonts w:asciiTheme="minorHAnsi" w:hAnsiTheme="minorHAnsi" w:cstheme="minorHAnsi"/>
                <w:sz w:val="22"/>
                <w:szCs w:val="22"/>
              </w:rPr>
            </w:pPr>
          </w:p>
        </w:tc>
        <w:tc>
          <w:tcPr>
            <w:tcW w:w="839" w:type="pct"/>
            <w:tcBorders>
              <w:top w:val="single" w:sz="4" w:space="0" w:color="auto"/>
              <w:bottom w:val="single" w:sz="4" w:space="0" w:color="auto"/>
            </w:tcBorders>
            <w:tcMar>
              <w:top w:w="0" w:type="dxa"/>
              <w:left w:w="108" w:type="dxa"/>
              <w:bottom w:w="0" w:type="dxa"/>
              <w:right w:w="108" w:type="dxa"/>
            </w:tcMar>
            <w:hideMark/>
          </w:tcPr>
          <w:p w14:paraId="2136D9B4"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Grant competition</w:t>
            </w:r>
          </w:p>
          <w:p w14:paraId="504AA41C"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N (%)</w:t>
            </w:r>
          </w:p>
        </w:tc>
        <w:tc>
          <w:tcPr>
            <w:tcW w:w="5" w:type="pct"/>
            <w:tcBorders>
              <w:top w:val="single" w:sz="4" w:space="0" w:color="auto"/>
              <w:bottom w:val="single" w:sz="4" w:space="0" w:color="auto"/>
            </w:tcBorders>
          </w:tcPr>
          <w:p w14:paraId="5A869838"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single" w:sz="4" w:space="0" w:color="auto"/>
              <w:bottom w:val="single" w:sz="4" w:space="0" w:color="auto"/>
            </w:tcBorders>
          </w:tcPr>
          <w:p w14:paraId="788A7235"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 xml:space="preserve">ED or IES funded </w:t>
            </w:r>
          </w:p>
          <w:p w14:paraId="724C6199"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N (%)</w:t>
            </w:r>
          </w:p>
        </w:tc>
        <w:tc>
          <w:tcPr>
            <w:tcW w:w="668" w:type="pct"/>
            <w:tcBorders>
              <w:top w:val="single" w:sz="4" w:space="0" w:color="auto"/>
              <w:bottom w:val="single" w:sz="4" w:space="0" w:color="auto"/>
            </w:tcBorders>
          </w:tcPr>
          <w:p w14:paraId="77491EA5"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 xml:space="preserve">Single study review </w:t>
            </w:r>
          </w:p>
          <w:p w14:paraId="4B2987B7"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N (%)</w:t>
            </w:r>
          </w:p>
        </w:tc>
        <w:tc>
          <w:tcPr>
            <w:tcW w:w="668" w:type="pct"/>
            <w:tcBorders>
              <w:top w:val="single" w:sz="4" w:space="0" w:color="auto"/>
              <w:bottom w:val="single" w:sz="4" w:space="0" w:color="auto"/>
            </w:tcBorders>
          </w:tcPr>
          <w:p w14:paraId="1348675A"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Other</w:t>
            </w:r>
          </w:p>
          <w:p w14:paraId="5BB1A270"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N (%)</w:t>
            </w:r>
          </w:p>
        </w:tc>
        <w:tc>
          <w:tcPr>
            <w:tcW w:w="639" w:type="pct"/>
            <w:tcBorders>
              <w:top w:val="single" w:sz="4" w:space="0" w:color="auto"/>
              <w:bottom w:val="single" w:sz="4" w:space="0" w:color="auto"/>
            </w:tcBorders>
            <w:tcMar>
              <w:top w:w="0" w:type="dxa"/>
              <w:left w:w="108" w:type="dxa"/>
              <w:bottom w:w="0" w:type="dxa"/>
              <w:right w:w="108" w:type="dxa"/>
            </w:tcMar>
            <w:hideMark/>
          </w:tcPr>
          <w:p w14:paraId="48B18C1D"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 xml:space="preserve">Practice guide </w:t>
            </w:r>
          </w:p>
          <w:p w14:paraId="5E58FDD0"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N (%)</w:t>
            </w:r>
          </w:p>
        </w:tc>
        <w:tc>
          <w:tcPr>
            <w:tcW w:w="752" w:type="pct"/>
            <w:tcBorders>
              <w:top w:val="single" w:sz="4" w:space="0" w:color="auto"/>
              <w:bottom w:val="single" w:sz="4" w:space="0" w:color="auto"/>
            </w:tcBorders>
          </w:tcPr>
          <w:p w14:paraId="170E0721"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 xml:space="preserve">Intervention report </w:t>
            </w:r>
          </w:p>
          <w:p w14:paraId="10344C6A"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N (%)</w:t>
            </w:r>
          </w:p>
        </w:tc>
      </w:tr>
      <w:tr w:rsidR="00AB6902" w:rsidRPr="009441A0" w14:paraId="64B55AF4" w14:textId="77777777" w:rsidTr="00155E2E">
        <w:tc>
          <w:tcPr>
            <w:tcW w:w="762" w:type="pct"/>
            <w:tcBorders>
              <w:top w:val="single" w:sz="4" w:space="0" w:color="auto"/>
              <w:bottom w:val="single" w:sz="4" w:space="0" w:color="auto"/>
            </w:tcBorders>
            <w:tcMar>
              <w:top w:w="0" w:type="dxa"/>
              <w:left w:w="108" w:type="dxa"/>
              <w:bottom w:w="0" w:type="dxa"/>
              <w:right w:w="108" w:type="dxa"/>
            </w:tcMar>
          </w:tcPr>
          <w:p w14:paraId="3EF7BE86" w14:textId="77777777" w:rsidR="00AB6902" w:rsidRPr="009441A0" w:rsidRDefault="00AB6902" w:rsidP="009441A0">
            <w:pPr>
              <w:spacing w:line="240" w:lineRule="auto"/>
              <w:ind w:firstLine="0"/>
              <w:rPr>
                <w:rFonts w:asciiTheme="minorHAnsi" w:hAnsiTheme="minorHAnsi" w:cstheme="minorHAnsi"/>
                <w:i/>
                <w:iCs/>
                <w:sz w:val="22"/>
                <w:szCs w:val="22"/>
              </w:rPr>
            </w:pPr>
            <w:r w:rsidRPr="009441A0">
              <w:rPr>
                <w:rFonts w:asciiTheme="minorHAnsi" w:hAnsiTheme="minorHAnsi" w:cstheme="minorHAnsi"/>
                <w:i/>
                <w:iCs/>
                <w:sz w:val="22"/>
                <w:szCs w:val="22"/>
              </w:rPr>
              <w:t>Setting</w:t>
            </w:r>
          </w:p>
        </w:tc>
        <w:tc>
          <w:tcPr>
            <w:tcW w:w="839" w:type="pct"/>
            <w:tcBorders>
              <w:top w:val="single" w:sz="4" w:space="0" w:color="auto"/>
              <w:bottom w:val="single" w:sz="4" w:space="0" w:color="auto"/>
            </w:tcBorders>
            <w:shd w:val="clear" w:color="auto" w:fill="auto"/>
            <w:tcMar>
              <w:top w:w="0" w:type="dxa"/>
              <w:left w:w="108" w:type="dxa"/>
              <w:bottom w:w="0" w:type="dxa"/>
              <w:right w:w="108" w:type="dxa"/>
            </w:tcMar>
          </w:tcPr>
          <w:p w14:paraId="4155018E"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5" w:type="pct"/>
            <w:tcBorders>
              <w:top w:val="single" w:sz="4" w:space="0" w:color="auto"/>
              <w:bottom w:val="single" w:sz="4" w:space="0" w:color="auto"/>
            </w:tcBorders>
            <w:shd w:val="clear" w:color="auto" w:fill="auto"/>
          </w:tcPr>
          <w:p w14:paraId="75298D7C"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single" w:sz="4" w:space="0" w:color="auto"/>
              <w:bottom w:val="single" w:sz="4" w:space="0" w:color="auto"/>
            </w:tcBorders>
          </w:tcPr>
          <w:p w14:paraId="5625B346"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single" w:sz="4" w:space="0" w:color="auto"/>
              <w:bottom w:val="single" w:sz="4" w:space="0" w:color="auto"/>
            </w:tcBorders>
          </w:tcPr>
          <w:p w14:paraId="7F5B6D8D"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single" w:sz="4" w:space="0" w:color="auto"/>
              <w:bottom w:val="single" w:sz="4" w:space="0" w:color="auto"/>
            </w:tcBorders>
            <w:shd w:val="clear" w:color="auto" w:fill="auto"/>
          </w:tcPr>
          <w:p w14:paraId="7186B45A"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39" w:type="pct"/>
            <w:tcBorders>
              <w:top w:val="single" w:sz="4" w:space="0" w:color="auto"/>
              <w:bottom w:val="single" w:sz="4" w:space="0" w:color="auto"/>
            </w:tcBorders>
            <w:shd w:val="clear" w:color="auto" w:fill="auto"/>
            <w:tcMar>
              <w:top w:w="0" w:type="dxa"/>
              <w:left w:w="108" w:type="dxa"/>
              <w:bottom w:w="0" w:type="dxa"/>
              <w:right w:w="108" w:type="dxa"/>
            </w:tcMar>
          </w:tcPr>
          <w:p w14:paraId="57C1E3E5"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752" w:type="pct"/>
            <w:tcBorders>
              <w:top w:val="single" w:sz="4" w:space="0" w:color="auto"/>
              <w:bottom w:val="single" w:sz="4" w:space="0" w:color="auto"/>
            </w:tcBorders>
          </w:tcPr>
          <w:p w14:paraId="4450A421" w14:textId="77777777" w:rsidR="00AB6902" w:rsidRPr="009441A0" w:rsidRDefault="00AB6902" w:rsidP="009441A0">
            <w:pPr>
              <w:spacing w:line="240" w:lineRule="auto"/>
              <w:ind w:firstLine="0"/>
              <w:jc w:val="center"/>
              <w:rPr>
                <w:rFonts w:asciiTheme="minorHAnsi" w:hAnsiTheme="minorHAnsi" w:cstheme="minorHAnsi"/>
                <w:sz w:val="22"/>
                <w:szCs w:val="22"/>
              </w:rPr>
            </w:pPr>
          </w:p>
        </w:tc>
      </w:tr>
      <w:tr w:rsidR="00AB6902" w:rsidRPr="009441A0" w14:paraId="6A475732" w14:textId="77777777" w:rsidTr="00155E2E">
        <w:tc>
          <w:tcPr>
            <w:tcW w:w="762" w:type="pct"/>
            <w:tcBorders>
              <w:top w:val="single" w:sz="4" w:space="0" w:color="auto"/>
            </w:tcBorders>
            <w:tcMar>
              <w:top w:w="0" w:type="dxa"/>
              <w:left w:w="108" w:type="dxa"/>
              <w:bottom w:w="0" w:type="dxa"/>
              <w:right w:w="108" w:type="dxa"/>
            </w:tcMar>
          </w:tcPr>
          <w:p w14:paraId="1C6F4219" w14:textId="77777777" w:rsidR="00AB6902" w:rsidRPr="009441A0" w:rsidRDefault="00AB6902" w:rsidP="009441A0">
            <w:pPr>
              <w:spacing w:line="240" w:lineRule="auto"/>
              <w:ind w:firstLine="0"/>
              <w:jc w:val="right"/>
              <w:rPr>
                <w:rFonts w:asciiTheme="minorHAnsi" w:hAnsiTheme="minorHAnsi" w:cstheme="minorHAnsi"/>
                <w:sz w:val="22"/>
                <w:szCs w:val="22"/>
              </w:rPr>
            </w:pPr>
            <w:r w:rsidRPr="009441A0">
              <w:rPr>
                <w:rFonts w:asciiTheme="minorHAnsi" w:hAnsiTheme="minorHAnsi" w:cstheme="minorHAnsi"/>
                <w:sz w:val="22"/>
                <w:szCs w:val="22"/>
              </w:rPr>
              <w:t>School type</w:t>
            </w:r>
          </w:p>
        </w:tc>
        <w:tc>
          <w:tcPr>
            <w:tcW w:w="839" w:type="pct"/>
            <w:tcBorders>
              <w:top w:val="single" w:sz="4" w:space="0" w:color="auto"/>
            </w:tcBorders>
            <w:shd w:val="clear" w:color="auto" w:fill="auto"/>
            <w:tcMar>
              <w:top w:w="0" w:type="dxa"/>
              <w:left w:w="108" w:type="dxa"/>
              <w:bottom w:w="0" w:type="dxa"/>
              <w:right w:w="108" w:type="dxa"/>
            </w:tcMar>
          </w:tcPr>
          <w:p w14:paraId="73476B6E" w14:textId="2341120A"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5</w:t>
            </w:r>
            <w:r w:rsidR="00FE7979">
              <w:rPr>
                <w:rFonts w:asciiTheme="minorHAnsi" w:hAnsiTheme="minorHAnsi" w:cstheme="minorHAnsi"/>
                <w:sz w:val="22"/>
                <w:szCs w:val="22"/>
              </w:rPr>
              <w:t>8</w:t>
            </w:r>
            <w:r w:rsidRPr="009441A0">
              <w:rPr>
                <w:rFonts w:asciiTheme="minorHAnsi" w:hAnsiTheme="minorHAnsi" w:cstheme="minorHAnsi"/>
                <w:sz w:val="22"/>
                <w:szCs w:val="22"/>
              </w:rPr>
              <w:t xml:space="preserve"> (37%)</w:t>
            </w:r>
          </w:p>
        </w:tc>
        <w:tc>
          <w:tcPr>
            <w:tcW w:w="5" w:type="pct"/>
            <w:tcBorders>
              <w:top w:val="single" w:sz="4" w:space="0" w:color="auto"/>
            </w:tcBorders>
            <w:shd w:val="clear" w:color="auto" w:fill="auto"/>
          </w:tcPr>
          <w:p w14:paraId="15F15D90"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single" w:sz="4" w:space="0" w:color="auto"/>
            </w:tcBorders>
          </w:tcPr>
          <w:p w14:paraId="679F27DD"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44 (30%)</w:t>
            </w:r>
          </w:p>
        </w:tc>
        <w:tc>
          <w:tcPr>
            <w:tcW w:w="668" w:type="pct"/>
            <w:tcBorders>
              <w:top w:val="single" w:sz="4" w:space="0" w:color="auto"/>
            </w:tcBorders>
          </w:tcPr>
          <w:p w14:paraId="5FC93F38" w14:textId="338C5656"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9</w:t>
            </w:r>
            <w:r w:rsidR="00D27ACE">
              <w:rPr>
                <w:rFonts w:asciiTheme="minorHAnsi" w:hAnsiTheme="minorHAnsi" w:cstheme="minorHAnsi"/>
                <w:sz w:val="22"/>
                <w:szCs w:val="22"/>
              </w:rPr>
              <w:t>9</w:t>
            </w:r>
            <w:r w:rsidRPr="009441A0">
              <w:rPr>
                <w:rFonts w:asciiTheme="minorHAnsi" w:hAnsiTheme="minorHAnsi" w:cstheme="minorHAnsi"/>
                <w:sz w:val="22"/>
                <w:szCs w:val="22"/>
              </w:rPr>
              <w:t xml:space="preserve"> (46%)</w:t>
            </w:r>
          </w:p>
        </w:tc>
        <w:tc>
          <w:tcPr>
            <w:tcW w:w="668" w:type="pct"/>
            <w:tcBorders>
              <w:top w:val="single" w:sz="4" w:space="0" w:color="auto"/>
            </w:tcBorders>
            <w:shd w:val="clear" w:color="auto" w:fill="auto"/>
          </w:tcPr>
          <w:p w14:paraId="468B43CD" w14:textId="01DAC0B0" w:rsidR="00AB6902" w:rsidRPr="009441A0" w:rsidRDefault="00D27ACE"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27</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84</w:t>
            </w:r>
            <w:r w:rsidR="00AB6902" w:rsidRPr="009441A0">
              <w:rPr>
                <w:rFonts w:asciiTheme="minorHAnsi" w:hAnsiTheme="minorHAnsi" w:cstheme="minorHAnsi"/>
                <w:sz w:val="22"/>
                <w:szCs w:val="22"/>
              </w:rPr>
              <w:t>%)</w:t>
            </w:r>
          </w:p>
        </w:tc>
        <w:tc>
          <w:tcPr>
            <w:tcW w:w="639" w:type="pct"/>
            <w:tcBorders>
              <w:top w:val="single" w:sz="4" w:space="0" w:color="auto"/>
            </w:tcBorders>
            <w:shd w:val="clear" w:color="auto" w:fill="auto"/>
            <w:tcMar>
              <w:top w:w="0" w:type="dxa"/>
              <w:left w:w="108" w:type="dxa"/>
              <w:bottom w:w="0" w:type="dxa"/>
              <w:right w:w="108" w:type="dxa"/>
            </w:tcMar>
          </w:tcPr>
          <w:p w14:paraId="67B4DDFF"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127 (49%)</w:t>
            </w:r>
          </w:p>
        </w:tc>
        <w:tc>
          <w:tcPr>
            <w:tcW w:w="752" w:type="pct"/>
            <w:tcBorders>
              <w:top w:val="single" w:sz="4" w:space="0" w:color="auto"/>
            </w:tcBorders>
          </w:tcPr>
          <w:p w14:paraId="20B56744" w14:textId="32859D53" w:rsidR="00AB6902" w:rsidRPr="009441A0" w:rsidRDefault="00BC7B76"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107</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42</w:t>
            </w:r>
            <w:r w:rsidR="00AB6902" w:rsidRPr="009441A0">
              <w:rPr>
                <w:rFonts w:asciiTheme="minorHAnsi" w:hAnsiTheme="minorHAnsi" w:cstheme="minorHAnsi"/>
                <w:sz w:val="22"/>
                <w:szCs w:val="22"/>
              </w:rPr>
              <w:t>%)</w:t>
            </w:r>
          </w:p>
        </w:tc>
      </w:tr>
      <w:tr w:rsidR="00AB6902" w:rsidRPr="009441A0" w14:paraId="3D52DF48" w14:textId="77777777" w:rsidTr="00155E2E">
        <w:tc>
          <w:tcPr>
            <w:tcW w:w="762" w:type="pct"/>
            <w:tcBorders>
              <w:top w:val="nil"/>
            </w:tcBorders>
            <w:tcMar>
              <w:top w:w="0" w:type="dxa"/>
              <w:left w:w="108" w:type="dxa"/>
              <w:bottom w:w="0" w:type="dxa"/>
              <w:right w:w="108" w:type="dxa"/>
            </w:tcMar>
          </w:tcPr>
          <w:p w14:paraId="4DE8FB8B" w14:textId="77777777" w:rsidR="00AB6902" w:rsidRPr="009441A0" w:rsidRDefault="00AB6902" w:rsidP="009441A0">
            <w:pPr>
              <w:spacing w:line="240" w:lineRule="auto"/>
              <w:ind w:firstLine="0"/>
              <w:jc w:val="right"/>
              <w:rPr>
                <w:rFonts w:asciiTheme="minorHAnsi" w:hAnsiTheme="minorHAnsi" w:cstheme="minorHAnsi"/>
                <w:sz w:val="22"/>
                <w:szCs w:val="22"/>
              </w:rPr>
            </w:pPr>
            <w:r w:rsidRPr="009441A0">
              <w:rPr>
                <w:rFonts w:asciiTheme="minorHAnsi" w:hAnsiTheme="minorHAnsi" w:cstheme="minorHAnsi"/>
                <w:sz w:val="22"/>
                <w:szCs w:val="22"/>
              </w:rPr>
              <w:t>Urbanicity</w:t>
            </w:r>
          </w:p>
        </w:tc>
        <w:tc>
          <w:tcPr>
            <w:tcW w:w="839" w:type="pct"/>
            <w:tcBorders>
              <w:top w:val="nil"/>
            </w:tcBorders>
            <w:shd w:val="clear" w:color="auto" w:fill="auto"/>
            <w:tcMar>
              <w:top w:w="0" w:type="dxa"/>
              <w:left w:w="108" w:type="dxa"/>
              <w:bottom w:w="0" w:type="dxa"/>
              <w:right w:w="108" w:type="dxa"/>
            </w:tcMar>
          </w:tcPr>
          <w:p w14:paraId="7E06F04A"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51 (33%)</w:t>
            </w:r>
          </w:p>
        </w:tc>
        <w:tc>
          <w:tcPr>
            <w:tcW w:w="5" w:type="pct"/>
            <w:tcBorders>
              <w:top w:val="nil"/>
            </w:tcBorders>
            <w:shd w:val="clear" w:color="auto" w:fill="auto"/>
          </w:tcPr>
          <w:p w14:paraId="6B3D3D31"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nil"/>
            </w:tcBorders>
          </w:tcPr>
          <w:p w14:paraId="276179D0"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54 (36%)</w:t>
            </w:r>
          </w:p>
        </w:tc>
        <w:tc>
          <w:tcPr>
            <w:tcW w:w="668" w:type="pct"/>
            <w:tcBorders>
              <w:top w:val="nil"/>
            </w:tcBorders>
          </w:tcPr>
          <w:p w14:paraId="618AE186" w14:textId="7911A1A5"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7</w:t>
            </w:r>
            <w:r w:rsidR="00D27ACE">
              <w:rPr>
                <w:rFonts w:asciiTheme="minorHAnsi" w:hAnsiTheme="minorHAnsi" w:cstheme="minorHAnsi"/>
                <w:sz w:val="22"/>
                <w:szCs w:val="22"/>
              </w:rPr>
              <w:t>6</w:t>
            </w:r>
            <w:r w:rsidRPr="009441A0">
              <w:rPr>
                <w:rFonts w:asciiTheme="minorHAnsi" w:hAnsiTheme="minorHAnsi" w:cstheme="minorHAnsi"/>
                <w:sz w:val="22"/>
                <w:szCs w:val="22"/>
              </w:rPr>
              <w:t xml:space="preserve"> (3</w:t>
            </w:r>
            <w:r w:rsidR="00D27ACE">
              <w:rPr>
                <w:rFonts w:asciiTheme="minorHAnsi" w:hAnsiTheme="minorHAnsi" w:cstheme="minorHAnsi"/>
                <w:sz w:val="22"/>
                <w:szCs w:val="22"/>
              </w:rPr>
              <w:t>6</w:t>
            </w:r>
            <w:r w:rsidRPr="009441A0">
              <w:rPr>
                <w:rFonts w:asciiTheme="minorHAnsi" w:hAnsiTheme="minorHAnsi" w:cstheme="minorHAnsi"/>
                <w:sz w:val="22"/>
                <w:szCs w:val="22"/>
              </w:rPr>
              <w:t>%)</w:t>
            </w:r>
          </w:p>
        </w:tc>
        <w:tc>
          <w:tcPr>
            <w:tcW w:w="668" w:type="pct"/>
            <w:tcBorders>
              <w:top w:val="nil"/>
            </w:tcBorders>
            <w:shd w:val="clear" w:color="auto" w:fill="auto"/>
          </w:tcPr>
          <w:p w14:paraId="27FABE07" w14:textId="42DAFAFB"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2</w:t>
            </w:r>
            <w:r w:rsidR="00D27ACE">
              <w:rPr>
                <w:rFonts w:asciiTheme="minorHAnsi" w:hAnsiTheme="minorHAnsi" w:cstheme="minorHAnsi"/>
                <w:sz w:val="22"/>
                <w:szCs w:val="22"/>
              </w:rPr>
              <w:t>0</w:t>
            </w:r>
            <w:r w:rsidRPr="009441A0">
              <w:rPr>
                <w:rFonts w:asciiTheme="minorHAnsi" w:hAnsiTheme="minorHAnsi" w:cstheme="minorHAnsi"/>
                <w:sz w:val="22"/>
                <w:szCs w:val="22"/>
              </w:rPr>
              <w:t xml:space="preserve"> (6</w:t>
            </w:r>
            <w:r w:rsidR="00D27ACE">
              <w:rPr>
                <w:rFonts w:asciiTheme="minorHAnsi" w:hAnsiTheme="minorHAnsi" w:cstheme="minorHAnsi"/>
                <w:sz w:val="22"/>
                <w:szCs w:val="22"/>
              </w:rPr>
              <w:t>3</w:t>
            </w:r>
            <w:r w:rsidRPr="009441A0">
              <w:rPr>
                <w:rFonts w:asciiTheme="minorHAnsi" w:hAnsiTheme="minorHAnsi" w:cstheme="minorHAnsi"/>
                <w:sz w:val="22"/>
                <w:szCs w:val="22"/>
              </w:rPr>
              <w:t>%)</w:t>
            </w:r>
          </w:p>
        </w:tc>
        <w:tc>
          <w:tcPr>
            <w:tcW w:w="639" w:type="pct"/>
            <w:tcBorders>
              <w:top w:val="nil"/>
            </w:tcBorders>
            <w:shd w:val="clear" w:color="auto" w:fill="auto"/>
            <w:tcMar>
              <w:top w:w="0" w:type="dxa"/>
              <w:left w:w="108" w:type="dxa"/>
              <w:bottom w:w="0" w:type="dxa"/>
              <w:right w:w="108" w:type="dxa"/>
            </w:tcMar>
          </w:tcPr>
          <w:p w14:paraId="5958DF0B"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98 (38%)</w:t>
            </w:r>
          </w:p>
        </w:tc>
        <w:tc>
          <w:tcPr>
            <w:tcW w:w="752" w:type="pct"/>
            <w:tcBorders>
              <w:top w:val="nil"/>
            </w:tcBorders>
          </w:tcPr>
          <w:p w14:paraId="4171944B" w14:textId="2799657B" w:rsidR="00AB6902" w:rsidRPr="009441A0" w:rsidRDefault="00015F10"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81</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32</w:t>
            </w:r>
            <w:r w:rsidR="00AB6902" w:rsidRPr="009441A0">
              <w:rPr>
                <w:rFonts w:asciiTheme="minorHAnsi" w:hAnsiTheme="minorHAnsi" w:cstheme="minorHAnsi"/>
                <w:sz w:val="22"/>
                <w:szCs w:val="22"/>
              </w:rPr>
              <w:t>%)</w:t>
            </w:r>
          </w:p>
        </w:tc>
      </w:tr>
      <w:tr w:rsidR="00AB6902" w:rsidRPr="009441A0" w14:paraId="50C7B985" w14:textId="77777777" w:rsidTr="00155E2E">
        <w:tc>
          <w:tcPr>
            <w:tcW w:w="762" w:type="pct"/>
            <w:tcBorders>
              <w:top w:val="nil"/>
              <w:bottom w:val="single" w:sz="4" w:space="0" w:color="auto"/>
            </w:tcBorders>
            <w:tcMar>
              <w:top w:w="0" w:type="dxa"/>
              <w:left w:w="108" w:type="dxa"/>
              <w:bottom w:w="0" w:type="dxa"/>
              <w:right w:w="108" w:type="dxa"/>
            </w:tcMar>
          </w:tcPr>
          <w:p w14:paraId="2F4CA56C" w14:textId="65DB39F6" w:rsidR="00AB6902" w:rsidRPr="009441A0" w:rsidRDefault="00D5133B" w:rsidP="009441A0">
            <w:pPr>
              <w:spacing w:line="240" w:lineRule="auto"/>
              <w:ind w:firstLine="0"/>
              <w:jc w:val="right"/>
              <w:rPr>
                <w:rFonts w:asciiTheme="minorHAnsi" w:hAnsiTheme="minorHAnsi" w:cstheme="minorHAnsi"/>
                <w:sz w:val="22"/>
                <w:szCs w:val="22"/>
              </w:rPr>
            </w:pPr>
            <w:r>
              <w:rPr>
                <w:rFonts w:asciiTheme="minorHAnsi" w:hAnsiTheme="minorHAnsi" w:cstheme="minorHAnsi"/>
                <w:sz w:val="22"/>
                <w:szCs w:val="22"/>
              </w:rPr>
              <w:t>State</w:t>
            </w:r>
          </w:p>
        </w:tc>
        <w:tc>
          <w:tcPr>
            <w:tcW w:w="839" w:type="pct"/>
            <w:tcBorders>
              <w:top w:val="nil"/>
              <w:bottom w:val="single" w:sz="4" w:space="0" w:color="auto"/>
            </w:tcBorders>
            <w:shd w:val="clear" w:color="auto" w:fill="auto"/>
            <w:tcMar>
              <w:top w:w="0" w:type="dxa"/>
              <w:left w:w="108" w:type="dxa"/>
              <w:bottom w:w="0" w:type="dxa"/>
              <w:right w:w="108" w:type="dxa"/>
            </w:tcMar>
          </w:tcPr>
          <w:p w14:paraId="2A72F907"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39 (25%)</w:t>
            </w:r>
          </w:p>
        </w:tc>
        <w:tc>
          <w:tcPr>
            <w:tcW w:w="5" w:type="pct"/>
            <w:tcBorders>
              <w:top w:val="nil"/>
              <w:bottom w:val="single" w:sz="4" w:space="0" w:color="auto"/>
            </w:tcBorders>
            <w:shd w:val="clear" w:color="auto" w:fill="auto"/>
          </w:tcPr>
          <w:p w14:paraId="17C83E63"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nil"/>
              <w:bottom w:val="single" w:sz="4" w:space="0" w:color="auto"/>
            </w:tcBorders>
          </w:tcPr>
          <w:p w14:paraId="780E2252"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34 (23%)</w:t>
            </w:r>
          </w:p>
        </w:tc>
        <w:tc>
          <w:tcPr>
            <w:tcW w:w="668" w:type="pct"/>
            <w:tcBorders>
              <w:top w:val="nil"/>
              <w:bottom w:val="single" w:sz="4" w:space="0" w:color="auto"/>
            </w:tcBorders>
          </w:tcPr>
          <w:p w14:paraId="51479322" w14:textId="381B2C90" w:rsidR="00AB6902" w:rsidRPr="009441A0" w:rsidRDefault="00D27ACE"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70</w:t>
            </w:r>
            <w:r w:rsidR="00AB6902" w:rsidRPr="009441A0">
              <w:rPr>
                <w:rFonts w:asciiTheme="minorHAnsi" w:hAnsiTheme="minorHAnsi" w:cstheme="minorHAnsi"/>
                <w:sz w:val="22"/>
                <w:szCs w:val="22"/>
              </w:rPr>
              <w:t xml:space="preserve"> (3</w:t>
            </w:r>
            <w:r>
              <w:rPr>
                <w:rFonts w:asciiTheme="minorHAnsi" w:hAnsiTheme="minorHAnsi" w:cstheme="minorHAnsi"/>
                <w:sz w:val="22"/>
                <w:szCs w:val="22"/>
              </w:rPr>
              <w:t>3</w:t>
            </w:r>
            <w:r w:rsidR="00AB6902" w:rsidRPr="009441A0">
              <w:rPr>
                <w:rFonts w:asciiTheme="minorHAnsi" w:hAnsiTheme="minorHAnsi" w:cstheme="minorHAnsi"/>
                <w:sz w:val="22"/>
                <w:szCs w:val="22"/>
              </w:rPr>
              <w:t>%)</w:t>
            </w:r>
          </w:p>
        </w:tc>
        <w:tc>
          <w:tcPr>
            <w:tcW w:w="668" w:type="pct"/>
            <w:tcBorders>
              <w:top w:val="nil"/>
              <w:bottom w:val="single" w:sz="4" w:space="0" w:color="auto"/>
            </w:tcBorders>
            <w:shd w:val="clear" w:color="auto" w:fill="auto"/>
          </w:tcPr>
          <w:p w14:paraId="41E45632" w14:textId="02333D6F"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1</w:t>
            </w:r>
            <w:r w:rsidR="00D27ACE">
              <w:rPr>
                <w:rFonts w:asciiTheme="minorHAnsi" w:hAnsiTheme="minorHAnsi" w:cstheme="minorHAnsi"/>
                <w:sz w:val="22"/>
                <w:szCs w:val="22"/>
              </w:rPr>
              <w:t>7</w:t>
            </w:r>
            <w:r w:rsidRPr="009441A0">
              <w:rPr>
                <w:rFonts w:asciiTheme="minorHAnsi" w:hAnsiTheme="minorHAnsi" w:cstheme="minorHAnsi"/>
                <w:sz w:val="22"/>
                <w:szCs w:val="22"/>
              </w:rPr>
              <w:t xml:space="preserve"> (</w:t>
            </w:r>
            <w:r w:rsidR="00D27ACE">
              <w:rPr>
                <w:rFonts w:asciiTheme="minorHAnsi" w:hAnsiTheme="minorHAnsi" w:cstheme="minorHAnsi"/>
                <w:sz w:val="22"/>
                <w:szCs w:val="22"/>
              </w:rPr>
              <w:t>53</w:t>
            </w:r>
            <w:r w:rsidRPr="009441A0">
              <w:rPr>
                <w:rFonts w:asciiTheme="minorHAnsi" w:hAnsiTheme="minorHAnsi" w:cstheme="minorHAnsi"/>
                <w:sz w:val="22"/>
                <w:szCs w:val="22"/>
              </w:rPr>
              <w:t>%)</w:t>
            </w:r>
          </w:p>
        </w:tc>
        <w:tc>
          <w:tcPr>
            <w:tcW w:w="639" w:type="pct"/>
            <w:tcBorders>
              <w:top w:val="nil"/>
              <w:bottom w:val="single" w:sz="4" w:space="0" w:color="auto"/>
            </w:tcBorders>
            <w:shd w:val="clear" w:color="auto" w:fill="auto"/>
            <w:tcMar>
              <w:top w:w="0" w:type="dxa"/>
              <w:left w:w="108" w:type="dxa"/>
              <w:bottom w:w="0" w:type="dxa"/>
              <w:right w:w="108" w:type="dxa"/>
            </w:tcMar>
          </w:tcPr>
          <w:p w14:paraId="6FCB83A5"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118 (45%)</w:t>
            </w:r>
          </w:p>
        </w:tc>
        <w:tc>
          <w:tcPr>
            <w:tcW w:w="752" w:type="pct"/>
            <w:tcBorders>
              <w:top w:val="nil"/>
              <w:bottom w:val="single" w:sz="4" w:space="0" w:color="auto"/>
            </w:tcBorders>
          </w:tcPr>
          <w:p w14:paraId="6D8635B8" w14:textId="49FBF4B3" w:rsidR="00AB6902" w:rsidRPr="009441A0" w:rsidRDefault="00CA640C"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58</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23</w:t>
            </w:r>
            <w:r w:rsidR="00AB6902" w:rsidRPr="009441A0">
              <w:rPr>
                <w:rFonts w:asciiTheme="minorHAnsi" w:hAnsiTheme="minorHAnsi" w:cstheme="minorHAnsi"/>
                <w:sz w:val="22"/>
                <w:szCs w:val="22"/>
              </w:rPr>
              <w:t>%)</w:t>
            </w:r>
          </w:p>
        </w:tc>
      </w:tr>
      <w:tr w:rsidR="00AB6902" w:rsidRPr="009441A0" w14:paraId="0B1ADE22" w14:textId="77777777" w:rsidTr="00155E2E">
        <w:tc>
          <w:tcPr>
            <w:tcW w:w="762" w:type="pct"/>
            <w:tcBorders>
              <w:top w:val="single" w:sz="4" w:space="0" w:color="auto"/>
              <w:bottom w:val="single" w:sz="4" w:space="0" w:color="auto"/>
            </w:tcBorders>
            <w:tcMar>
              <w:top w:w="0" w:type="dxa"/>
              <w:left w:w="108" w:type="dxa"/>
              <w:bottom w:w="0" w:type="dxa"/>
              <w:right w:w="108" w:type="dxa"/>
            </w:tcMar>
          </w:tcPr>
          <w:p w14:paraId="19250FE4" w14:textId="77777777" w:rsidR="00AB6902" w:rsidRPr="009441A0" w:rsidRDefault="00AB6902" w:rsidP="009441A0">
            <w:pPr>
              <w:spacing w:line="240" w:lineRule="auto"/>
              <w:ind w:firstLine="0"/>
              <w:rPr>
                <w:rFonts w:asciiTheme="minorHAnsi" w:hAnsiTheme="minorHAnsi" w:cstheme="minorHAnsi"/>
                <w:i/>
                <w:iCs/>
                <w:sz w:val="22"/>
                <w:szCs w:val="22"/>
              </w:rPr>
            </w:pPr>
            <w:r w:rsidRPr="009441A0">
              <w:rPr>
                <w:rFonts w:asciiTheme="minorHAnsi" w:hAnsiTheme="minorHAnsi" w:cstheme="minorHAnsi"/>
                <w:i/>
                <w:iCs/>
                <w:sz w:val="22"/>
                <w:szCs w:val="22"/>
              </w:rPr>
              <w:t>Sample</w:t>
            </w:r>
          </w:p>
        </w:tc>
        <w:tc>
          <w:tcPr>
            <w:tcW w:w="839" w:type="pct"/>
            <w:tcBorders>
              <w:top w:val="single" w:sz="4" w:space="0" w:color="auto"/>
              <w:bottom w:val="single" w:sz="4" w:space="0" w:color="auto"/>
            </w:tcBorders>
            <w:shd w:val="clear" w:color="auto" w:fill="auto"/>
            <w:tcMar>
              <w:top w:w="0" w:type="dxa"/>
              <w:left w:w="108" w:type="dxa"/>
              <w:bottom w:w="0" w:type="dxa"/>
              <w:right w:w="108" w:type="dxa"/>
            </w:tcMar>
          </w:tcPr>
          <w:p w14:paraId="3DDF58DF"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5" w:type="pct"/>
            <w:tcBorders>
              <w:top w:val="single" w:sz="4" w:space="0" w:color="auto"/>
              <w:bottom w:val="single" w:sz="4" w:space="0" w:color="auto"/>
            </w:tcBorders>
            <w:shd w:val="clear" w:color="auto" w:fill="auto"/>
          </w:tcPr>
          <w:p w14:paraId="3C6141F2"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single" w:sz="4" w:space="0" w:color="auto"/>
              <w:bottom w:val="single" w:sz="4" w:space="0" w:color="auto"/>
            </w:tcBorders>
          </w:tcPr>
          <w:p w14:paraId="7A2BC012"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single" w:sz="4" w:space="0" w:color="auto"/>
              <w:bottom w:val="single" w:sz="4" w:space="0" w:color="auto"/>
            </w:tcBorders>
          </w:tcPr>
          <w:p w14:paraId="7B74669A"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single" w:sz="4" w:space="0" w:color="auto"/>
              <w:bottom w:val="single" w:sz="4" w:space="0" w:color="auto"/>
            </w:tcBorders>
            <w:shd w:val="clear" w:color="auto" w:fill="auto"/>
          </w:tcPr>
          <w:p w14:paraId="3B9109B9"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39" w:type="pct"/>
            <w:tcBorders>
              <w:top w:val="single" w:sz="4" w:space="0" w:color="auto"/>
              <w:bottom w:val="single" w:sz="4" w:space="0" w:color="auto"/>
            </w:tcBorders>
            <w:shd w:val="clear" w:color="auto" w:fill="auto"/>
            <w:tcMar>
              <w:top w:w="0" w:type="dxa"/>
              <w:left w:w="108" w:type="dxa"/>
              <w:bottom w:w="0" w:type="dxa"/>
              <w:right w:w="108" w:type="dxa"/>
            </w:tcMar>
          </w:tcPr>
          <w:p w14:paraId="462EC7B6"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752" w:type="pct"/>
            <w:tcBorders>
              <w:top w:val="single" w:sz="4" w:space="0" w:color="auto"/>
              <w:bottom w:val="single" w:sz="4" w:space="0" w:color="auto"/>
            </w:tcBorders>
          </w:tcPr>
          <w:p w14:paraId="0BB0723A" w14:textId="77777777" w:rsidR="00AB6902" w:rsidRPr="009441A0" w:rsidRDefault="00AB6902" w:rsidP="009441A0">
            <w:pPr>
              <w:spacing w:line="240" w:lineRule="auto"/>
              <w:ind w:firstLine="0"/>
              <w:jc w:val="center"/>
              <w:rPr>
                <w:rFonts w:asciiTheme="minorHAnsi" w:hAnsiTheme="minorHAnsi" w:cstheme="minorHAnsi"/>
                <w:sz w:val="22"/>
                <w:szCs w:val="22"/>
              </w:rPr>
            </w:pPr>
          </w:p>
        </w:tc>
      </w:tr>
      <w:tr w:rsidR="00AB6902" w:rsidRPr="009441A0" w14:paraId="2313494B" w14:textId="77777777" w:rsidTr="00155E2E">
        <w:tc>
          <w:tcPr>
            <w:tcW w:w="762" w:type="pct"/>
            <w:tcBorders>
              <w:top w:val="single" w:sz="4" w:space="0" w:color="auto"/>
            </w:tcBorders>
            <w:tcMar>
              <w:top w:w="0" w:type="dxa"/>
              <w:left w:w="108" w:type="dxa"/>
              <w:bottom w:w="0" w:type="dxa"/>
              <w:right w:w="108" w:type="dxa"/>
            </w:tcMar>
            <w:hideMark/>
          </w:tcPr>
          <w:p w14:paraId="20C887A2" w14:textId="02C86F5E" w:rsidR="00AB6902" w:rsidRPr="009441A0" w:rsidRDefault="00AB6902" w:rsidP="009441A0">
            <w:pPr>
              <w:spacing w:line="240" w:lineRule="auto"/>
              <w:ind w:firstLine="0"/>
              <w:jc w:val="right"/>
              <w:rPr>
                <w:rFonts w:asciiTheme="minorHAnsi" w:hAnsiTheme="minorHAnsi" w:cstheme="minorHAnsi"/>
                <w:sz w:val="22"/>
                <w:szCs w:val="22"/>
              </w:rPr>
            </w:pPr>
            <w:r w:rsidRPr="009441A0">
              <w:rPr>
                <w:rFonts w:asciiTheme="minorHAnsi" w:hAnsiTheme="minorHAnsi" w:cstheme="minorHAnsi"/>
                <w:sz w:val="22"/>
                <w:szCs w:val="22"/>
              </w:rPr>
              <w:t>Race</w:t>
            </w:r>
          </w:p>
        </w:tc>
        <w:tc>
          <w:tcPr>
            <w:tcW w:w="839" w:type="pct"/>
            <w:tcBorders>
              <w:top w:val="single" w:sz="4" w:space="0" w:color="auto"/>
            </w:tcBorders>
            <w:shd w:val="clear" w:color="auto" w:fill="auto"/>
            <w:tcMar>
              <w:top w:w="0" w:type="dxa"/>
              <w:left w:w="108" w:type="dxa"/>
              <w:bottom w:w="0" w:type="dxa"/>
              <w:right w:w="108" w:type="dxa"/>
            </w:tcMar>
          </w:tcPr>
          <w:p w14:paraId="48081E0E" w14:textId="0255637B"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6</w:t>
            </w:r>
            <w:r w:rsidR="00CE386F">
              <w:rPr>
                <w:rFonts w:asciiTheme="minorHAnsi" w:hAnsiTheme="minorHAnsi" w:cstheme="minorHAnsi"/>
                <w:sz w:val="22"/>
                <w:szCs w:val="22"/>
              </w:rPr>
              <w:t>9</w:t>
            </w:r>
            <w:r w:rsidRPr="009441A0">
              <w:rPr>
                <w:rFonts w:asciiTheme="minorHAnsi" w:hAnsiTheme="minorHAnsi" w:cstheme="minorHAnsi"/>
                <w:sz w:val="22"/>
                <w:szCs w:val="22"/>
              </w:rPr>
              <w:t xml:space="preserve"> (4</w:t>
            </w:r>
            <w:r w:rsidR="00CE386F">
              <w:rPr>
                <w:rFonts w:asciiTheme="minorHAnsi" w:hAnsiTheme="minorHAnsi" w:cstheme="minorHAnsi"/>
                <w:sz w:val="22"/>
                <w:szCs w:val="22"/>
              </w:rPr>
              <w:t>4</w:t>
            </w:r>
            <w:r w:rsidRPr="009441A0">
              <w:rPr>
                <w:rFonts w:asciiTheme="minorHAnsi" w:hAnsiTheme="minorHAnsi" w:cstheme="minorHAnsi"/>
                <w:sz w:val="22"/>
                <w:szCs w:val="22"/>
              </w:rPr>
              <w:t>%)</w:t>
            </w:r>
          </w:p>
        </w:tc>
        <w:tc>
          <w:tcPr>
            <w:tcW w:w="5" w:type="pct"/>
            <w:tcBorders>
              <w:top w:val="single" w:sz="4" w:space="0" w:color="auto"/>
            </w:tcBorders>
            <w:shd w:val="clear" w:color="auto" w:fill="auto"/>
          </w:tcPr>
          <w:p w14:paraId="7A75CE82"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single" w:sz="4" w:space="0" w:color="auto"/>
            </w:tcBorders>
          </w:tcPr>
          <w:p w14:paraId="14803FC0" w14:textId="02289E21"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5</w:t>
            </w:r>
            <w:r w:rsidR="00747775">
              <w:rPr>
                <w:rFonts w:asciiTheme="minorHAnsi" w:hAnsiTheme="minorHAnsi" w:cstheme="minorHAnsi"/>
                <w:sz w:val="22"/>
                <w:szCs w:val="22"/>
              </w:rPr>
              <w:t>7</w:t>
            </w:r>
            <w:r w:rsidRPr="009441A0">
              <w:rPr>
                <w:rFonts w:asciiTheme="minorHAnsi" w:hAnsiTheme="minorHAnsi" w:cstheme="minorHAnsi"/>
                <w:sz w:val="22"/>
                <w:szCs w:val="22"/>
              </w:rPr>
              <w:t xml:space="preserve"> (38%)</w:t>
            </w:r>
          </w:p>
        </w:tc>
        <w:tc>
          <w:tcPr>
            <w:tcW w:w="668" w:type="pct"/>
            <w:tcBorders>
              <w:top w:val="single" w:sz="4" w:space="0" w:color="auto"/>
            </w:tcBorders>
          </w:tcPr>
          <w:p w14:paraId="171A593B" w14:textId="1FC64373"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4</w:t>
            </w:r>
            <w:r w:rsidR="00A576FA">
              <w:rPr>
                <w:rFonts w:asciiTheme="minorHAnsi" w:hAnsiTheme="minorHAnsi" w:cstheme="minorHAnsi"/>
                <w:sz w:val="22"/>
                <w:szCs w:val="22"/>
              </w:rPr>
              <w:t>9</w:t>
            </w:r>
            <w:r w:rsidRPr="009441A0">
              <w:rPr>
                <w:rFonts w:asciiTheme="minorHAnsi" w:hAnsiTheme="minorHAnsi" w:cstheme="minorHAnsi"/>
                <w:sz w:val="22"/>
                <w:szCs w:val="22"/>
              </w:rPr>
              <w:t xml:space="preserve"> (2</w:t>
            </w:r>
            <w:r w:rsidR="00A576FA">
              <w:rPr>
                <w:rFonts w:asciiTheme="minorHAnsi" w:hAnsiTheme="minorHAnsi" w:cstheme="minorHAnsi"/>
                <w:sz w:val="22"/>
                <w:szCs w:val="22"/>
              </w:rPr>
              <w:t>3</w:t>
            </w:r>
            <w:r w:rsidRPr="009441A0">
              <w:rPr>
                <w:rFonts w:asciiTheme="minorHAnsi" w:hAnsiTheme="minorHAnsi" w:cstheme="minorHAnsi"/>
                <w:sz w:val="22"/>
                <w:szCs w:val="22"/>
              </w:rPr>
              <w:t>%)</w:t>
            </w:r>
          </w:p>
        </w:tc>
        <w:tc>
          <w:tcPr>
            <w:tcW w:w="668" w:type="pct"/>
            <w:tcBorders>
              <w:top w:val="single" w:sz="4" w:space="0" w:color="auto"/>
            </w:tcBorders>
            <w:shd w:val="clear" w:color="auto" w:fill="auto"/>
          </w:tcPr>
          <w:p w14:paraId="68DDF3EA" w14:textId="38B6D913" w:rsidR="00AB6902" w:rsidRPr="009441A0" w:rsidRDefault="00A576FA"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5</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16</w:t>
            </w:r>
            <w:r w:rsidR="00AB6902" w:rsidRPr="009441A0">
              <w:rPr>
                <w:rFonts w:asciiTheme="minorHAnsi" w:hAnsiTheme="minorHAnsi" w:cstheme="minorHAnsi"/>
                <w:sz w:val="22"/>
                <w:szCs w:val="22"/>
              </w:rPr>
              <w:t>%)</w:t>
            </w:r>
          </w:p>
        </w:tc>
        <w:tc>
          <w:tcPr>
            <w:tcW w:w="639" w:type="pct"/>
            <w:tcBorders>
              <w:top w:val="single" w:sz="4" w:space="0" w:color="auto"/>
            </w:tcBorders>
            <w:shd w:val="clear" w:color="auto" w:fill="auto"/>
            <w:tcMar>
              <w:top w:w="0" w:type="dxa"/>
              <w:left w:w="108" w:type="dxa"/>
              <w:bottom w:w="0" w:type="dxa"/>
              <w:right w:w="108" w:type="dxa"/>
            </w:tcMar>
          </w:tcPr>
          <w:p w14:paraId="25E33CCA"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57 (22%)</w:t>
            </w:r>
          </w:p>
        </w:tc>
        <w:tc>
          <w:tcPr>
            <w:tcW w:w="752" w:type="pct"/>
            <w:tcBorders>
              <w:top w:val="single" w:sz="4" w:space="0" w:color="auto"/>
            </w:tcBorders>
          </w:tcPr>
          <w:p w14:paraId="199FD0A0" w14:textId="0C493F10" w:rsidR="00AB6902" w:rsidRPr="009441A0" w:rsidRDefault="00CF0393"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62</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25</w:t>
            </w:r>
            <w:r w:rsidR="00AB6902" w:rsidRPr="009441A0">
              <w:rPr>
                <w:rFonts w:asciiTheme="minorHAnsi" w:hAnsiTheme="minorHAnsi" w:cstheme="minorHAnsi"/>
                <w:sz w:val="22"/>
                <w:szCs w:val="22"/>
              </w:rPr>
              <w:t>%)</w:t>
            </w:r>
          </w:p>
        </w:tc>
      </w:tr>
      <w:tr w:rsidR="00AB6902" w:rsidRPr="009441A0" w14:paraId="3EC3D32F" w14:textId="77777777" w:rsidTr="00155E2E">
        <w:tc>
          <w:tcPr>
            <w:tcW w:w="762" w:type="pct"/>
            <w:tcBorders>
              <w:top w:val="nil"/>
            </w:tcBorders>
            <w:tcMar>
              <w:top w:w="0" w:type="dxa"/>
              <w:left w:w="108" w:type="dxa"/>
              <w:bottom w:w="0" w:type="dxa"/>
              <w:right w:w="108" w:type="dxa"/>
            </w:tcMar>
            <w:hideMark/>
          </w:tcPr>
          <w:p w14:paraId="35EF7A71" w14:textId="308A1BA5" w:rsidR="00AB6902" w:rsidRPr="009441A0" w:rsidRDefault="007E4443" w:rsidP="009441A0">
            <w:pPr>
              <w:spacing w:line="240" w:lineRule="auto"/>
              <w:ind w:firstLine="0"/>
              <w:jc w:val="right"/>
              <w:rPr>
                <w:rFonts w:asciiTheme="minorHAnsi" w:hAnsiTheme="minorHAnsi" w:cstheme="minorHAnsi"/>
                <w:sz w:val="22"/>
                <w:szCs w:val="22"/>
              </w:rPr>
            </w:pPr>
            <w:r>
              <w:rPr>
                <w:rFonts w:asciiTheme="minorHAnsi" w:hAnsiTheme="minorHAnsi" w:cstheme="minorHAnsi"/>
                <w:sz w:val="22"/>
                <w:szCs w:val="22"/>
              </w:rPr>
              <w:t>Ethnicity</w:t>
            </w:r>
          </w:p>
        </w:tc>
        <w:tc>
          <w:tcPr>
            <w:tcW w:w="839" w:type="pct"/>
            <w:tcBorders>
              <w:top w:val="nil"/>
            </w:tcBorders>
            <w:shd w:val="clear" w:color="auto" w:fill="auto"/>
            <w:tcMar>
              <w:top w:w="0" w:type="dxa"/>
              <w:left w:w="108" w:type="dxa"/>
              <w:bottom w:w="0" w:type="dxa"/>
              <w:right w:w="108" w:type="dxa"/>
            </w:tcMar>
          </w:tcPr>
          <w:p w14:paraId="3F3923BB" w14:textId="6AADCDC1" w:rsidR="00AB6902" w:rsidRPr="009441A0" w:rsidRDefault="00D436B6"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78</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50</w:t>
            </w:r>
            <w:r w:rsidR="00AB6902" w:rsidRPr="009441A0">
              <w:rPr>
                <w:rFonts w:asciiTheme="minorHAnsi" w:hAnsiTheme="minorHAnsi" w:cstheme="minorHAnsi"/>
                <w:sz w:val="22"/>
                <w:szCs w:val="22"/>
              </w:rPr>
              <w:t>%)</w:t>
            </w:r>
          </w:p>
        </w:tc>
        <w:tc>
          <w:tcPr>
            <w:tcW w:w="5" w:type="pct"/>
            <w:tcBorders>
              <w:top w:val="nil"/>
            </w:tcBorders>
            <w:shd w:val="clear" w:color="auto" w:fill="auto"/>
          </w:tcPr>
          <w:p w14:paraId="0E1C9F3E"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nil"/>
            </w:tcBorders>
          </w:tcPr>
          <w:p w14:paraId="7B15CCFC" w14:textId="36D1B59E" w:rsidR="00AB6902" w:rsidRPr="009441A0" w:rsidRDefault="00CC62DD"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62</w:t>
            </w:r>
            <w:r w:rsidR="00AB6902" w:rsidRPr="009441A0">
              <w:rPr>
                <w:rFonts w:asciiTheme="minorHAnsi" w:hAnsiTheme="minorHAnsi" w:cstheme="minorHAnsi"/>
                <w:sz w:val="22"/>
                <w:szCs w:val="22"/>
              </w:rPr>
              <w:t xml:space="preserve"> (4</w:t>
            </w:r>
            <w:r>
              <w:rPr>
                <w:rFonts w:asciiTheme="minorHAnsi" w:hAnsiTheme="minorHAnsi" w:cstheme="minorHAnsi"/>
                <w:sz w:val="22"/>
                <w:szCs w:val="22"/>
              </w:rPr>
              <w:t>1</w:t>
            </w:r>
            <w:r w:rsidR="00AB6902" w:rsidRPr="009441A0">
              <w:rPr>
                <w:rFonts w:asciiTheme="minorHAnsi" w:hAnsiTheme="minorHAnsi" w:cstheme="minorHAnsi"/>
                <w:sz w:val="22"/>
                <w:szCs w:val="22"/>
              </w:rPr>
              <w:t>%)</w:t>
            </w:r>
          </w:p>
        </w:tc>
        <w:tc>
          <w:tcPr>
            <w:tcW w:w="668" w:type="pct"/>
            <w:tcBorders>
              <w:top w:val="nil"/>
            </w:tcBorders>
          </w:tcPr>
          <w:p w14:paraId="0E65D9FC" w14:textId="4C373F38" w:rsidR="00AB6902" w:rsidRPr="009441A0" w:rsidRDefault="00BF5EC2"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72</w:t>
            </w:r>
            <w:r w:rsidR="00AB6902" w:rsidRPr="009441A0">
              <w:rPr>
                <w:rFonts w:asciiTheme="minorHAnsi" w:hAnsiTheme="minorHAnsi" w:cstheme="minorHAnsi"/>
                <w:sz w:val="22"/>
                <w:szCs w:val="22"/>
              </w:rPr>
              <w:t xml:space="preserve"> (3</w:t>
            </w:r>
            <w:r>
              <w:rPr>
                <w:rFonts w:asciiTheme="minorHAnsi" w:hAnsiTheme="minorHAnsi" w:cstheme="minorHAnsi"/>
                <w:sz w:val="22"/>
                <w:szCs w:val="22"/>
              </w:rPr>
              <w:t>4</w:t>
            </w:r>
            <w:r w:rsidR="00AB6902" w:rsidRPr="009441A0">
              <w:rPr>
                <w:rFonts w:asciiTheme="minorHAnsi" w:hAnsiTheme="minorHAnsi" w:cstheme="minorHAnsi"/>
                <w:sz w:val="22"/>
                <w:szCs w:val="22"/>
              </w:rPr>
              <w:t>%)</w:t>
            </w:r>
          </w:p>
        </w:tc>
        <w:tc>
          <w:tcPr>
            <w:tcW w:w="668" w:type="pct"/>
            <w:tcBorders>
              <w:top w:val="nil"/>
            </w:tcBorders>
            <w:shd w:val="clear" w:color="auto" w:fill="auto"/>
          </w:tcPr>
          <w:p w14:paraId="74684487" w14:textId="3BBD4FEB" w:rsidR="00AB6902" w:rsidRPr="009441A0" w:rsidRDefault="00BF5EC2"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5</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16</w:t>
            </w:r>
            <w:r w:rsidR="00AB6902" w:rsidRPr="009441A0">
              <w:rPr>
                <w:rFonts w:asciiTheme="minorHAnsi" w:hAnsiTheme="minorHAnsi" w:cstheme="minorHAnsi"/>
                <w:sz w:val="22"/>
                <w:szCs w:val="22"/>
              </w:rPr>
              <w:t>%)</w:t>
            </w:r>
          </w:p>
        </w:tc>
        <w:tc>
          <w:tcPr>
            <w:tcW w:w="639" w:type="pct"/>
            <w:tcBorders>
              <w:top w:val="nil"/>
            </w:tcBorders>
            <w:shd w:val="clear" w:color="auto" w:fill="auto"/>
            <w:tcMar>
              <w:top w:w="0" w:type="dxa"/>
              <w:left w:w="108" w:type="dxa"/>
              <w:bottom w:w="0" w:type="dxa"/>
              <w:right w:w="108" w:type="dxa"/>
            </w:tcMar>
          </w:tcPr>
          <w:p w14:paraId="5F19E0C8"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69 (26%)</w:t>
            </w:r>
          </w:p>
        </w:tc>
        <w:tc>
          <w:tcPr>
            <w:tcW w:w="752" w:type="pct"/>
            <w:tcBorders>
              <w:top w:val="nil"/>
            </w:tcBorders>
          </w:tcPr>
          <w:p w14:paraId="7ED14EAA" w14:textId="4AFAE5DA" w:rsidR="00AB6902" w:rsidRPr="009441A0" w:rsidRDefault="00953EF9"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105</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42</w:t>
            </w:r>
            <w:r w:rsidR="00AB6902" w:rsidRPr="009441A0">
              <w:rPr>
                <w:rFonts w:asciiTheme="minorHAnsi" w:hAnsiTheme="minorHAnsi" w:cstheme="minorHAnsi"/>
                <w:sz w:val="22"/>
                <w:szCs w:val="22"/>
              </w:rPr>
              <w:t>%)</w:t>
            </w:r>
          </w:p>
        </w:tc>
      </w:tr>
      <w:tr w:rsidR="00AB6902" w:rsidRPr="009441A0" w14:paraId="7215944A" w14:textId="77777777" w:rsidTr="00155E2E">
        <w:tc>
          <w:tcPr>
            <w:tcW w:w="762" w:type="pct"/>
            <w:tcBorders>
              <w:top w:val="nil"/>
              <w:bottom w:val="nil"/>
            </w:tcBorders>
            <w:tcMar>
              <w:top w:w="0" w:type="dxa"/>
              <w:left w:w="108" w:type="dxa"/>
              <w:bottom w:w="0" w:type="dxa"/>
              <w:right w:w="108" w:type="dxa"/>
            </w:tcMar>
            <w:hideMark/>
          </w:tcPr>
          <w:p w14:paraId="79897CA0" w14:textId="3A3B3050" w:rsidR="00AB6902" w:rsidRPr="009441A0" w:rsidRDefault="00AD7587" w:rsidP="009441A0">
            <w:pPr>
              <w:spacing w:line="240" w:lineRule="auto"/>
              <w:ind w:firstLine="0"/>
              <w:jc w:val="right"/>
              <w:rPr>
                <w:rFonts w:asciiTheme="minorHAnsi" w:hAnsiTheme="minorHAnsi" w:cstheme="minorHAnsi"/>
                <w:sz w:val="22"/>
                <w:szCs w:val="22"/>
              </w:rPr>
            </w:pPr>
            <w:r>
              <w:rPr>
                <w:rFonts w:asciiTheme="minorHAnsi" w:hAnsiTheme="minorHAnsi" w:cstheme="minorHAnsi"/>
                <w:sz w:val="22"/>
                <w:szCs w:val="22"/>
              </w:rPr>
              <w:t>Low income</w:t>
            </w:r>
          </w:p>
        </w:tc>
        <w:tc>
          <w:tcPr>
            <w:tcW w:w="839" w:type="pct"/>
            <w:tcBorders>
              <w:top w:val="nil"/>
              <w:bottom w:val="nil"/>
            </w:tcBorders>
            <w:shd w:val="clear" w:color="auto" w:fill="auto"/>
            <w:tcMar>
              <w:top w:w="0" w:type="dxa"/>
              <w:left w:w="108" w:type="dxa"/>
              <w:bottom w:w="0" w:type="dxa"/>
              <w:right w:w="108" w:type="dxa"/>
            </w:tcMar>
          </w:tcPr>
          <w:p w14:paraId="2A7EFC10" w14:textId="77BA6D46" w:rsidR="00AB6902" w:rsidRPr="009441A0" w:rsidRDefault="0048671D"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85</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54</w:t>
            </w:r>
            <w:r w:rsidR="00AB6902" w:rsidRPr="009441A0">
              <w:rPr>
                <w:rFonts w:asciiTheme="minorHAnsi" w:hAnsiTheme="minorHAnsi" w:cstheme="minorHAnsi"/>
                <w:sz w:val="22"/>
                <w:szCs w:val="22"/>
              </w:rPr>
              <w:t>%)</w:t>
            </w:r>
          </w:p>
        </w:tc>
        <w:tc>
          <w:tcPr>
            <w:tcW w:w="5" w:type="pct"/>
            <w:tcBorders>
              <w:top w:val="nil"/>
              <w:bottom w:val="nil"/>
            </w:tcBorders>
            <w:shd w:val="clear" w:color="auto" w:fill="auto"/>
          </w:tcPr>
          <w:p w14:paraId="6498C80E"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nil"/>
              <w:bottom w:val="nil"/>
            </w:tcBorders>
          </w:tcPr>
          <w:p w14:paraId="543F9D8C" w14:textId="72F9BC2C"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9</w:t>
            </w:r>
            <w:r w:rsidR="00846E58">
              <w:rPr>
                <w:rFonts w:asciiTheme="minorHAnsi" w:hAnsiTheme="minorHAnsi" w:cstheme="minorHAnsi"/>
                <w:sz w:val="22"/>
                <w:szCs w:val="22"/>
              </w:rPr>
              <w:t>0</w:t>
            </w:r>
            <w:r w:rsidRPr="009441A0">
              <w:rPr>
                <w:rFonts w:asciiTheme="minorHAnsi" w:hAnsiTheme="minorHAnsi" w:cstheme="minorHAnsi"/>
                <w:sz w:val="22"/>
                <w:szCs w:val="22"/>
              </w:rPr>
              <w:t xml:space="preserve"> (6</w:t>
            </w:r>
            <w:r w:rsidR="00846E58">
              <w:rPr>
                <w:rFonts w:asciiTheme="minorHAnsi" w:hAnsiTheme="minorHAnsi" w:cstheme="minorHAnsi"/>
                <w:sz w:val="22"/>
                <w:szCs w:val="22"/>
              </w:rPr>
              <w:t>0</w:t>
            </w:r>
            <w:r w:rsidRPr="009441A0">
              <w:rPr>
                <w:rFonts w:asciiTheme="minorHAnsi" w:hAnsiTheme="minorHAnsi" w:cstheme="minorHAnsi"/>
                <w:sz w:val="22"/>
                <w:szCs w:val="22"/>
              </w:rPr>
              <w:t>%)</w:t>
            </w:r>
          </w:p>
        </w:tc>
        <w:tc>
          <w:tcPr>
            <w:tcW w:w="668" w:type="pct"/>
            <w:tcBorders>
              <w:top w:val="nil"/>
              <w:bottom w:val="nil"/>
            </w:tcBorders>
          </w:tcPr>
          <w:p w14:paraId="278BE33F" w14:textId="66FA0C40"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1</w:t>
            </w:r>
            <w:r w:rsidR="009F4821">
              <w:rPr>
                <w:rFonts w:asciiTheme="minorHAnsi" w:hAnsiTheme="minorHAnsi" w:cstheme="minorHAnsi"/>
                <w:sz w:val="22"/>
                <w:szCs w:val="22"/>
              </w:rPr>
              <w:t>2</w:t>
            </w:r>
            <w:r w:rsidR="0027355B">
              <w:rPr>
                <w:rFonts w:asciiTheme="minorHAnsi" w:hAnsiTheme="minorHAnsi" w:cstheme="minorHAnsi"/>
                <w:sz w:val="22"/>
                <w:szCs w:val="22"/>
              </w:rPr>
              <w:t>5</w:t>
            </w:r>
            <w:r w:rsidRPr="009441A0">
              <w:rPr>
                <w:rFonts w:asciiTheme="minorHAnsi" w:hAnsiTheme="minorHAnsi" w:cstheme="minorHAnsi"/>
                <w:sz w:val="22"/>
                <w:szCs w:val="22"/>
              </w:rPr>
              <w:t xml:space="preserve"> (5</w:t>
            </w:r>
            <w:r w:rsidR="0027355B">
              <w:rPr>
                <w:rFonts w:asciiTheme="minorHAnsi" w:hAnsiTheme="minorHAnsi" w:cstheme="minorHAnsi"/>
                <w:sz w:val="22"/>
                <w:szCs w:val="22"/>
              </w:rPr>
              <w:t>9</w:t>
            </w:r>
            <w:r w:rsidRPr="009441A0">
              <w:rPr>
                <w:rFonts w:asciiTheme="minorHAnsi" w:hAnsiTheme="minorHAnsi" w:cstheme="minorHAnsi"/>
                <w:sz w:val="22"/>
                <w:szCs w:val="22"/>
              </w:rPr>
              <w:t>%)</w:t>
            </w:r>
          </w:p>
        </w:tc>
        <w:tc>
          <w:tcPr>
            <w:tcW w:w="668" w:type="pct"/>
            <w:tcBorders>
              <w:top w:val="nil"/>
              <w:bottom w:val="nil"/>
            </w:tcBorders>
            <w:shd w:val="clear" w:color="auto" w:fill="auto"/>
          </w:tcPr>
          <w:p w14:paraId="3C99A421" w14:textId="337CB6E1" w:rsidR="00AB6902" w:rsidRPr="009441A0" w:rsidRDefault="00E040CA"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21</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66</w:t>
            </w:r>
            <w:r w:rsidR="00AB6902" w:rsidRPr="009441A0">
              <w:rPr>
                <w:rFonts w:asciiTheme="minorHAnsi" w:hAnsiTheme="minorHAnsi" w:cstheme="minorHAnsi"/>
                <w:sz w:val="22"/>
                <w:szCs w:val="22"/>
              </w:rPr>
              <w:t>%)</w:t>
            </w:r>
          </w:p>
        </w:tc>
        <w:tc>
          <w:tcPr>
            <w:tcW w:w="639" w:type="pct"/>
            <w:tcBorders>
              <w:top w:val="nil"/>
              <w:bottom w:val="nil"/>
            </w:tcBorders>
            <w:shd w:val="clear" w:color="auto" w:fill="auto"/>
            <w:tcMar>
              <w:top w:w="0" w:type="dxa"/>
              <w:left w:w="108" w:type="dxa"/>
              <w:bottom w:w="0" w:type="dxa"/>
              <w:right w:w="108" w:type="dxa"/>
            </w:tcMar>
          </w:tcPr>
          <w:p w14:paraId="6D3A6153" w14:textId="77777777"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132 (51%)</w:t>
            </w:r>
          </w:p>
        </w:tc>
        <w:tc>
          <w:tcPr>
            <w:tcW w:w="752" w:type="pct"/>
            <w:tcBorders>
              <w:top w:val="nil"/>
              <w:bottom w:val="nil"/>
            </w:tcBorders>
          </w:tcPr>
          <w:p w14:paraId="73B49719" w14:textId="29D4A0DE" w:rsidR="00AB6902" w:rsidRPr="009441A0" w:rsidRDefault="0068549F"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136</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54</w:t>
            </w:r>
            <w:r w:rsidR="00AB6902" w:rsidRPr="009441A0">
              <w:rPr>
                <w:rFonts w:asciiTheme="minorHAnsi" w:hAnsiTheme="minorHAnsi" w:cstheme="minorHAnsi"/>
                <w:sz w:val="22"/>
                <w:szCs w:val="22"/>
              </w:rPr>
              <w:t>%)</w:t>
            </w:r>
          </w:p>
        </w:tc>
      </w:tr>
      <w:tr w:rsidR="00AB6902" w:rsidRPr="009441A0" w14:paraId="15530C31" w14:textId="77777777" w:rsidTr="00155E2E">
        <w:tc>
          <w:tcPr>
            <w:tcW w:w="762" w:type="pct"/>
            <w:tcBorders>
              <w:top w:val="nil"/>
              <w:bottom w:val="nil"/>
            </w:tcBorders>
            <w:tcMar>
              <w:top w:w="0" w:type="dxa"/>
              <w:left w:w="108" w:type="dxa"/>
              <w:bottom w:w="0" w:type="dxa"/>
              <w:right w:w="108" w:type="dxa"/>
            </w:tcMar>
          </w:tcPr>
          <w:p w14:paraId="40E6BE9D" w14:textId="5D2C2D54" w:rsidR="00AB6902" w:rsidRPr="009441A0" w:rsidRDefault="004E769E" w:rsidP="009441A0">
            <w:pPr>
              <w:spacing w:line="240" w:lineRule="auto"/>
              <w:ind w:firstLine="0"/>
              <w:jc w:val="right"/>
              <w:rPr>
                <w:rFonts w:asciiTheme="minorHAnsi" w:hAnsiTheme="minorHAnsi" w:cstheme="minorHAnsi"/>
                <w:sz w:val="22"/>
                <w:szCs w:val="22"/>
              </w:rPr>
            </w:pPr>
            <w:r>
              <w:rPr>
                <w:rFonts w:asciiTheme="minorHAnsi" w:hAnsiTheme="minorHAnsi" w:cstheme="minorHAnsi"/>
                <w:sz w:val="22"/>
                <w:szCs w:val="22"/>
              </w:rPr>
              <w:t>SWD</w:t>
            </w:r>
          </w:p>
        </w:tc>
        <w:tc>
          <w:tcPr>
            <w:tcW w:w="839" w:type="pct"/>
            <w:tcBorders>
              <w:top w:val="nil"/>
              <w:bottom w:val="nil"/>
            </w:tcBorders>
            <w:shd w:val="clear" w:color="auto" w:fill="auto"/>
            <w:tcMar>
              <w:top w:w="0" w:type="dxa"/>
              <w:left w:w="108" w:type="dxa"/>
              <w:bottom w:w="0" w:type="dxa"/>
              <w:right w:w="108" w:type="dxa"/>
            </w:tcMar>
          </w:tcPr>
          <w:p w14:paraId="6F2B5DE1" w14:textId="12FA2D0F" w:rsidR="00AB6902" w:rsidRPr="009441A0" w:rsidRDefault="0014047B"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98</w:t>
            </w:r>
            <w:r w:rsidR="00AB6902" w:rsidRPr="009441A0">
              <w:rPr>
                <w:rFonts w:asciiTheme="minorHAnsi" w:hAnsiTheme="minorHAnsi" w:cstheme="minorHAnsi"/>
                <w:sz w:val="22"/>
                <w:szCs w:val="22"/>
              </w:rPr>
              <w:t xml:space="preserve"> (7</w:t>
            </w:r>
            <w:r>
              <w:rPr>
                <w:rFonts w:asciiTheme="minorHAnsi" w:hAnsiTheme="minorHAnsi" w:cstheme="minorHAnsi"/>
                <w:sz w:val="22"/>
                <w:szCs w:val="22"/>
              </w:rPr>
              <w:t>1</w:t>
            </w:r>
            <w:r w:rsidR="00AB6902" w:rsidRPr="009441A0">
              <w:rPr>
                <w:rFonts w:asciiTheme="minorHAnsi" w:hAnsiTheme="minorHAnsi" w:cstheme="minorHAnsi"/>
                <w:sz w:val="22"/>
                <w:szCs w:val="22"/>
              </w:rPr>
              <w:t>%)</w:t>
            </w:r>
          </w:p>
        </w:tc>
        <w:tc>
          <w:tcPr>
            <w:tcW w:w="5" w:type="pct"/>
            <w:tcBorders>
              <w:top w:val="nil"/>
              <w:bottom w:val="nil"/>
            </w:tcBorders>
            <w:shd w:val="clear" w:color="auto" w:fill="auto"/>
          </w:tcPr>
          <w:p w14:paraId="6DBD8090"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nil"/>
              <w:bottom w:val="nil"/>
            </w:tcBorders>
          </w:tcPr>
          <w:p w14:paraId="19FA1006" w14:textId="56D70D40" w:rsidR="00AB6902" w:rsidRPr="009441A0" w:rsidRDefault="0062563A"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98</w:t>
            </w:r>
            <w:r w:rsidR="00AB6902" w:rsidRPr="009441A0">
              <w:rPr>
                <w:rFonts w:asciiTheme="minorHAnsi" w:hAnsiTheme="minorHAnsi" w:cstheme="minorHAnsi"/>
                <w:sz w:val="22"/>
                <w:szCs w:val="22"/>
              </w:rPr>
              <w:t xml:space="preserve"> (6</w:t>
            </w:r>
            <w:r w:rsidR="00846E58">
              <w:rPr>
                <w:rFonts w:asciiTheme="minorHAnsi" w:hAnsiTheme="minorHAnsi" w:cstheme="minorHAnsi"/>
                <w:sz w:val="22"/>
                <w:szCs w:val="22"/>
              </w:rPr>
              <w:t>9</w:t>
            </w:r>
            <w:r w:rsidR="00AB6902" w:rsidRPr="009441A0">
              <w:rPr>
                <w:rFonts w:asciiTheme="minorHAnsi" w:hAnsiTheme="minorHAnsi" w:cstheme="minorHAnsi"/>
                <w:sz w:val="22"/>
                <w:szCs w:val="22"/>
              </w:rPr>
              <w:t>%)</w:t>
            </w:r>
          </w:p>
        </w:tc>
        <w:tc>
          <w:tcPr>
            <w:tcW w:w="668" w:type="pct"/>
            <w:tcBorders>
              <w:top w:val="nil"/>
              <w:bottom w:val="nil"/>
            </w:tcBorders>
          </w:tcPr>
          <w:p w14:paraId="29456576" w14:textId="38D85F85"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1</w:t>
            </w:r>
            <w:r w:rsidR="000D0EFB">
              <w:rPr>
                <w:rFonts w:asciiTheme="minorHAnsi" w:hAnsiTheme="minorHAnsi" w:cstheme="minorHAnsi"/>
                <w:sz w:val="22"/>
                <w:szCs w:val="22"/>
              </w:rPr>
              <w:t>13</w:t>
            </w:r>
            <w:r w:rsidRPr="009441A0">
              <w:rPr>
                <w:rFonts w:asciiTheme="minorHAnsi" w:hAnsiTheme="minorHAnsi" w:cstheme="minorHAnsi"/>
                <w:sz w:val="22"/>
                <w:szCs w:val="22"/>
              </w:rPr>
              <w:t xml:space="preserve"> (</w:t>
            </w:r>
            <w:r w:rsidR="000D0EFB">
              <w:rPr>
                <w:rFonts w:asciiTheme="minorHAnsi" w:hAnsiTheme="minorHAnsi" w:cstheme="minorHAnsi"/>
                <w:sz w:val="22"/>
                <w:szCs w:val="22"/>
              </w:rPr>
              <w:t>69</w:t>
            </w:r>
            <w:r w:rsidRPr="009441A0">
              <w:rPr>
                <w:rFonts w:asciiTheme="minorHAnsi" w:hAnsiTheme="minorHAnsi" w:cstheme="minorHAnsi"/>
                <w:sz w:val="22"/>
                <w:szCs w:val="22"/>
              </w:rPr>
              <w:t>%)</w:t>
            </w:r>
          </w:p>
        </w:tc>
        <w:tc>
          <w:tcPr>
            <w:tcW w:w="668" w:type="pct"/>
            <w:tcBorders>
              <w:top w:val="nil"/>
              <w:bottom w:val="nil"/>
            </w:tcBorders>
            <w:shd w:val="clear" w:color="auto" w:fill="auto"/>
          </w:tcPr>
          <w:p w14:paraId="66522AF1" w14:textId="34B75490" w:rsidR="00AB6902" w:rsidRPr="009441A0" w:rsidRDefault="000D0EFB"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4</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50</w:t>
            </w:r>
            <w:r w:rsidR="00AB6902" w:rsidRPr="009441A0">
              <w:rPr>
                <w:rFonts w:asciiTheme="minorHAnsi" w:hAnsiTheme="minorHAnsi" w:cstheme="minorHAnsi"/>
                <w:sz w:val="22"/>
                <w:szCs w:val="22"/>
              </w:rPr>
              <w:t>%)</w:t>
            </w:r>
          </w:p>
        </w:tc>
        <w:tc>
          <w:tcPr>
            <w:tcW w:w="639" w:type="pct"/>
            <w:tcBorders>
              <w:top w:val="nil"/>
              <w:bottom w:val="nil"/>
            </w:tcBorders>
            <w:shd w:val="clear" w:color="auto" w:fill="auto"/>
            <w:tcMar>
              <w:top w:w="0" w:type="dxa"/>
              <w:left w:w="108" w:type="dxa"/>
              <w:bottom w:w="0" w:type="dxa"/>
              <w:right w:w="108" w:type="dxa"/>
            </w:tcMar>
          </w:tcPr>
          <w:p w14:paraId="79465FE6" w14:textId="797C2F41"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1</w:t>
            </w:r>
            <w:r w:rsidR="000D0EFB">
              <w:rPr>
                <w:rFonts w:asciiTheme="minorHAnsi" w:hAnsiTheme="minorHAnsi" w:cstheme="minorHAnsi"/>
                <w:sz w:val="22"/>
                <w:szCs w:val="22"/>
              </w:rPr>
              <w:t>04</w:t>
            </w:r>
            <w:r w:rsidRPr="009441A0">
              <w:rPr>
                <w:rFonts w:asciiTheme="minorHAnsi" w:hAnsiTheme="minorHAnsi" w:cstheme="minorHAnsi"/>
                <w:sz w:val="22"/>
                <w:szCs w:val="22"/>
              </w:rPr>
              <w:t xml:space="preserve"> (</w:t>
            </w:r>
            <w:r w:rsidR="000D0EFB">
              <w:rPr>
                <w:rFonts w:asciiTheme="minorHAnsi" w:hAnsiTheme="minorHAnsi" w:cstheme="minorHAnsi"/>
                <w:sz w:val="22"/>
                <w:szCs w:val="22"/>
              </w:rPr>
              <w:t>49</w:t>
            </w:r>
            <w:r w:rsidRPr="009441A0">
              <w:rPr>
                <w:rFonts w:asciiTheme="minorHAnsi" w:hAnsiTheme="minorHAnsi" w:cstheme="minorHAnsi"/>
                <w:sz w:val="22"/>
                <w:szCs w:val="22"/>
              </w:rPr>
              <w:t>%)</w:t>
            </w:r>
          </w:p>
        </w:tc>
        <w:tc>
          <w:tcPr>
            <w:tcW w:w="752" w:type="pct"/>
            <w:tcBorders>
              <w:top w:val="nil"/>
              <w:bottom w:val="nil"/>
            </w:tcBorders>
          </w:tcPr>
          <w:p w14:paraId="1BDA0087" w14:textId="7357C330"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1</w:t>
            </w:r>
            <w:r w:rsidR="0014047B">
              <w:rPr>
                <w:rFonts w:asciiTheme="minorHAnsi" w:hAnsiTheme="minorHAnsi" w:cstheme="minorHAnsi"/>
                <w:sz w:val="22"/>
                <w:szCs w:val="22"/>
              </w:rPr>
              <w:t>40</w:t>
            </w:r>
            <w:r w:rsidRPr="009441A0">
              <w:rPr>
                <w:rFonts w:asciiTheme="minorHAnsi" w:hAnsiTheme="minorHAnsi" w:cstheme="minorHAnsi"/>
                <w:sz w:val="22"/>
                <w:szCs w:val="22"/>
              </w:rPr>
              <w:t xml:space="preserve"> (6</w:t>
            </w:r>
            <w:r w:rsidR="0014047B">
              <w:rPr>
                <w:rFonts w:asciiTheme="minorHAnsi" w:hAnsiTheme="minorHAnsi" w:cstheme="minorHAnsi"/>
                <w:sz w:val="22"/>
                <w:szCs w:val="22"/>
              </w:rPr>
              <w:t>7</w:t>
            </w:r>
            <w:r w:rsidRPr="009441A0">
              <w:rPr>
                <w:rFonts w:asciiTheme="minorHAnsi" w:hAnsiTheme="minorHAnsi" w:cstheme="minorHAnsi"/>
                <w:sz w:val="22"/>
                <w:szCs w:val="22"/>
              </w:rPr>
              <w:t>%)</w:t>
            </w:r>
          </w:p>
        </w:tc>
      </w:tr>
      <w:tr w:rsidR="00AB6902" w:rsidRPr="009441A0" w14:paraId="5F083333" w14:textId="77777777" w:rsidTr="00155E2E">
        <w:tc>
          <w:tcPr>
            <w:tcW w:w="762" w:type="pct"/>
            <w:tcBorders>
              <w:top w:val="nil"/>
              <w:bottom w:val="single" w:sz="4" w:space="0" w:color="auto"/>
            </w:tcBorders>
            <w:tcMar>
              <w:top w:w="0" w:type="dxa"/>
              <w:left w:w="108" w:type="dxa"/>
              <w:bottom w:w="0" w:type="dxa"/>
              <w:right w:w="108" w:type="dxa"/>
            </w:tcMar>
          </w:tcPr>
          <w:p w14:paraId="6021B99D" w14:textId="77777777" w:rsidR="00AB6902" w:rsidRPr="009441A0" w:rsidRDefault="00AB6902" w:rsidP="009441A0">
            <w:pPr>
              <w:spacing w:line="240" w:lineRule="auto"/>
              <w:ind w:firstLine="0"/>
              <w:jc w:val="right"/>
              <w:rPr>
                <w:rFonts w:asciiTheme="minorHAnsi" w:hAnsiTheme="minorHAnsi" w:cstheme="minorHAnsi"/>
                <w:sz w:val="22"/>
                <w:szCs w:val="22"/>
              </w:rPr>
            </w:pPr>
            <w:r w:rsidRPr="009441A0">
              <w:rPr>
                <w:rFonts w:asciiTheme="minorHAnsi" w:hAnsiTheme="minorHAnsi" w:cstheme="minorHAnsi"/>
                <w:sz w:val="22"/>
                <w:szCs w:val="22"/>
              </w:rPr>
              <w:t>English learner</w:t>
            </w:r>
          </w:p>
        </w:tc>
        <w:tc>
          <w:tcPr>
            <w:tcW w:w="839" w:type="pct"/>
            <w:tcBorders>
              <w:top w:val="nil"/>
              <w:bottom w:val="single" w:sz="4" w:space="0" w:color="auto"/>
            </w:tcBorders>
            <w:shd w:val="clear" w:color="auto" w:fill="auto"/>
            <w:tcMar>
              <w:top w:w="0" w:type="dxa"/>
              <w:left w:w="108" w:type="dxa"/>
              <w:bottom w:w="0" w:type="dxa"/>
              <w:right w:w="108" w:type="dxa"/>
            </w:tcMar>
          </w:tcPr>
          <w:p w14:paraId="08DAB593" w14:textId="18B0A154" w:rsidR="00AB6902" w:rsidRPr="009441A0" w:rsidRDefault="005B7F48"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88</w:t>
            </w:r>
            <w:r w:rsidR="00AB6902" w:rsidRPr="009441A0">
              <w:rPr>
                <w:rFonts w:asciiTheme="minorHAnsi" w:hAnsiTheme="minorHAnsi" w:cstheme="minorHAnsi"/>
                <w:sz w:val="22"/>
                <w:szCs w:val="22"/>
              </w:rPr>
              <w:t xml:space="preserve"> (6</w:t>
            </w:r>
            <w:r>
              <w:rPr>
                <w:rFonts w:asciiTheme="minorHAnsi" w:hAnsiTheme="minorHAnsi" w:cstheme="minorHAnsi"/>
                <w:sz w:val="22"/>
                <w:szCs w:val="22"/>
              </w:rPr>
              <w:t>4</w:t>
            </w:r>
            <w:r w:rsidR="00AB6902" w:rsidRPr="009441A0">
              <w:rPr>
                <w:rFonts w:asciiTheme="minorHAnsi" w:hAnsiTheme="minorHAnsi" w:cstheme="minorHAnsi"/>
                <w:sz w:val="22"/>
                <w:szCs w:val="22"/>
              </w:rPr>
              <w:t>%)</w:t>
            </w:r>
          </w:p>
        </w:tc>
        <w:tc>
          <w:tcPr>
            <w:tcW w:w="5" w:type="pct"/>
            <w:tcBorders>
              <w:top w:val="nil"/>
              <w:bottom w:val="single" w:sz="4" w:space="0" w:color="auto"/>
            </w:tcBorders>
            <w:shd w:val="clear" w:color="auto" w:fill="auto"/>
          </w:tcPr>
          <w:p w14:paraId="49746D57" w14:textId="77777777" w:rsidR="00AB6902" w:rsidRPr="009441A0" w:rsidRDefault="00AB6902" w:rsidP="009441A0">
            <w:pPr>
              <w:spacing w:line="240" w:lineRule="auto"/>
              <w:ind w:firstLine="0"/>
              <w:jc w:val="center"/>
              <w:rPr>
                <w:rFonts w:asciiTheme="minorHAnsi" w:hAnsiTheme="minorHAnsi" w:cstheme="minorHAnsi"/>
                <w:sz w:val="22"/>
                <w:szCs w:val="22"/>
              </w:rPr>
            </w:pPr>
          </w:p>
        </w:tc>
        <w:tc>
          <w:tcPr>
            <w:tcW w:w="668" w:type="pct"/>
            <w:tcBorders>
              <w:top w:val="nil"/>
              <w:bottom w:val="single" w:sz="4" w:space="0" w:color="auto"/>
            </w:tcBorders>
          </w:tcPr>
          <w:p w14:paraId="12939181" w14:textId="1CE09A28" w:rsidR="00AB6902" w:rsidRPr="009441A0" w:rsidRDefault="00AB6902" w:rsidP="009441A0">
            <w:pPr>
              <w:spacing w:line="240" w:lineRule="auto"/>
              <w:ind w:firstLine="0"/>
              <w:jc w:val="center"/>
              <w:rPr>
                <w:rFonts w:asciiTheme="minorHAnsi" w:hAnsiTheme="minorHAnsi" w:cstheme="minorHAnsi"/>
                <w:sz w:val="22"/>
                <w:szCs w:val="22"/>
              </w:rPr>
            </w:pPr>
            <w:r w:rsidRPr="009441A0">
              <w:rPr>
                <w:rFonts w:asciiTheme="minorHAnsi" w:hAnsiTheme="minorHAnsi" w:cstheme="minorHAnsi"/>
                <w:sz w:val="22"/>
                <w:szCs w:val="22"/>
              </w:rPr>
              <w:t>7</w:t>
            </w:r>
            <w:r w:rsidR="00D639F5">
              <w:rPr>
                <w:rFonts w:asciiTheme="minorHAnsi" w:hAnsiTheme="minorHAnsi" w:cstheme="minorHAnsi"/>
                <w:sz w:val="22"/>
                <w:szCs w:val="22"/>
              </w:rPr>
              <w:t>1</w:t>
            </w:r>
            <w:r w:rsidRPr="009441A0">
              <w:rPr>
                <w:rFonts w:asciiTheme="minorHAnsi" w:hAnsiTheme="minorHAnsi" w:cstheme="minorHAnsi"/>
                <w:sz w:val="22"/>
                <w:szCs w:val="22"/>
              </w:rPr>
              <w:t xml:space="preserve"> (5</w:t>
            </w:r>
            <w:r w:rsidR="00D639F5">
              <w:rPr>
                <w:rFonts w:asciiTheme="minorHAnsi" w:hAnsiTheme="minorHAnsi" w:cstheme="minorHAnsi"/>
                <w:sz w:val="22"/>
                <w:szCs w:val="22"/>
              </w:rPr>
              <w:t>0</w:t>
            </w:r>
            <w:r w:rsidRPr="009441A0">
              <w:rPr>
                <w:rFonts w:asciiTheme="minorHAnsi" w:hAnsiTheme="minorHAnsi" w:cstheme="minorHAnsi"/>
                <w:sz w:val="22"/>
                <w:szCs w:val="22"/>
              </w:rPr>
              <w:t>%)</w:t>
            </w:r>
          </w:p>
        </w:tc>
        <w:tc>
          <w:tcPr>
            <w:tcW w:w="668" w:type="pct"/>
            <w:tcBorders>
              <w:top w:val="nil"/>
              <w:bottom w:val="single" w:sz="4" w:space="0" w:color="auto"/>
            </w:tcBorders>
          </w:tcPr>
          <w:p w14:paraId="4241AEBF" w14:textId="40A74202" w:rsidR="00AB6902" w:rsidRPr="009441A0" w:rsidRDefault="001B0867"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82</w:t>
            </w:r>
            <w:r w:rsidR="00AB6902" w:rsidRPr="009441A0">
              <w:rPr>
                <w:rFonts w:asciiTheme="minorHAnsi" w:hAnsiTheme="minorHAnsi" w:cstheme="minorHAnsi"/>
                <w:sz w:val="22"/>
                <w:szCs w:val="22"/>
              </w:rPr>
              <w:t xml:space="preserve"> (5</w:t>
            </w:r>
            <w:r>
              <w:rPr>
                <w:rFonts w:asciiTheme="minorHAnsi" w:hAnsiTheme="minorHAnsi" w:cstheme="minorHAnsi"/>
                <w:sz w:val="22"/>
                <w:szCs w:val="22"/>
              </w:rPr>
              <w:t>0</w:t>
            </w:r>
            <w:r w:rsidR="00AB6902" w:rsidRPr="009441A0">
              <w:rPr>
                <w:rFonts w:asciiTheme="minorHAnsi" w:hAnsiTheme="minorHAnsi" w:cstheme="minorHAnsi"/>
                <w:sz w:val="22"/>
                <w:szCs w:val="22"/>
              </w:rPr>
              <w:t>%)</w:t>
            </w:r>
          </w:p>
        </w:tc>
        <w:tc>
          <w:tcPr>
            <w:tcW w:w="668" w:type="pct"/>
            <w:tcBorders>
              <w:top w:val="nil"/>
              <w:bottom w:val="single" w:sz="4" w:space="0" w:color="auto"/>
            </w:tcBorders>
            <w:shd w:val="clear" w:color="auto" w:fill="auto"/>
          </w:tcPr>
          <w:p w14:paraId="6CD9A7A8" w14:textId="61A274F0" w:rsidR="00AB6902" w:rsidRPr="009441A0" w:rsidRDefault="005B7F48"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5</w:t>
            </w:r>
            <w:r w:rsidR="00AB6902" w:rsidRPr="009441A0">
              <w:rPr>
                <w:rFonts w:asciiTheme="minorHAnsi" w:hAnsiTheme="minorHAnsi" w:cstheme="minorHAnsi"/>
                <w:sz w:val="22"/>
                <w:szCs w:val="22"/>
              </w:rPr>
              <w:t xml:space="preserve"> (63%)</w:t>
            </w:r>
          </w:p>
        </w:tc>
        <w:tc>
          <w:tcPr>
            <w:tcW w:w="639" w:type="pct"/>
            <w:tcBorders>
              <w:top w:val="nil"/>
              <w:bottom w:val="single" w:sz="4" w:space="0" w:color="auto"/>
            </w:tcBorders>
            <w:shd w:val="clear" w:color="auto" w:fill="auto"/>
            <w:tcMar>
              <w:top w:w="0" w:type="dxa"/>
              <w:left w:w="108" w:type="dxa"/>
              <w:bottom w:w="0" w:type="dxa"/>
              <w:right w:w="108" w:type="dxa"/>
            </w:tcMar>
          </w:tcPr>
          <w:p w14:paraId="7501C2CD" w14:textId="6225BB00" w:rsidR="00AB6902" w:rsidRPr="009441A0" w:rsidRDefault="00E82039"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81</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38</w:t>
            </w:r>
            <w:r w:rsidR="00AB6902" w:rsidRPr="009441A0">
              <w:rPr>
                <w:rFonts w:asciiTheme="minorHAnsi" w:hAnsiTheme="minorHAnsi" w:cstheme="minorHAnsi"/>
                <w:sz w:val="22"/>
                <w:szCs w:val="22"/>
              </w:rPr>
              <w:t>%)</w:t>
            </w:r>
          </w:p>
        </w:tc>
        <w:tc>
          <w:tcPr>
            <w:tcW w:w="752" w:type="pct"/>
            <w:tcBorders>
              <w:top w:val="nil"/>
              <w:bottom w:val="single" w:sz="4" w:space="0" w:color="auto"/>
            </w:tcBorders>
          </w:tcPr>
          <w:p w14:paraId="5F9B2C87" w14:textId="0C29B9BC" w:rsidR="00AB6902" w:rsidRPr="009441A0" w:rsidRDefault="005B7F48" w:rsidP="009441A0">
            <w:pPr>
              <w:spacing w:line="240" w:lineRule="auto"/>
              <w:ind w:firstLine="0"/>
              <w:jc w:val="center"/>
              <w:rPr>
                <w:rFonts w:asciiTheme="minorHAnsi" w:hAnsiTheme="minorHAnsi" w:cstheme="minorHAnsi"/>
                <w:sz w:val="22"/>
                <w:szCs w:val="22"/>
              </w:rPr>
            </w:pPr>
            <w:r>
              <w:rPr>
                <w:rFonts w:asciiTheme="minorHAnsi" w:hAnsiTheme="minorHAnsi" w:cstheme="minorHAnsi"/>
                <w:sz w:val="22"/>
                <w:szCs w:val="22"/>
              </w:rPr>
              <w:t>129</w:t>
            </w:r>
            <w:r w:rsidR="00AB6902" w:rsidRPr="009441A0">
              <w:rPr>
                <w:rFonts w:asciiTheme="minorHAnsi" w:hAnsiTheme="minorHAnsi" w:cstheme="minorHAnsi"/>
                <w:sz w:val="22"/>
                <w:szCs w:val="22"/>
              </w:rPr>
              <w:t xml:space="preserve"> (</w:t>
            </w:r>
            <w:r>
              <w:rPr>
                <w:rFonts w:asciiTheme="minorHAnsi" w:hAnsiTheme="minorHAnsi" w:cstheme="minorHAnsi"/>
                <w:sz w:val="22"/>
                <w:szCs w:val="22"/>
              </w:rPr>
              <w:t>6</w:t>
            </w:r>
            <w:r w:rsidR="000A3B8B">
              <w:rPr>
                <w:rFonts w:asciiTheme="minorHAnsi" w:hAnsiTheme="minorHAnsi" w:cstheme="minorHAnsi"/>
                <w:sz w:val="22"/>
                <w:szCs w:val="22"/>
              </w:rPr>
              <w:t>1</w:t>
            </w:r>
            <w:r w:rsidR="00AB6902" w:rsidRPr="009441A0">
              <w:rPr>
                <w:rFonts w:asciiTheme="minorHAnsi" w:hAnsiTheme="minorHAnsi" w:cstheme="minorHAnsi"/>
                <w:sz w:val="22"/>
                <w:szCs w:val="22"/>
              </w:rPr>
              <w:t>%)</w:t>
            </w:r>
          </w:p>
        </w:tc>
      </w:tr>
    </w:tbl>
    <w:p w14:paraId="6D9D8760" w14:textId="0B841E3D" w:rsidR="00AD7587" w:rsidRDefault="00AB6902">
      <w:pPr>
        <w:spacing w:line="240" w:lineRule="auto"/>
        <w:ind w:firstLine="0"/>
        <w:rPr>
          <w:rFonts w:asciiTheme="minorHAnsi" w:hAnsiTheme="minorHAnsi" w:cstheme="minorHAnsi"/>
          <w:color w:val="1F1F1F"/>
          <w:sz w:val="20"/>
        </w:rPr>
      </w:pPr>
      <w:r w:rsidRPr="00903130">
        <w:rPr>
          <w:rFonts w:asciiTheme="minorHAnsi" w:hAnsiTheme="minorHAnsi" w:cstheme="minorHAnsi"/>
          <w:i/>
          <w:iCs/>
          <w:color w:val="1F1F1F"/>
          <w:sz w:val="20"/>
        </w:rPr>
        <w:t>Note</w:t>
      </w:r>
      <w:r w:rsidR="009441A0" w:rsidRPr="00903130">
        <w:rPr>
          <w:rFonts w:asciiTheme="minorHAnsi" w:hAnsiTheme="minorHAnsi" w:cstheme="minorHAnsi"/>
          <w:i/>
          <w:iCs/>
          <w:color w:val="1F1F1F"/>
          <w:sz w:val="20"/>
        </w:rPr>
        <w:t>s</w:t>
      </w:r>
      <w:r w:rsidRPr="00903130">
        <w:rPr>
          <w:rFonts w:asciiTheme="minorHAnsi" w:hAnsiTheme="minorHAnsi" w:cstheme="minorHAnsi"/>
          <w:color w:val="1F1F1F"/>
          <w:sz w:val="20"/>
        </w:rPr>
        <w:t xml:space="preserve">. </w:t>
      </w:r>
      <w:r w:rsidR="00747775">
        <w:rPr>
          <w:rFonts w:asciiTheme="minorHAnsi" w:hAnsiTheme="minorHAnsi" w:cstheme="minorHAnsi"/>
          <w:color w:val="1F1F1F"/>
          <w:sz w:val="20"/>
        </w:rPr>
        <w:t xml:space="preserve">The grant competition purpose of review includes reviews that were conducted as part of Department of Education grant competitions that required a strong or moderate level of evidence. The ED or IES funded purpose of review includes reviews that were conducted as part of IES performance measures or other studies flagged by the Department as being funded by the Department. The single study purpose of review includes other stand-alone study reviews, including “single study reviews” and “quick reviews”. </w:t>
      </w:r>
      <w:r w:rsidRPr="00903130">
        <w:rPr>
          <w:rFonts w:asciiTheme="minorHAnsi" w:hAnsiTheme="minorHAnsi" w:cstheme="minorHAnsi"/>
          <w:color w:val="1F1F1F"/>
          <w:sz w:val="20"/>
        </w:rPr>
        <w:t xml:space="preserve">The other purpose of review includes reviews for publications outside of intervention reports and practice guides. </w:t>
      </w:r>
    </w:p>
    <w:p w14:paraId="58A1048A" w14:textId="2E229273" w:rsidR="00A502EE" w:rsidRDefault="00AB6902">
      <w:pPr>
        <w:spacing w:line="240" w:lineRule="auto"/>
        <w:ind w:firstLine="0"/>
        <w:rPr>
          <w:rFonts w:asciiTheme="minorHAnsi" w:hAnsiTheme="minorHAnsi" w:cstheme="minorHAnsi"/>
          <w:color w:val="1F1F1F"/>
          <w:sz w:val="20"/>
        </w:rPr>
      </w:pPr>
      <w:r w:rsidRPr="00903130">
        <w:rPr>
          <w:rFonts w:asciiTheme="minorHAnsi" w:hAnsiTheme="minorHAnsi" w:cstheme="minorHAnsi"/>
          <w:color w:val="1F1F1F"/>
          <w:sz w:val="20"/>
        </w:rPr>
        <w:t xml:space="preserve">School type includes public, private, charter, and parochial. Urbanicity includes urban, rural, and suburban. Study location is based on the state(s) where the study was conducted. </w:t>
      </w:r>
    </w:p>
    <w:p w14:paraId="66610889" w14:textId="015402F1" w:rsidR="00A502EE" w:rsidRDefault="00DD52CF" w:rsidP="00155E2E">
      <w:pPr>
        <w:spacing w:line="240" w:lineRule="auto"/>
        <w:ind w:firstLine="0"/>
        <w:rPr>
          <w:rFonts w:asciiTheme="minorHAnsi" w:hAnsiTheme="minorHAnsi" w:cstheme="minorHAnsi"/>
          <w:color w:val="1F1F1F"/>
          <w:sz w:val="20"/>
        </w:rPr>
      </w:pPr>
      <w:r>
        <w:rPr>
          <w:rFonts w:asciiTheme="minorHAnsi" w:hAnsiTheme="minorHAnsi" w:cstheme="minorHAnsi"/>
          <w:color w:val="1F1F1F"/>
          <w:sz w:val="20"/>
        </w:rPr>
        <w:t>SWD=students with disabilities.</w:t>
      </w:r>
      <w:r w:rsidR="008B6651">
        <w:rPr>
          <w:rFonts w:asciiTheme="minorHAnsi" w:hAnsiTheme="minorHAnsi" w:cstheme="minorHAnsi"/>
          <w:color w:val="1F1F1F"/>
          <w:sz w:val="20"/>
        </w:rPr>
        <w:t xml:space="preserve"> The percentage missing for SWD and English learners was calculated for the PK–12 study sample only. </w:t>
      </w:r>
    </w:p>
    <w:p w14:paraId="1AAEDE64" w14:textId="77777777" w:rsidR="00CC25F6" w:rsidRDefault="00CC25F6">
      <w:pPr>
        <w:spacing w:after="160" w:line="259" w:lineRule="auto"/>
        <w:ind w:firstLine="0"/>
        <w:rPr>
          <w:rFonts w:asciiTheme="minorHAnsi" w:eastAsiaTheme="minorHAnsi" w:hAnsiTheme="minorHAnsi" w:cstheme="minorHAnsi"/>
          <w:b/>
          <w:i/>
          <w:noProof/>
          <w:color w:val="405D88"/>
          <w:szCs w:val="24"/>
        </w:rPr>
      </w:pPr>
      <w:r>
        <w:rPr>
          <w:rFonts w:cstheme="minorHAnsi"/>
          <w:szCs w:val="24"/>
        </w:rPr>
        <w:br w:type="page"/>
      </w:r>
    </w:p>
    <w:p w14:paraId="10317777" w14:textId="0F0198AB" w:rsidR="00A502EE" w:rsidRPr="009441A0" w:rsidRDefault="00A502EE" w:rsidP="00A502EE">
      <w:pPr>
        <w:pStyle w:val="22dRELlevel2headingappendix"/>
        <w:spacing w:after="160"/>
        <w:rPr>
          <w:rFonts w:cstheme="minorHAnsi"/>
          <w:szCs w:val="24"/>
        </w:rPr>
      </w:pPr>
      <w:r>
        <w:rPr>
          <w:rFonts w:cstheme="minorHAnsi"/>
          <w:szCs w:val="24"/>
        </w:rPr>
        <w:lastRenderedPageBreak/>
        <w:t xml:space="preserve">Technical Appendix </w:t>
      </w:r>
      <w:r w:rsidRPr="009441A0">
        <w:rPr>
          <w:rFonts w:cstheme="minorHAnsi"/>
          <w:szCs w:val="24"/>
        </w:rPr>
        <w:t xml:space="preserve">Part </w:t>
      </w:r>
      <w:r>
        <w:rPr>
          <w:rFonts w:cstheme="minorHAnsi"/>
          <w:szCs w:val="24"/>
        </w:rPr>
        <w:t>C</w:t>
      </w:r>
      <w:r w:rsidRPr="009441A0">
        <w:rPr>
          <w:rFonts w:cstheme="minorHAnsi"/>
          <w:szCs w:val="24"/>
        </w:rPr>
        <w:t xml:space="preserve">: </w:t>
      </w:r>
      <w:r w:rsidR="00F62E56">
        <w:rPr>
          <w:rFonts w:cstheme="minorHAnsi"/>
          <w:szCs w:val="24"/>
        </w:rPr>
        <w:t>Data on All Schools and Students in the U.S.</w:t>
      </w:r>
    </w:p>
    <w:p w14:paraId="0930F59C" w14:textId="04F40C38" w:rsidR="00FC5F93" w:rsidRDefault="00395656" w:rsidP="00FC5F93">
      <w:pPr>
        <w:pStyle w:val="TableText"/>
        <w:ind w:firstLine="720"/>
        <w:rPr>
          <w:rFonts w:asciiTheme="minorHAnsi" w:hAnsiTheme="minorHAnsi" w:cstheme="minorHAnsi"/>
          <w:sz w:val="22"/>
          <w:szCs w:val="22"/>
        </w:rPr>
      </w:pPr>
      <w:r>
        <w:rPr>
          <w:rFonts w:asciiTheme="minorHAnsi" w:hAnsiTheme="minorHAnsi" w:cstheme="minorHAnsi"/>
          <w:sz w:val="22"/>
          <w:szCs w:val="22"/>
        </w:rPr>
        <w:t xml:space="preserve">To provide a point of comparison for how the WWC study samples compare to all </w:t>
      </w:r>
      <w:r w:rsidR="00F35BD9">
        <w:rPr>
          <w:rFonts w:asciiTheme="minorHAnsi" w:hAnsiTheme="minorHAnsi" w:cstheme="minorHAnsi"/>
          <w:sz w:val="22"/>
          <w:szCs w:val="22"/>
        </w:rPr>
        <w:t>P</w:t>
      </w:r>
      <w:r w:rsidR="00A24F9F">
        <w:rPr>
          <w:rFonts w:asciiTheme="minorHAnsi" w:hAnsiTheme="minorHAnsi" w:cstheme="minorHAnsi"/>
          <w:sz w:val="22"/>
          <w:szCs w:val="22"/>
        </w:rPr>
        <w:t xml:space="preserve">K–12 </w:t>
      </w:r>
      <w:r>
        <w:rPr>
          <w:rFonts w:asciiTheme="minorHAnsi" w:hAnsiTheme="minorHAnsi" w:cstheme="minorHAnsi"/>
          <w:sz w:val="22"/>
          <w:szCs w:val="22"/>
        </w:rPr>
        <w:t xml:space="preserve">public schools and students in the U.S., data </w:t>
      </w:r>
      <w:r w:rsidR="00C71845" w:rsidRPr="00A24F9F">
        <w:rPr>
          <w:rFonts w:asciiTheme="minorHAnsi" w:hAnsiTheme="minorHAnsi" w:cstheme="minorHAnsi"/>
          <w:sz w:val="22"/>
          <w:szCs w:val="22"/>
        </w:rPr>
        <w:t xml:space="preserve">were pulled from the National Center of Education Statistics’ </w:t>
      </w:r>
      <w:r w:rsidR="00666AF5">
        <w:rPr>
          <w:rFonts w:asciiTheme="minorHAnsi" w:hAnsiTheme="minorHAnsi" w:cstheme="minorHAnsi"/>
          <w:sz w:val="22"/>
          <w:szCs w:val="22"/>
        </w:rPr>
        <w:t xml:space="preserve">(NCES) </w:t>
      </w:r>
      <w:hyperlink r:id="rId12" w:history="1">
        <w:proofErr w:type="spellStart"/>
        <w:r w:rsidR="00C71845" w:rsidRPr="00A24F9F">
          <w:rPr>
            <w:rStyle w:val="Hyperlink"/>
            <w:rFonts w:asciiTheme="minorHAnsi" w:eastAsiaTheme="majorEastAsia" w:hAnsiTheme="minorHAnsi" w:cstheme="minorHAnsi"/>
            <w:sz w:val="22"/>
            <w:szCs w:val="22"/>
          </w:rPr>
          <w:t>ElSi</w:t>
        </w:r>
        <w:proofErr w:type="spellEnd"/>
        <w:r w:rsidR="00C71845" w:rsidRPr="00A24F9F">
          <w:rPr>
            <w:rStyle w:val="Hyperlink"/>
            <w:rFonts w:asciiTheme="minorHAnsi" w:eastAsiaTheme="majorEastAsia" w:hAnsiTheme="minorHAnsi" w:cstheme="minorHAnsi"/>
            <w:sz w:val="22"/>
            <w:szCs w:val="22"/>
          </w:rPr>
          <w:t xml:space="preserve"> table generator</w:t>
        </w:r>
      </w:hyperlink>
      <w:r w:rsidR="00C71845" w:rsidRPr="00A24F9F">
        <w:rPr>
          <w:rFonts w:asciiTheme="minorHAnsi" w:hAnsiTheme="minorHAnsi" w:cstheme="minorHAnsi"/>
          <w:sz w:val="22"/>
          <w:szCs w:val="22"/>
        </w:rPr>
        <w:t xml:space="preserve"> from 2021–22, with the exception of </w:t>
      </w:r>
      <w:r w:rsidR="00064A8D">
        <w:rPr>
          <w:rFonts w:asciiTheme="minorHAnsi" w:hAnsiTheme="minorHAnsi" w:cstheme="minorHAnsi"/>
          <w:sz w:val="22"/>
          <w:szCs w:val="22"/>
        </w:rPr>
        <w:t xml:space="preserve">the percentages of </w:t>
      </w:r>
      <w:r w:rsidR="00F86E98">
        <w:rPr>
          <w:rFonts w:asciiTheme="minorHAnsi" w:hAnsiTheme="minorHAnsi" w:cstheme="minorHAnsi"/>
          <w:sz w:val="22"/>
          <w:szCs w:val="22"/>
        </w:rPr>
        <w:t xml:space="preserve">students with disabilities </w:t>
      </w:r>
      <w:r w:rsidR="00C71845" w:rsidRPr="00A24F9F">
        <w:rPr>
          <w:rFonts w:asciiTheme="minorHAnsi" w:hAnsiTheme="minorHAnsi" w:cstheme="minorHAnsi"/>
          <w:sz w:val="22"/>
          <w:szCs w:val="22"/>
        </w:rPr>
        <w:t>and English learner</w:t>
      </w:r>
      <w:r w:rsidR="00F86E98">
        <w:rPr>
          <w:rFonts w:asciiTheme="minorHAnsi" w:hAnsiTheme="minorHAnsi" w:cstheme="minorHAnsi"/>
          <w:sz w:val="22"/>
          <w:szCs w:val="22"/>
        </w:rPr>
        <w:t>s</w:t>
      </w:r>
      <w:r w:rsidR="00C71845" w:rsidRPr="00A24F9F">
        <w:rPr>
          <w:rFonts w:asciiTheme="minorHAnsi" w:hAnsiTheme="minorHAnsi" w:cstheme="minorHAnsi"/>
          <w:sz w:val="22"/>
          <w:szCs w:val="22"/>
        </w:rPr>
        <w:t xml:space="preserve">, which were pulled from the </w:t>
      </w:r>
      <w:hyperlink r:id="rId13" w:history="1">
        <w:r w:rsidR="00C71845" w:rsidRPr="00A24F9F">
          <w:rPr>
            <w:rStyle w:val="Hyperlink"/>
            <w:rFonts w:asciiTheme="minorHAnsi" w:eastAsiaTheme="majorEastAsia" w:hAnsiTheme="minorHAnsi" w:cstheme="minorHAnsi"/>
            <w:sz w:val="22"/>
            <w:szCs w:val="22"/>
          </w:rPr>
          <w:t>Civil Rights Data Collection</w:t>
        </w:r>
      </w:hyperlink>
      <w:r w:rsidR="00C71845" w:rsidRPr="00A24F9F">
        <w:rPr>
          <w:rFonts w:asciiTheme="minorHAnsi" w:hAnsiTheme="minorHAnsi" w:cstheme="minorHAnsi"/>
          <w:sz w:val="22"/>
          <w:szCs w:val="22"/>
        </w:rPr>
        <w:t xml:space="preserve"> </w:t>
      </w:r>
      <w:r w:rsidR="00666AF5">
        <w:rPr>
          <w:rFonts w:asciiTheme="minorHAnsi" w:hAnsiTheme="minorHAnsi" w:cstheme="minorHAnsi"/>
          <w:sz w:val="22"/>
          <w:szCs w:val="22"/>
        </w:rPr>
        <w:t xml:space="preserve">(CRDC) </w:t>
      </w:r>
      <w:r w:rsidR="00C71845" w:rsidRPr="00A24F9F">
        <w:rPr>
          <w:rFonts w:asciiTheme="minorHAnsi" w:hAnsiTheme="minorHAnsi" w:cstheme="minorHAnsi"/>
          <w:sz w:val="22"/>
          <w:szCs w:val="22"/>
        </w:rPr>
        <w:t xml:space="preserve">from 2017–18. </w:t>
      </w:r>
    </w:p>
    <w:p w14:paraId="5A3A2260" w14:textId="7A3F6211" w:rsidR="00704140" w:rsidRDefault="00704140" w:rsidP="00155E2E">
      <w:pPr>
        <w:pStyle w:val="TableText"/>
        <w:ind w:firstLine="720"/>
        <w:rPr>
          <w:rFonts w:asciiTheme="minorHAnsi" w:hAnsiTheme="minorHAnsi" w:cstheme="minorHAnsi"/>
          <w:sz w:val="22"/>
          <w:szCs w:val="22"/>
        </w:rPr>
      </w:pPr>
    </w:p>
    <w:p w14:paraId="6CA231FD" w14:textId="7688E594" w:rsidR="00704140" w:rsidRDefault="00704140" w:rsidP="00BC53C2">
      <w:pPr>
        <w:pStyle w:val="TableText"/>
        <w:rPr>
          <w:rFonts w:asciiTheme="minorHAnsi" w:hAnsiTheme="minorHAnsi" w:cstheme="minorHAnsi"/>
          <w:sz w:val="22"/>
          <w:szCs w:val="22"/>
        </w:rPr>
      </w:pPr>
      <w:r>
        <w:rPr>
          <w:rFonts w:asciiTheme="minorHAnsi" w:hAnsiTheme="minorHAnsi" w:cstheme="minorHAnsi"/>
          <w:sz w:val="22"/>
          <w:szCs w:val="22"/>
        </w:rPr>
        <w:tab/>
      </w:r>
      <w:r w:rsidR="00F35BD9">
        <w:rPr>
          <w:rFonts w:asciiTheme="minorHAnsi" w:hAnsiTheme="minorHAnsi" w:cstheme="minorHAnsi"/>
          <w:sz w:val="22"/>
          <w:szCs w:val="22"/>
        </w:rPr>
        <w:t xml:space="preserve">The data </w:t>
      </w:r>
      <w:r w:rsidR="00A36DF7">
        <w:rPr>
          <w:rFonts w:asciiTheme="minorHAnsi" w:hAnsiTheme="minorHAnsi" w:cstheme="minorHAnsi"/>
          <w:sz w:val="22"/>
          <w:szCs w:val="22"/>
        </w:rPr>
        <w:t>for all PK–12 public schools and students</w:t>
      </w:r>
      <w:r w:rsidR="00BB2E6F">
        <w:rPr>
          <w:rFonts w:asciiTheme="minorHAnsi" w:hAnsiTheme="minorHAnsi" w:cstheme="minorHAnsi"/>
          <w:sz w:val="22"/>
          <w:szCs w:val="22"/>
        </w:rPr>
        <w:t xml:space="preserve"> </w:t>
      </w:r>
      <w:r w:rsidR="00A36DF7" w:rsidRPr="00A24F9F">
        <w:rPr>
          <w:rFonts w:asciiTheme="minorHAnsi" w:hAnsiTheme="minorHAnsi" w:cstheme="minorHAnsi"/>
          <w:sz w:val="22"/>
          <w:szCs w:val="22"/>
        </w:rPr>
        <w:t>were manipulated in similar ways to how the WWC study data were manipulated for comparability</w:t>
      </w:r>
      <w:r w:rsidR="00A36DF7">
        <w:rPr>
          <w:rFonts w:asciiTheme="minorHAnsi" w:hAnsiTheme="minorHAnsi" w:cstheme="minorHAnsi"/>
          <w:sz w:val="22"/>
          <w:szCs w:val="22"/>
        </w:rPr>
        <w:t xml:space="preserve">. </w:t>
      </w:r>
      <w:r>
        <w:rPr>
          <w:rFonts w:asciiTheme="minorHAnsi" w:hAnsiTheme="minorHAnsi" w:cstheme="minorHAnsi"/>
          <w:sz w:val="22"/>
          <w:szCs w:val="22"/>
        </w:rPr>
        <w:t xml:space="preserve">First, all schools not including any grade in PK–12 were dropped. Then, </w:t>
      </w:r>
      <w:r w:rsidR="005F6457">
        <w:rPr>
          <w:rFonts w:asciiTheme="minorHAnsi" w:hAnsiTheme="minorHAnsi" w:cstheme="minorHAnsi"/>
          <w:sz w:val="22"/>
          <w:szCs w:val="22"/>
        </w:rPr>
        <w:t xml:space="preserve">duplicates were identified by retaining the </w:t>
      </w:r>
      <w:r w:rsidR="00747823">
        <w:rPr>
          <w:rFonts w:asciiTheme="minorHAnsi" w:hAnsiTheme="minorHAnsi" w:cstheme="minorHAnsi"/>
          <w:sz w:val="22"/>
          <w:szCs w:val="22"/>
        </w:rPr>
        <w:t xml:space="preserve">entry with the largest student enrollment for schools with the same name, NCES school ID, state, and locale. Next, </w:t>
      </w:r>
      <w:r>
        <w:rPr>
          <w:rFonts w:asciiTheme="minorHAnsi" w:hAnsiTheme="minorHAnsi" w:cstheme="minorHAnsi"/>
          <w:sz w:val="22"/>
          <w:szCs w:val="22"/>
        </w:rPr>
        <w:t xml:space="preserve">grade level bands were created, as described above, which means that schools could have more than one grade level band. </w:t>
      </w:r>
      <w:r w:rsidR="00747823">
        <w:rPr>
          <w:rFonts w:asciiTheme="minorHAnsi" w:hAnsiTheme="minorHAnsi" w:cstheme="minorHAnsi"/>
          <w:sz w:val="22"/>
          <w:szCs w:val="22"/>
        </w:rPr>
        <w:t>Last</w:t>
      </w:r>
      <w:r w:rsidR="00361189">
        <w:rPr>
          <w:rFonts w:asciiTheme="minorHAnsi" w:hAnsiTheme="minorHAnsi" w:cstheme="minorHAnsi"/>
          <w:sz w:val="22"/>
          <w:szCs w:val="22"/>
        </w:rPr>
        <w:t xml:space="preserve">, schools were categorized into one of five quintiles </w:t>
      </w:r>
      <w:r w:rsidR="00D354CC">
        <w:rPr>
          <w:rFonts w:asciiTheme="minorHAnsi" w:hAnsiTheme="minorHAnsi" w:cstheme="minorHAnsi"/>
          <w:sz w:val="22"/>
          <w:szCs w:val="22"/>
        </w:rPr>
        <w:t>for each student characteristic: white, Black, Latino, Asian, indigenous (native American and pacific islander</w:t>
      </w:r>
      <w:r w:rsidR="00FD4F88">
        <w:rPr>
          <w:rFonts w:asciiTheme="minorHAnsi" w:hAnsiTheme="minorHAnsi" w:cstheme="minorHAnsi"/>
          <w:sz w:val="22"/>
          <w:szCs w:val="22"/>
        </w:rPr>
        <w:t xml:space="preserve"> were combined due to very low counts</w:t>
      </w:r>
      <w:r w:rsidR="00D354CC">
        <w:rPr>
          <w:rFonts w:asciiTheme="minorHAnsi" w:hAnsiTheme="minorHAnsi" w:cstheme="minorHAnsi"/>
          <w:sz w:val="22"/>
          <w:szCs w:val="22"/>
        </w:rPr>
        <w:t xml:space="preserve">), female, and low-income. </w:t>
      </w:r>
      <w:r w:rsidR="00F8659B">
        <w:rPr>
          <w:rFonts w:asciiTheme="minorHAnsi" w:hAnsiTheme="minorHAnsi" w:cstheme="minorHAnsi"/>
          <w:sz w:val="22"/>
          <w:szCs w:val="22"/>
        </w:rPr>
        <w:t xml:space="preserve">There were missing data on these characteristics either because it was missing or because NCES suppressed the data because it did not meet its quality standards. The percent missing for each characteristic was as follows: </w:t>
      </w:r>
      <w:r w:rsidR="002F5CBE">
        <w:rPr>
          <w:rFonts w:asciiTheme="minorHAnsi" w:hAnsiTheme="minorHAnsi" w:cstheme="minorHAnsi"/>
          <w:sz w:val="22"/>
          <w:szCs w:val="22"/>
        </w:rPr>
        <w:t xml:space="preserve">low-income (19%), </w:t>
      </w:r>
      <w:r w:rsidR="00911AE4">
        <w:rPr>
          <w:rFonts w:asciiTheme="minorHAnsi" w:hAnsiTheme="minorHAnsi" w:cstheme="minorHAnsi"/>
          <w:sz w:val="22"/>
          <w:szCs w:val="22"/>
        </w:rPr>
        <w:t xml:space="preserve">female (3%), </w:t>
      </w:r>
      <w:r w:rsidR="002F5A7F">
        <w:rPr>
          <w:rFonts w:asciiTheme="minorHAnsi" w:hAnsiTheme="minorHAnsi" w:cstheme="minorHAnsi"/>
          <w:sz w:val="22"/>
          <w:szCs w:val="22"/>
        </w:rPr>
        <w:t xml:space="preserve">Asian (13%), </w:t>
      </w:r>
      <w:r w:rsidR="00664E2A">
        <w:rPr>
          <w:rFonts w:asciiTheme="minorHAnsi" w:hAnsiTheme="minorHAnsi" w:cstheme="minorHAnsi"/>
          <w:sz w:val="22"/>
          <w:szCs w:val="22"/>
        </w:rPr>
        <w:t xml:space="preserve">Latino (4%), </w:t>
      </w:r>
      <w:r w:rsidR="00F976AA">
        <w:rPr>
          <w:rFonts w:asciiTheme="minorHAnsi" w:hAnsiTheme="minorHAnsi" w:cstheme="minorHAnsi"/>
          <w:sz w:val="22"/>
          <w:szCs w:val="22"/>
        </w:rPr>
        <w:t xml:space="preserve">Black (8%), </w:t>
      </w:r>
      <w:r w:rsidR="00806440">
        <w:rPr>
          <w:rFonts w:asciiTheme="minorHAnsi" w:hAnsiTheme="minorHAnsi" w:cstheme="minorHAnsi"/>
          <w:sz w:val="22"/>
          <w:szCs w:val="22"/>
        </w:rPr>
        <w:t xml:space="preserve">white (3%), </w:t>
      </w:r>
      <w:r w:rsidR="007A04F9">
        <w:rPr>
          <w:rFonts w:asciiTheme="minorHAnsi" w:hAnsiTheme="minorHAnsi" w:cstheme="minorHAnsi"/>
          <w:sz w:val="22"/>
          <w:szCs w:val="22"/>
        </w:rPr>
        <w:t xml:space="preserve">indigenous (18%). </w:t>
      </w:r>
    </w:p>
    <w:p w14:paraId="4A0E19BB" w14:textId="69EAB17F" w:rsidR="00012420" w:rsidRDefault="00012420" w:rsidP="00BC53C2">
      <w:pPr>
        <w:pStyle w:val="TableText"/>
        <w:rPr>
          <w:rFonts w:asciiTheme="minorHAnsi" w:hAnsiTheme="minorHAnsi" w:cstheme="minorHAnsi"/>
          <w:sz w:val="22"/>
          <w:szCs w:val="22"/>
        </w:rPr>
      </w:pPr>
    </w:p>
    <w:p w14:paraId="6BA853B0" w14:textId="318B006D" w:rsidR="00012420" w:rsidRDefault="00666AF5" w:rsidP="00BC53C2">
      <w:pPr>
        <w:pStyle w:val="TableText"/>
        <w:rPr>
          <w:rFonts w:asciiTheme="minorHAnsi" w:hAnsiTheme="minorHAnsi" w:cstheme="minorHAnsi"/>
          <w:sz w:val="22"/>
          <w:szCs w:val="22"/>
        </w:rPr>
      </w:pPr>
      <w:r>
        <w:rPr>
          <w:rFonts w:asciiTheme="minorHAnsi" w:hAnsiTheme="minorHAnsi" w:cstheme="minorHAnsi"/>
          <w:sz w:val="22"/>
          <w:szCs w:val="22"/>
        </w:rPr>
        <w:tab/>
      </w:r>
      <w:r w:rsidR="00FC5F93">
        <w:rPr>
          <w:rFonts w:asciiTheme="minorHAnsi" w:hAnsiTheme="minorHAnsi" w:cstheme="minorHAnsi"/>
          <w:sz w:val="22"/>
          <w:szCs w:val="22"/>
        </w:rPr>
        <w:t>T</w:t>
      </w:r>
      <w:r>
        <w:rPr>
          <w:rFonts w:asciiTheme="minorHAnsi" w:hAnsiTheme="minorHAnsi" w:cstheme="minorHAnsi"/>
          <w:sz w:val="22"/>
          <w:szCs w:val="22"/>
        </w:rPr>
        <w:t xml:space="preserve">he percentages of students with </w:t>
      </w:r>
      <w:r w:rsidR="00FC5F93">
        <w:rPr>
          <w:rFonts w:asciiTheme="minorHAnsi" w:hAnsiTheme="minorHAnsi" w:cstheme="minorHAnsi"/>
          <w:sz w:val="22"/>
          <w:szCs w:val="22"/>
        </w:rPr>
        <w:t xml:space="preserve">disabilities </w:t>
      </w:r>
      <w:r w:rsidR="00C61644">
        <w:rPr>
          <w:rFonts w:asciiTheme="minorHAnsi" w:hAnsiTheme="minorHAnsi" w:cstheme="minorHAnsi"/>
          <w:sz w:val="22"/>
          <w:szCs w:val="22"/>
        </w:rPr>
        <w:t xml:space="preserve">(SWDs) </w:t>
      </w:r>
      <w:r>
        <w:rPr>
          <w:rFonts w:asciiTheme="minorHAnsi" w:hAnsiTheme="minorHAnsi" w:cstheme="minorHAnsi"/>
          <w:sz w:val="22"/>
          <w:szCs w:val="22"/>
        </w:rPr>
        <w:t>and English learners were pulled from the CRDC</w:t>
      </w:r>
      <w:r w:rsidR="00C00F70">
        <w:rPr>
          <w:rFonts w:asciiTheme="minorHAnsi" w:hAnsiTheme="minorHAnsi" w:cstheme="minorHAnsi"/>
          <w:sz w:val="22"/>
          <w:szCs w:val="22"/>
        </w:rPr>
        <w:t xml:space="preserve"> from the 2017-18 school year because the total enrollment was not available in the most recent school year. </w:t>
      </w:r>
      <w:r w:rsidR="0044006F">
        <w:rPr>
          <w:rFonts w:asciiTheme="minorHAnsi" w:hAnsiTheme="minorHAnsi" w:cstheme="minorHAnsi"/>
          <w:sz w:val="22"/>
          <w:szCs w:val="22"/>
        </w:rPr>
        <w:t>The count</w:t>
      </w:r>
      <w:r w:rsidR="00052B9F">
        <w:rPr>
          <w:rFonts w:asciiTheme="minorHAnsi" w:hAnsiTheme="minorHAnsi" w:cstheme="minorHAnsi"/>
          <w:sz w:val="22"/>
          <w:szCs w:val="22"/>
        </w:rPr>
        <w:t xml:space="preserve"> </w:t>
      </w:r>
      <w:r w:rsidR="0044006F">
        <w:rPr>
          <w:rFonts w:asciiTheme="minorHAnsi" w:hAnsiTheme="minorHAnsi" w:cstheme="minorHAnsi"/>
          <w:sz w:val="22"/>
          <w:szCs w:val="22"/>
        </w:rPr>
        <w:t xml:space="preserve">of the total number of schools in the CRDC data was </w:t>
      </w:r>
      <w:proofErr w:type="gramStart"/>
      <w:r w:rsidR="0044006F">
        <w:rPr>
          <w:rFonts w:asciiTheme="minorHAnsi" w:hAnsiTheme="minorHAnsi" w:cstheme="minorHAnsi"/>
          <w:sz w:val="22"/>
          <w:szCs w:val="22"/>
        </w:rPr>
        <w:t>similar to</w:t>
      </w:r>
      <w:proofErr w:type="gramEnd"/>
      <w:r w:rsidR="0044006F">
        <w:rPr>
          <w:rFonts w:asciiTheme="minorHAnsi" w:hAnsiTheme="minorHAnsi" w:cstheme="minorHAnsi"/>
          <w:sz w:val="22"/>
          <w:szCs w:val="22"/>
        </w:rPr>
        <w:t xml:space="preserve"> that in the NCES data. </w:t>
      </w:r>
      <w:r w:rsidR="00D45F0E">
        <w:rPr>
          <w:rFonts w:asciiTheme="minorHAnsi" w:hAnsiTheme="minorHAnsi" w:cstheme="minorHAnsi"/>
          <w:sz w:val="22"/>
          <w:szCs w:val="22"/>
        </w:rPr>
        <w:t xml:space="preserve">The percentages of students with </w:t>
      </w:r>
      <w:r w:rsidR="00C61644">
        <w:rPr>
          <w:rFonts w:asciiTheme="minorHAnsi" w:hAnsiTheme="minorHAnsi" w:cstheme="minorHAnsi"/>
          <w:sz w:val="22"/>
          <w:szCs w:val="22"/>
        </w:rPr>
        <w:t>SWDs</w:t>
      </w:r>
      <w:r w:rsidR="00D45F0E">
        <w:rPr>
          <w:rFonts w:asciiTheme="minorHAnsi" w:hAnsiTheme="minorHAnsi" w:cstheme="minorHAnsi"/>
          <w:sz w:val="22"/>
          <w:szCs w:val="22"/>
        </w:rPr>
        <w:t xml:space="preserve"> and English learners were calculated in the same way as described above. </w:t>
      </w:r>
    </w:p>
    <w:p w14:paraId="63C5B62A" w14:textId="77777777" w:rsidR="00C61644" w:rsidRDefault="00C61644" w:rsidP="00BC53C2">
      <w:pPr>
        <w:pStyle w:val="TableText"/>
        <w:rPr>
          <w:rFonts w:asciiTheme="minorHAnsi" w:hAnsiTheme="minorHAnsi" w:cstheme="minorHAnsi"/>
          <w:sz w:val="22"/>
          <w:szCs w:val="22"/>
        </w:rPr>
      </w:pPr>
    </w:p>
    <w:p w14:paraId="732EF97A" w14:textId="7728825D" w:rsidR="00411797" w:rsidRDefault="0001563B" w:rsidP="00C61644">
      <w:pPr>
        <w:pStyle w:val="TableText"/>
        <w:ind w:firstLine="720"/>
        <w:rPr>
          <w:rFonts w:asciiTheme="minorHAnsi" w:hAnsiTheme="minorHAnsi" w:cstheme="minorHAnsi"/>
          <w:sz w:val="22"/>
          <w:szCs w:val="22"/>
        </w:rPr>
      </w:pPr>
      <w:r>
        <w:rPr>
          <w:rFonts w:asciiTheme="minorHAnsi" w:hAnsiTheme="minorHAnsi" w:cstheme="minorHAnsi"/>
          <w:sz w:val="22"/>
          <w:szCs w:val="22"/>
        </w:rPr>
        <w:t>D</w:t>
      </w:r>
      <w:r w:rsidR="00C61644">
        <w:rPr>
          <w:rFonts w:asciiTheme="minorHAnsi" w:hAnsiTheme="minorHAnsi" w:cstheme="minorHAnsi"/>
          <w:sz w:val="22"/>
          <w:szCs w:val="22"/>
        </w:rPr>
        <w:t>ata for postsecondary students were obtained from NCES</w:t>
      </w:r>
      <w:r w:rsidR="006B216B">
        <w:rPr>
          <w:rFonts w:asciiTheme="minorHAnsi" w:hAnsiTheme="minorHAnsi" w:cstheme="minorHAnsi"/>
          <w:sz w:val="22"/>
          <w:szCs w:val="22"/>
        </w:rPr>
        <w:t xml:space="preserve">’s </w:t>
      </w:r>
      <w:hyperlink r:id="rId14" w:history="1">
        <w:r w:rsidR="00E117E6" w:rsidRPr="00E117E6">
          <w:rPr>
            <w:rStyle w:val="Hyperlink"/>
            <w:rFonts w:asciiTheme="minorHAnsi" w:hAnsiTheme="minorHAnsi" w:cstheme="minorHAnsi"/>
            <w:sz w:val="22"/>
            <w:szCs w:val="22"/>
          </w:rPr>
          <w:t>Integrated Postsecondary Education Data System</w:t>
        </w:r>
      </w:hyperlink>
      <w:r w:rsidR="00770D04">
        <w:rPr>
          <w:rFonts w:asciiTheme="minorHAnsi" w:hAnsiTheme="minorHAnsi" w:cstheme="minorHAnsi"/>
          <w:sz w:val="22"/>
          <w:szCs w:val="22"/>
        </w:rPr>
        <w:t xml:space="preserve">. </w:t>
      </w:r>
      <w:r w:rsidR="00411797">
        <w:rPr>
          <w:rFonts w:asciiTheme="minorHAnsi" w:hAnsiTheme="minorHAnsi" w:cstheme="minorHAnsi"/>
          <w:sz w:val="22"/>
          <w:szCs w:val="22"/>
        </w:rPr>
        <w:t xml:space="preserve">All degree-granting public and private institutions with undergraduates were retained. </w:t>
      </w:r>
      <w:r w:rsidR="005C4FFA">
        <w:rPr>
          <w:rFonts w:asciiTheme="minorHAnsi" w:hAnsiTheme="minorHAnsi" w:cstheme="minorHAnsi"/>
          <w:sz w:val="22"/>
          <w:szCs w:val="22"/>
        </w:rPr>
        <w:t>Student race/ethnicity and gender came from th</w:t>
      </w:r>
      <w:r w:rsidR="00E14113">
        <w:rPr>
          <w:rFonts w:asciiTheme="minorHAnsi" w:hAnsiTheme="minorHAnsi" w:cstheme="minorHAnsi"/>
          <w:sz w:val="22"/>
          <w:szCs w:val="22"/>
        </w:rPr>
        <w:t xml:space="preserve">e undergraduate enrollment estimates </w:t>
      </w:r>
      <w:r w:rsidR="001D6B9C">
        <w:rPr>
          <w:rFonts w:asciiTheme="minorHAnsi" w:hAnsiTheme="minorHAnsi" w:cstheme="minorHAnsi"/>
          <w:sz w:val="22"/>
          <w:szCs w:val="22"/>
        </w:rPr>
        <w:t>from</w:t>
      </w:r>
      <w:r w:rsidR="00E14113">
        <w:rPr>
          <w:rFonts w:asciiTheme="minorHAnsi" w:hAnsiTheme="minorHAnsi" w:cstheme="minorHAnsi"/>
          <w:sz w:val="22"/>
          <w:szCs w:val="22"/>
        </w:rPr>
        <w:t xml:space="preserve"> fall 2022. </w:t>
      </w:r>
      <w:r w:rsidR="00CE714C">
        <w:rPr>
          <w:rFonts w:asciiTheme="minorHAnsi" w:hAnsiTheme="minorHAnsi" w:cstheme="minorHAnsi"/>
          <w:sz w:val="22"/>
          <w:szCs w:val="22"/>
        </w:rPr>
        <w:t xml:space="preserve">The percentage of undergraduate students awarded Pell grants </w:t>
      </w:r>
      <w:r w:rsidR="00332A14">
        <w:rPr>
          <w:rFonts w:asciiTheme="minorHAnsi" w:hAnsiTheme="minorHAnsi" w:cstheme="minorHAnsi"/>
          <w:sz w:val="22"/>
          <w:szCs w:val="22"/>
        </w:rPr>
        <w:t>(which is a proxy for</w:t>
      </w:r>
      <w:r w:rsidR="00C31303">
        <w:rPr>
          <w:rFonts w:asciiTheme="minorHAnsi" w:hAnsiTheme="minorHAnsi" w:cstheme="minorHAnsi"/>
          <w:sz w:val="22"/>
          <w:szCs w:val="22"/>
        </w:rPr>
        <w:t xml:space="preserve"> low-income</w:t>
      </w:r>
      <w:r w:rsidR="00332A14">
        <w:rPr>
          <w:rFonts w:asciiTheme="minorHAnsi" w:hAnsiTheme="minorHAnsi" w:cstheme="minorHAnsi"/>
          <w:sz w:val="22"/>
          <w:szCs w:val="22"/>
        </w:rPr>
        <w:t xml:space="preserve"> status) </w:t>
      </w:r>
      <w:r w:rsidR="001D6B9C">
        <w:rPr>
          <w:rFonts w:asciiTheme="minorHAnsi" w:hAnsiTheme="minorHAnsi" w:cstheme="minorHAnsi"/>
          <w:sz w:val="22"/>
          <w:szCs w:val="22"/>
        </w:rPr>
        <w:t xml:space="preserve">came from </w:t>
      </w:r>
      <w:r w:rsidR="006D68BD">
        <w:rPr>
          <w:rFonts w:asciiTheme="minorHAnsi" w:hAnsiTheme="minorHAnsi" w:cstheme="minorHAnsi"/>
          <w:sz w:val="22"/>
          <w:szCs w:val="22"/>
        </w:rPr>
        <w:t xml:space="preserve">the financial aid data from </w:t>
      </w:r>
      <w:r w:rsidR="009D76E2">
        <w:rPr>
          <w:rFonts w:asciiTheme="minorHAnsi" w:hAnsiTheme="minorHAnsi" w:cstheme="minorHAnsi"/>
          <w:sz w:val="22"/>
          <w:szCs w:val="22"/>
        </w:rPr>
        <w:t xml:space="preserve">2021-22. </w:t>
      </w:r>
      <w:r w:rsidR="00E14113">
        <w:rPr>
          <w:rFonts w:asciiTheme="minorHAnsi" w:hAnsiTheme="minorHAnsi" w:cstheme="minorHAnsi"/>
          <w:sz w:val="22"/>
          <w:szCs w:val="22"/>
        </w:rPr>
        <w:t xml:space="preserve">The percent of students </w:t>
      </w:r>
      <w:r w:rsidR="00176E54">
        <w:rPr>
          <w:rFonts w:asciiTheme="minorHAnsi" w:hAnsiTheme="minorHAnsi" w:cstheme="minorHAnsi"/>
          <w:sz w:val="22"/>
          <w:szCs w:val="22"/>
        </w:rPr>
        <w:t xml:space="preserve">with disabilities was estimated from the percentage of undergraduate students </w:t>
      </w:r>
      <w:r w:rsidR="00F46FFB">
        <w:rPr>
          <w:rFonts w:asciiTheme="minorHAnsi" w:hAnsiTheme="minorHAnsi" w:cstheme="minorHAnsi"/>
          <w:sz w:val="22"/>
          <w:szCs w:val="22"/>
        </w:rPr>
        <w:t xml:space="preserve">who were formally registered as students </w:t>
      </w:r>
      <w:r w:rsidR="00E14113">
        <w:rPr>
          <w:rFonts w:asciiTheme="minorHAnsi" w:hAnsiTheme="minorHAnsi" w:cstheme="minorHAnsi"/>
          <w:sz w:val="22"/>
          <w:szCs w:val="22"/>
        </w:rPr>
        <w:t xml:space="preserve">with disabilities </w:t>
      </w:r>
      <w:r w:rsidR="006F521E">
        <w:rPr>
          <w:rFonts w:asciiTheme="minorHAnsi" w:hAnsiTheme="minorHAnsi" w:cstheme="minorHAnsi"/>
          <w:sz w:val="22"/>
          <w:szCs w:val="22"/>
        </w:rPr>
        <w:t xml:space="preserve">in fall 2021. </w:t>
      </w:r>
    </w:p>
    <w:p w14:paraId="13BB0DF2" w14:textId="77777777" w:rsidR="004A3E47" w:rsidRDefault="004A3E47" w:rsidP="00C61644">
      <w:pPr>
        <w:pStyle w:val="TableText"/>
        <w:ind w:firstLine="720"/>
        <w:rPr>
          <w:rFonts w:asciiTheme="minorHAnsi" w:hAnsiTheme="minorHAnsi" w:cstheme="minorHAnsi"/>
          <w:sz w:val="22"/>
          <w:szCs w:val="22"/>
        </w:rPr>
      </w:pPr>
    </w:p>
    <w:p w14:paraId="24966CC7" w14:textId="681E2DE2" w:rsidR="004A3E47" w:rsidRPr="00457B72" w:rsidRDefault="004A3E47" w:rsidP="004A3E47">
      <w:pPr>
        <w:spacing w:after="160" w:line="240" w:lineRule="auto"/>
        <w:rPr>
          <w:rFonts w:asciiTheme="minorHAnsi" w:hAnsiTheme="minorHAnsi" w:cstheme="minorHAnsi"/>
          <w:color w:val="1F1F1F"/>
          <w:sz w:val="22"/>
          <w:szCs w:val="22"/>
        </w:rPr>
      </w:pPr>
      <w:r>
        <w:rPr>
          <w:rFonts w:asciiTheme="minorHAnsi" w:hAnsiTheme="minorHAnsi" w:cstheme="minorHAnsi"/>
          <w:color w:val="1F1F1F"/>
          <w:sz w:val="22"/>
          <w:szCs w:val="22"/>
        </w:rPr>
        <w:t>When analyzing the study sample separately for PK–12 and postsecondary, studies with grade levels in both PK–12 and postsecondary were included in PK–12, as it is not uncommon to examine longer term outcomes when students matriculate into postsecondary. Studies where the only grade levels were postsecondary were included in the postsecondary sample.</w:t>
      </w:r>
    </w:p>
    <w:p w14:paraId="483AFBDC" w14:textId="77777777" w:rsidR="00C61644" w:rsidRDefault="00C61644" w:rsidP="00BC53C2">
      <w:pPr>
        <w:pStyle w:val="TableText"/>
        <w:rPr>
          <w:rFonts w:asciiTheme="minorHAnsi" w:hAnsiTheme="minorHAnsi" w:cstheme="minorHAnsi"/>
          <w:sz w:val="22"/>
          <w:szCs w:val="22"/>
        </w:rPr>
        <w:sectPr w:rsidR="00C61644">
          <w:headerReference w:type="default" r:id="rId15"/>
          <w:pgSz w:w="12240" w:h="15840"/>
          <w:pgMar w:top="1440" w:right="1440" w:bottom="1440" w:left="1440" w:header="720" w:footer="720" w:gutter="0"/>
          <w:cols w:space="720"/>
          <w:docGrid w:linePitch="360"/>
        </w:sectPr>
      </w:pPr>
    </w:p>
    <w:p w14:paraId="301F8904" w14:textId="3AE1FB95" w:rsidR="002145E6" w:rsidRPr="00AB6902" w:rsidRDefault="002145E6" w:rsidP="006831BF">
      <w:pPr>
        <w:pStyle w:val="22dRELlevel2headingappendix"/>
        <w:keepNext w:val="0"/>
        <w:keepLines w:val="0"/>
        <w:suppressAutoHyphens w:val="0"/>
        <w:spacing w:before="0" w:after="160" w:line="259" w:lineRule="auto"/>
        <w:outlineLvl w:val="9"/>
      </w:pPr>
      <w:r w:rsidRPr="00AB6902">
        <w:lastRenderedPageBreak/>
        <w:t xml:space="preserve">Technical Appendix Part </w:t>
      </w:r>
      <w:r>
        <w:t>D</w:t>
      </w:r>
      <w:r w:rsidRPr="00AB6902">
        <w:t xml:space="preserve">: </w:t>
      </w:r>
      <w:r>
        <w:t>Additional Graph</w:t>
      </w:r>
      <w:r w:rsidR="002D5D0E">
        <w:t>s</w:t>
      </w:r>
    </w:p>
    <w:p w14:paraId="4B6C2A1D" w14:textId="47976BAF" w:rsidR="00B56452" w:rsidRPr="00496D3B" w:rsidRDefault="007337DC" w:rsidP="00155E2E">
      <w:pPr>
        <w:spacing w:after="160" w:line="259" w:lineRule="auto"/>
        <w:ind w:firstLine="0"/>
        <w:rPr>
          <w:rFonts w:asciiTheme="minorHAnsi" w:hAnsiTheme="minorHAnsi" w:cstheme="minorHAnsi"/>
          <w:bCs/>
          <w:sz w:val="22"/>
          <w:szCs w:val="22"/>
        </w:rPr>
      </w:pPr>
      <w:bookmarkStart w:id="0" w:name="_Ref141786101"/>
      <w:r>
        <w:rPr>
          <w:rFonts w:asciiTheme="minorHAnsi" w:hAnsiTheme="minorHAnsi" w:cstheme="minorHAnsi"/>
          <w:b/>
          <w:bCs/>
          <w:sz w:val="22"/>
          <w:szCs w:val="22"/>
        </w:rPr>
        <w:t>Fi</w:t>
      </w:r>
      <w:r w:rsidR="00B56452" w:rsidRPr="00496D3B">
        <w:rPr>
          <w:rFonts w:asciiTheme="minorHAnsi" w:hAnsiTheme="minorHAnsi" w:cstheme="minorHAnsi"/>
          <w:b/>
          <w:bCs/>
          <w:sz w:val="22"/>
          <w:szCs w:val="22"/>
        </w:rPr>
        <w:t xml:space="preserve">gure </w:t>
      </w:r>
      <w:bookmarkEnd w:id="0"/>
      <w:r w:rsidR="00B56452">
        <w:rPr>
          <w:rFonts w:asciiTheme="minorHAnsi" w:hAnsiTheme="minorHAnsi" w:cstheme="minorHAnsi"/>
          <w:b/>
          <w:bCs/>
          <w:sz w:val="22"/>
          <w:szCs w:val="22"/>
        </w:rPr>
        <w:t>D</w:t>
      </w:r>
      <w:r>
        <w:rPr>
          <w:rFonts w:asciiTheme="minorHAnsi" w:hAnsiTheme="minorHAnsi" w:cstheme="minorHAnsi"/>
          <w:b/>
          <w:bCs/>
          <w:sz w:val="22"/>
          <w:szCs w:val="22"/>
        </w:rPr>
        <w:t>1</w:t>
      </w:r>
      <w:r w:rsidR="00B56452" w:rsidRPr="00496D3B">
        <w:rPr>
          <w:rFonts w:asciiTheme="minorHAnsi" w:hAnsiTheme="minorHAnsi" w:cstheme="minorHAnsi"/>
          <w:b/>
          <w:bCs/>
          <w:sz w:val="22"/>
          <w:szCs w:val="22"/>
        </w:rPr>
        <w:t xml:space="preserve">. Evidence </w:t>
      </w:r>
      <w:proofErr w:type="gramStart"/>
      <w:r w:rsidR="00B56452" w:rsidRPr="00496D3B">
        <w:rPr>
          <w:rFonts w:asciiTheme="minorHAnsi" w:hAnsiTheme="minorHAnsi" w:cstheme="minorHAnsi"/>
          <w:b/>
          <w:bCs/>
          <w:sz w:val="22"/>
          <w:szCs w:val="22"/>
        </w:rPr>
        <w:t>map</w:t>
      </w:r>
      <w:proofErr w:type="gramEnd"/>
      <w:r w:rsidR="00B56452" w:rsidRPr="00496D3B">
        <w:rPr>
          <w:rFonts w:asciiTheme="minorHAnsi" w:hAnsiTheme="minorHAnsi" w:cstheme="minorHAnsi"/>
          <w:b/>
          <w:bCs/>
          <w:sz w:val="22"/>
          <w:szCs w:val="22"/>
        </w:rPr>
        <w:t xml:space="preserve"> of the </w:t>
      </w:r>
      <w:r w:rsidR="00B56452">
        <w:rPr>
          <w:rFonts w:asciiTheme="minorHAnsi" w:hAnsiTheme="minorHAnsi" w:cstheme="minorHAnsi"/>
          <w:b/>
          <w:bCs/>
          <w:sz w:val="22"/>
          <w:szCs w:val="22"/>
        </w:rPr>
        <w:t>characteristics of student samples by grade band for</w:t>
      </w:r>
      <w:r w:rsidR="00B56452" w:rsidRPr="00496D3B">
        <w:rPr>
          <w:rFonts w:asciiTheme="minorHAnsi" w:hAnsiTheme="minorHAnsi" w:cstheme="minorHAnsi"/>
          <w:b/>
          <w:bCs/>
          <w:sz w:val="22"/>
          <w:szCs w:val="22"/>
        </w:rPr>
        <w:t xml:space="preserve"> studies in the WWC database</w:t>
      </w:r>
    </w:p>
    <w:p w14:paraId="0F986637" w14:textId="25AA3738" w:rsidR="00B56452" w:rsidRDefault="00416B51" w:rsidP="00B56452">
      <w:pPr>
        <w:spacing w:line="240" w:lineRule="auto"/>
        <w:ind w:firstLine="0"/>
      </w:pPr>
      <w:r>
        <w:rPr>
          <w:noProof/>
        </w:rPr>
        <w:drawing>
          <wp:inline distT="0" distB="0" distL="0" distR="0" wp14:anchorId="587B4B73" wp14:editId="3CD811EE">
            <wp:extent cx="7077075" cy="47180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77387" cy="4718258"/>
                    </a:xfrm>
                    <a:prstGeom prst="rect">
                      <a:avLst/>
                    </a:prstGeom>
                    <a:noFill/>
                    <a:ln>
                      <a:noFill/>
                    </a:ln>
                  </pic:spPr>
                </pic:pic>
              </a:graphicData>
            </a:graphic>
          </wp:inline>
        </w:drawing>
      </w:r>
    </w:p>
    <w:p w14:paraId="058883DD" w14:textId="77777777" w:rsidR="00F10C26" w:rsidRDefault="00B56452" w:rsidP="00A24F9F">
      <w:pPr>
        <w:spacing w:line="240" w:lineRule="auto"/>
        <w:ind w:firstLine="0"/>
        <w:rPr>
          <w:rFonts w:asciiTheme="minorHAnsi" w:hAnsiTheme="minorHAnsi" w:cstheme="minorHAnsi"/>
          <w:sz w:val="20"/>
        </w:rPr>
      </w:pPr>
      <w:r w:rsidRPr="004C7AC3">
        <w:rPr>
          <w:rFonts w:asciiTheme="minorHAnsi" w:hAnsiTheme="minorHAnsi" w:cstheme="minorHAnsi"/>
          <w:i/>
          <w:iCs/>
          <w:sz w:val="20"/>
        </w:rPr>
        <w:t>Notes.</w:t>
      </w:r>
      <w:r w:rsidRPr="004C7AC3">
        <w:rPr>
          <w:rFonts w:asciiTheme="minorHAnsi" w:hAnsiTheme="minorHAnsi" w:cstheme="minorHAnsi"/>
          <w:sz w:val="20"/>
        </w:rPr>
        <w:t xml:space="preserve"> </w:t>
      </w:r>
      <w:r w:rsidR="009B5B29">
        <w:rPr>
          <w:rFonts w:asciiTheme="minorHAnsi" w:hAnsiTheme="minorHAnsi" w:cstheme="minorHAnsi"/>
          <w:sz w:val="20"/>
        </w:rPr>
        <w:t>The size of the circles reflects the number of studies in the grade band</w:t>
      </w:r>
      <w:r w:rsidR="00F31C99">
        <w:rPr>
          <w:rFonts w:asciiTheme="minorHAnsi" w:hAnsiTheme="minorHAnsi" w:cstheme="minorHAnsi"/>
          <w:sz w:val="20"/>
        </w:rPr>
        <w:t xml:space="preserve"> (column)</w:t>
      </w:r>
      <w:r w:rsidR="009B5B29">
        <w:rPr>
          <w:rFonts w:asciiTheme="minorHAnsi" w:hAnsiTheme="minorHAnsi" w:cstheme="minorHAnsi"/>
          <w:sz w:val="20"/>
        </w:rPr>
        <w:t xml:space="preserve">. </w:t>
      </w:r>
      <w:r w:rsidR="00465873">
        <w:rPr>
          <w:rFonts w:asciiTheme="minorHAnsi" w:hAnsiTheme="minorHAnsi" w:cstheme="minorHAnsi"/>
          <w:sz w:val="20"/>
        </w:rPr>
        <w:t xml:space="preserve">Studies may include more than one grade band so may be included in more than one </w:t>
      </w:r>
      <w:r w:rsidR="00F31C99">
        <w:rPr>
          <w:rFonts w:asciiTheme="minorHAnsi" w:hAnsiTheme="minorHAnsi" w:cstheme="minorHAnsi"/>
          <w:sz w:val="20"/>
        </w:rPr>
        <w:t>column</w:t>
      </w:r>
      <w:r w:rsidR="00465873">
        <w:rPr>
          <w:rFonts w:asciiTheme="minorHAnsi" w:hAnsiTheme="minorHAnsi" w:cstheme="minorHAnsi"/>
          <w:sz w:val="20"/>
        </w:rPr>
        <w:t xml:space="preserve">. </w:t>
      </w:r>
      <w:r>
        <w:rPr>
          <w:rFonts w:asciiTheme="minorHAnsi" w:hAnsiTheme="minorHAnsi" w:cstheme="minorHAnsi"/>
          <w:sz w:val="20"/>
        </w:rPr>
        <w:t xml:space="preserve">The numbers above the circles </w:t>
      </w:r>
      <w:r w:rsidR="002B5167">
        <w:rPr>
          <w:rFonts w:asciiTheme="minorHAnsi" w:hAnsiTheme="minorHAnsi" w:cstheme="minorHAnsi"/>
          <w:sz w:val="20"/>
        </w:rPr>
        <w:t xml:space="preserve">and the color </w:t>
      </w:r>
      <w:r>
        <w:rPr>
          <w:rFonts w:asciiTheme="minorHAnsi" w:hAnsiTheme="minorHAnsi" w:cstheme="minorHAnsi"/>
          <w:sz w:val="20"/>
        </w:rPr>
        <w:t xml:space="preserve">indicate the </w:t>
      </w:r>
      <w:r w:rsidR="00F31C99">
        <w:rPr>
          <w:rFonts w:asciiTheme="minorHAnsi" w:hAnsiTheme="minorHAnsi" w:cstheme="minorHAnsi"/>
          <w:sz w:val="20"/>
        </w:rPr>
        <w:t>percentages of the student samples with the</w:t>
      </w:r>
      <w:r w:rsidR="00C50641">
        <w:rPr>
          <w:rFonts w:asciiTheme="minorHAnsi" w:hAnsiTheme="minorHAnsi" w:cstheme="minorHAnsi"/>
          <w:sz w:val="20"/>
        </w:rPr>
        <w:t xml:space="preserve"> characteristic (rows). The percentages were calculated only </w:t>
      </w:r>
      <w:r w:rsidR="007C0D11">
        <w:rPr>
          <w:rFonts w:asciiTheme="minorHAnsi" w:hAnsiTheme="minorHAnsi" w:cstheme="minorHAnsi"/>
          <w:sz w:val="20"/>
        </w:rPr>
        <w:t>for studies</w:t>
      </w:r>
      <w:r w:rsidR="00C50641">
        <w:rPr>
          <w:rFonts w:asciiTheme="minorHAnsi" w:hAnsiTheme="minorHAnsi" w:cstheme="minorHAnsi"/>
          <w:sz w:val="20"/>
        </w:rPr>
        <w:t xml:space="preserve"> with non-missing data on the characteristic. Therefore, the percentages may reflect student samples in few studies. </w:t>
      </w:r>
    </w:p>
    <w:p w14:paraId="05524354" w14:textId="656D9F9F" w:rsidR="00A41203" w:rsidRDefault="002D5D0E" w:rsidP="00A41203">
      <w:pPr>
        <w:spacing w:after="160" w:line="259" w:lineRule="auto"/>
        <w:ind w:firstLine="0"/>
        <w:rPr>
          <w:rFonts w:asciiTheme="minorHAnsi" w:hAnsiTheme="minorHAnsi" w:cstheme="minorHAnsi"/>
          <w:bCs/>
          <w:sz w:val="22"/>
          <w:szCs w:val="22"/>
        </w:rPr>
      </w:pPr>
      <w:r>
        <w:rPr>
          <w:rFonts w:asciiTheme="minorHAnsi" w:hAnsiTheme="minorHAnsi" w:cstheme="minorHAnsi"/>
          <w:b/>
          <w:bCs/>
          <w:sz w:val="22"/>
          <w:szCs w:val="22"/>
        </w:rPr>
        <w:lastRenderedPageBreak/>
        <w:t>Fi</w:t>
      </w:r>
      <w:r w:rsidRPr="00496D3B">
        <w:rPr>
          <w:rFonts w:asciiTheme="minorHAnsi" w:hAnsiTheme="minorHAnsi" w:cstheme="minorHAnsi"/>
          <w:b/>
          <w:bCs/>
          <w:sz w:val="22"/>
          <w:szCs w:val="22"/>
        </w:rPr>
        <w:t xml:space="preserve">gure </w:t>
      </w:r>
      <w:r>
        <w:rPr>
          <w:rFonts w:asciiTheme="minorHAnsi" w:hAnsiTheme="minorHAnsi" w:cstheme="minorHAnsi"/>
          <w:b/>
          <w:bCs/>
          <w:sz w:val="22"/>
          <w:szCs w:val="22"/>
        </w:rPr>
        <w:t>D2</w:t>
      </w:r>
      <w:r w:rsidRPr="00496D3B">
        <w:rPr>
          <w:rFonts w:asciiTheme="minorHAnsi" w:hAnsiTheme="minorHAnsi" w:cstheme="minorHAnsi"/>
          <w:b/>
          <w:bCs/>
          <w:sz w:val="22"/>
          <w:szCs w:val="22"/>
        </w:rPr>
        <w:t xml:space="preserve">. </w:t>
      </w:r>
      <w:r w:rsidR="00FD2B87">
        <w:rPr>
          <w:rFonts w:asciiTheme="minorHAnsi" w:hAnsiTheme="minorHAnsi" w:cstheme="minorHAnsi"/>
          <w:b/>
          <w:bCs/>
          <w:sz w:val="22"/>
          <w:szCs w:val="22"/>
        </w:rPr>
        <w:t xml:space="preserve">Percent of Black, Hispanic, or Indigenous students in </w:t>
      </w:r>
      <w:r w:rsidR="000149C4">
        <w:rPr>
          <w:rFonts w:asciiTheme="minorHAnsi" w:hAnsiTheme="minorHAnsi" w:cstheme="minorHAnsi"/>
          <w:b/>
          <w:bCs/>
          <w:sz w:val="22"/>
          <w:szCs w:val="22"/>
        </w:rPr>
        <w:t xml:space="preserve">WWC study samples for studies that included at least one </w:t>
      </w:r>
      <w:r w:rsidR="00FD2B87">
        <w:rPr>
          <w:rFonts w:asciiTheme="minorHAnsi" w:hAnsiTheme="minorHAnsi" w:cstheme="minorHAnsi"/>
          <w:b/>
          <w:bCs/>
          <w:sz w:val="22"/>
          <w:szCs w:val="22"/>
        </w:rPr>
        <w:t xml:space="preserve">urban </w:t>
      </w:r>
      <w:r w:rsidR="000149C4">
        <w:rPr>
          <w:rFonts w:asciiTheme="minorHAnsi" w:hAnsiTheme="minorHAnsi" w:cstheme="minorHAnsi"/>
          <w:b/>
          <w:bCs/>
          <w:sz w:val="22"/>
          <w:szCs w:val="22"/>
        </w:rPr>
        <w:t>site</w:t>
      </w:r>
      <w:r w:rsidR="00FD2B87">
        <w:rPr>
          <w:rFonts w:asciiTheme="minorHAnsi" w:hAnsiTheme="minorHAnsi" w:cstheme="minorHAnsi"/>
          <w:b/>
          <w:bCs/>
          <w:sz w:val="22"/>
          <w:szCs w:val="22"/>
        </w:rPr>
        <w:t xml:space="preserve"> by state</w:t>
      </w:r>
    </w:p>
    <w:p w14:paraId="73BC9A2C" w14:textId="0123D88A" w:rsidR="00A41203" w:rsidRDefault="00FD2B87" w:rsidP="00A41203">
      <w:pPr>
        <w:spacing w:after="160" w:line="259" w:lineRule="auto"/>
        <w:ind w:firstLine="0"/>
        <w:rPr>
          <w:rFonts w:asciiTheme="minorHAnsi" w:hAnsiTheme="minorHAnsi" w:cstheme="minorHAnsi"/>
          <w:bCs/>
          <w:sz w:val="22"/>
          <w:szCs w:val="22"/>
        </w:rPr>
      </w:pPr>
      <w:r>
        <w:rPr>
          <w:rFonts w:asciiTheme="minorHAnsi" w:hAnsiTheme="minorHAnsi" w:cstheme="minorHAnsi"/>
          <w:bCs/>
          <w:noProof/>
          <w:sz w:val="22"/>
          <w:szCs w:val="22"/>
        </w:rPr>
        <w:drawing>
          <wp:inline distT="0" distB="0" distL="0" distR="0" wp14:anchorId="47DC9818" wp14:editId="7B8F2053">
            <wp:extent cx="7158593" cy="5207058"/>
            <wp:effectExtent l="0" t="0" r="4445" b="0"/>
            <wp:docPr id="88832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69558" cy="5215034"/>
                    </a:xfrm>
                    <a:prstGeom prst="rect">
                      <a:avLst/>
                    </a:prstGeom>
                    <a:noFill/>
                    <a:ln>
                      <a:noFill/>
                    </a:ln>
                  </pic:spPr>
                </pic:pic>
              </a:graphicData>
            </a:graphic>
          </wp:inline>
        </w:drawing>
      </w:r>
    </w:p>
    <w:p w14:paraId="28B03CDB" w14:textId="6F2889C2" w:rsidR="00A41203" w:rsidRDefault="00FD2B87" w:rsidP="00A41203">
      <w:pPr>
        <w:spacing w:after="160" w:line="259" w:lineRule="auto"/>
        <w:ind w:firstLine="0"/>
        <w:rPr>
          <w:rFonts w:asciiTheme="minorHAnsi" w:hAnsiTheme="minorHAnsi" w:cstheme="minorHAnsi"/>
          <w:bCs/>
          <w:sz w:val="22"/>
          <w:szCs w:val="22"/>
        </w:rPr>
      </w:pPr>
      <w:r w:rsidRPr="004C7AC3">
        <w:rPr>
          <w:rFonts w:asciiTheme="minorHAnsi" w:hAnsiTheme="minorHAnsi" w:cstheme="minorHAnsi"/>
          <w:i/>
          <w:iCs/>
          <w:sz w:val="20"/>
        </w:rPr>
        <w:t>Note.</w:t>
      </w:r>
      <w:r w:rsidRPr="004C7AC3">
        <w:rPr>
          <w:rFonts w:asciiTheme="minorHAnsi" w:hAnsiTheme="minorHAnsi" w:cstheme="minorHAnsi"/>
          <w:sz w:val="20"/>
        </w:rPr>
        <w:t xml:space="preserve"> </w:t>
      </w:r>
      <w:r>
        <w:rPr>
          <w:rFonts w:asciiTheme="minorHAnsi" w:hAnsiTheme="minorHAnsi" w:cstheme="minorHAnsi"/>
          <w:sz w:val="20"/>
        </w:rPr>
        <w:t xml:space="preserve">Gray means that either there were no studies that included </w:t>
      </w:r>
      <w:r w:rsidR="00C73383">
        <w:rPr>
          <w:rFonts w:asciiTheme="minorHAnsi" w:hAnsiTheme="minorHAnsi" w:cstheme="minorHAnsi"/>
          <w:sz w:val="20"/>
        </w:rPr>
        <w:t xml:space="preserve">at least one urban site in the </w:t>
      </w:r>
      <w:proofErr w:type="gramStart"/>
      <w:r w:rsidR="00C73383">
        <w:rPr>
          <w:rFonts w:asciiTheme="minorHAnsi" w:hAnsiTheme="minorHAnsi" w:cstheme="minorHAnsi"/>
          <w:sz w:val="20"/>
        </w:rPr>
        <w:t>state</w:t>
      </w:r>
      <w:proofErr w:type="gramEnd"/>
      <w:r w:rsidR="00C73383">
        <w:rPr>
          <w:rFonts w:asciiTheme="minorHAnsi" w:hAnsiTheme="minorHAnsi" w:cstheme="minorHAnsi"/>
          <w:sz w:val="20"/>
        </w:rPr>
        <w:t xml:space="preserve"> or the </w:t>
      </w:r>
      <w:r w:rsidR="00F34C52">
        <w:rPr>
          <w:rFonts w:asciiTheme="minorHAnsi" w:hAnsiTheme="minorHAnsi" w:cstheme="minorHAnsi"/>
          <w:sz w:val="20"/>
        </w:rPr>
        <w:t>sample demographic information was</w:t>
      </w:r>
      <w:r w:rsidR="00C73383">
        <w:rPr>
          <w:rFonts w:asciiTheme="minorHAnsi" w:hAnsiTheme="minorHAnsi" w:cstheme="minorHAnsi"/>
          <w:sz w:val="20"/>
        </w:rPr>
        <w:t xml:space="preserve"> missing</w:t>
      </w:r>
      <w:r w:rsidR="00F8589C">
        <w:rPr>
          <w:rFonts w:asciiTheme="minorHAnsi" w:hAnsiTheme="minorHAnsi" w:cstheme="minorHAnsi"/>
          <w:sz w:val="20"/>
        </w:rPr>
        <w:t xml:space="preserve"> for the studies that included at least one urban site</w:t>
      </w:r>
      <w:r w:rsidR="00C73383">
        <w:rPr>
          <w:rFonts w:asciiTheme="minorHAnsi" w:hAnsiTheme="minorHAnsi" w:cstheme="minorHAnsi"/>
          <w:sz w:val="20"/>
        </w:rPr>
        <w:t xml:space="preserve">. </w:t>
      </w:r>
      <w:r w:rsidR="00F34C52">
        <w:rPr>
          <w:rFonts w:asciiTheme="minorHAnsi" w:hAnsiTheme="minorHAnsi" w:cstheme="minorHAnsi"/>
          <w:sz w:val="20"/>
        </w:rPr>
        <w:t xml:space="preserve">This graph includes only studies in PK–12. </w:t>
      </w:r>
    </w:p>
    <w:p w14:paraId="4D36C54E" w14:textId="2459A61B" w:rsidR="00A41203" w:rsidRPr="00A41203" w:rsidRDefault="00A41203" w:rsidP="00A41203">
      <w:pPr>
        <w:spacing w:after="160" w:line="259" w:lineRule="auto"/>
        <w:ind w:firstLine="0"/>
        <w:rPr>
          <w:rFonts w:asciiTheme="minorHAnsi" w:hAnsiTheme="minorHAnsi" w:cstheme="minorHAnsi"/>
          <w:bCs/>
          <w:sz w:val="22"/>
          <w:szCs w:val="22"/>
        </w:rPr>
        <w:sectPr w:rsidR="00A41203" w:rsidRPr="00A41203" w:rsidSect="00A24F9F">
          <w:headerReference w:type="default" r:id="rId18"/>
          <w:pgSz w:w="15840" w:h="12240" w:orient="landscape"/>
          <w:pgMar w:top="1440" w:right="1440" w:bottom="1440" w:left="1440" w:header="720" w:footer="720" w:gutter="0"/>
          <w:cols w:space="720"/>
          <w:docGrid w:linePitch="360"/>
        </w:sectPr>
      </w:pPr>
    </w:p>
    <w:p w14:paraId="6F419CA4" w14:textId="2F777D1B" w:rsidR="006831BF" w:rsidRDefault="00F10C26" w:rsidP="00155E2E">
      <w:pPr>
        <w:pStyle w:val="22dRELlevel2headingappendix"/>
        <w:spacing w:before="0" w:after="160" w:line="259" w:lineRule="auto"/>
      </w:pPr>
      <w:r w:rsidRPr="00AB6902">
        <w:lastRenderedPageBreak/>
        <w:t xml:space="preserve">Part </w:t>
      </w:r>
      <w:r>
        <w:t>E</w:t>
      </w:r>
      <w:r w:rsidRPr="00AB6902">
        <w:t xml:space="preserve">: </w:t>
      </w:r>
      <w:r>
        <w:t>Additional References</w:t>
      </w:r>
    </w:p>
    <w:p w14:paraId="3F8064E6" w14:textId="77777777" w:rsidR="006831BF" w:rsidRPr="00155E2E" w:rsidRDefault="006831BF" w:rsidP="006831BF">
      <w:pPr>
        <w:spacing w:line="240" w:lineRule="auto"/>
        <w:ind w:left="360" w:hanging="360"/>
        <w:rPr>
          <w:rFonts w:asciiTheme="minorHAnsi" w:hAnsiTheme="minorHAnsi" w:cstheme="minorHAnsi"/>
          <w:color w:val="222222"/>
          <w:sz w:val="22"/>
          <w:szCs w:val="22"/>
          <w:shd w:val="clear" w:color="auto" w:fill="FFFFFF"/>
        </w:rPr>
      </w:pPr>
      <w:r w:rsidRPr="00155E2E">
        <w:rPr>
          <w:rFonts w:asciiTheme="minorHAnsi" w:hAnsiTheme="minorHAnsi" w:cstheme="minorHAnsi"/>
          <w:color w:val="222222"/>
          <w:sz w:val="22"/>
          <w:szCs w:val="22"/>
          <w:shd w:val="clear" w:color="auto" w:fill="FFFFFF"/>
        </w:rPr>
        <w:t xml:space="preserve">What Works Clearinghouse. (2011). </w:t>
      </w:r>
      <w:r w:rsidRPr="00155E2E">
        <w:rPr>
          <w:rFonts w:asciiTheme="minorHAnsi" w:hAnsiTheme="minorHAnsi" w:cstheme="minorHAnsi"/>
          <w:i/>
          <w:iCs/>
          <w:color w:val="222222"/>
          <w:sz w:val="22"/>
          <w:szCs w:val="22"/>
          <w:shd w:val="clear" w:color="auto" w:fill="FFFFFF"/>
        </w:rPr>
        <w:t xml:space="preserve">Procedures and standards handbook (version 2.1). </w:t>
      </w:r>
      <w:r w:rsidRPr="00155E2E">
        <w:rPr>
          <w:rFonts w:asciiTheme="minorHAnsi" w:hAnsiTheme="minorHAnsi" w:cstheme="minorHAnsi"/>
          <w:color w:val="222222"/>
          <w:sz w:val="22"/>
          <w:szCs w:val="22"/>
          <w:shd w:val="clear" w:color="auto" w:fill="FFFFFF"/>
        </w:rPr>
        <w:t>What Works Clearinghouse, Institute of Education Sciences. U.S. Department of Education</w:t>
      </w:r>
      <w:r w:rsidRPr="00155E2E">
        <w:rPr>
          <w:sz w:val="22"/>
          <w:szCs w:val="22"/>
        </w:rPr>
        <w:t xml:space="preserve">. </w:t>
      </w:r>
      <w:hyperlink r:id="rId19" w:history="1">
        <w:r w:rsidRPr="00155E2E">
          <w:rPr>
            <w:rStyle w:val="Hyperlink"/>
            <w:rFonts w:asciiTheme="minorHAnsi" w:eastAsiaTheme="majorEastAsia" w:hAnsiTheme="minorHAnsi" w:cstheme="minorHAnsi"/>
            <w:sz w:val="22"/>
            <w:szCs w:val="22"/>
            <w:shd w:val="clear" w:color="auto" w:fill="FFFFFF"/>
          </w:rPr>
          <w:t>https://ies.ed.gov/ncee/wwc/Docs/referenceresources/wwc_procedures_v2_1_standards_handbook.pdf</w:t>
        </w:r>
      </w:hyperlink>
      <w:r w:rsidRPr="00155E2E">
        <w:rPr>
          <w:rFonts w:asciiTheme="minorHAnsi" w:hAnsiTheme="minorHAnsi" w:cstheme="minorHAnsi"/>
          <w:color w:val="222222"/>
          <w:sz w:val="22"/>
          <w:szCs w:val="22"/>
          <w:shd w:val="clear" w:color="auto" w:fill="FFFFFF"/>
        </w:rPr>
        <w:t xml:space="preserve"> </w:t>
      </w:r>
    </w:p>
    <w:p w14:paraId="60F7B694" w14:textId="77777777" w:rsidR="006831BF" w:rsidRPr="00155E2E" w:rsidRDefault="006831BF" w:rsidP="006831BF">
      <w:pPr>
        <w:spacing w:line="240" w:lineRule="auto"/>
        <w:ind w:left="360" w:hanging="360"/>
        <w:rPr>
          <w:rFonts w:asciiTheme="minorHAnsi" w:hAnsiTheme="minorHAnsi" w:cstheme="minorHAnsi"/>
          <w:color w:val="222222"/>
          <w:sz w:val="22"/>
          <w:szCs w:val="22"/>
          <w:shd w:val="clear" w:color="auto" w:fill="FFFFFF"/>
        </w:rPr>
      </w:pPr>
    </w:p>
    <w:p w14:paraId="422D7E71" w14:textId="4D1CB279" w:rsidR="006831BF" w:rsidRPr="00155E2E" w:rsidRDefault="006831BF" w:rsidP="00155E2E">
      <w:pPr>
        <w:spacing w:line="240" w:lineRule="auto"/>
        <w:ind w:left="360" w:hanging="360"/>
        <w:rPr>
          <w:rFonts w:cstheme="minorHAnsi"/>
          <w:color w:val="222222"/>
          <w:sz w:val="22"/>
          <w:szCs w:val="22"/>
          <w:shd w:val="clear" w:color="auto" w:fill="FFFFFF"/>
        </w:rPr>
      </w:pPr>
      <w:r w:rsidRPr="00155E2E">
        <w:rPr>
          <w:rFonts w:asciiTheme="minorHAnsi" w:hAnsiTheme="minorHAnsi" w:cstheme="minorHAnsi"/>
          <w:color w:val="222222"/>
          <w:sz w:val="22"/>
          <w:szCs w:val="22"/>
          <w:shd w:val="clear" w:color="auto" w:fill="FFFFFF"/>
        </w:rPr>
        <w:t xml:space="preserve">What Works Clearinghouse. (2008). </w:t>
      </w:r>
      <w:r w:rsidRPr="00155E2E">
        <w:rPr>
          <w:rFonts w:asciiTheme="minorHAnsi" w:hAnsiTheme="minorHAnsi" w:cstheme="minorHAnsi"/>
          <w:i/>
          <w:iCs/>
          <w:color w:val="222222"/>
          <w:sz w:val="22"/>
          <w:szCs w:val="22"/>
          <w:shd w:val="clear" w:color="auto" w:fill="FFFFFF"/>
        </w:rPr>
        <w:t xml:space="preserve">Procedures and standards handbook (version 2.0). </w:t>
      </w:r>
      <w:r w:rsidRPr="00155E2E">
        <w:rPr>
          <w:rFonts w:asciiTheme="minorHAnsi" w:hAnsiTheme="minorHAnsi" w:cstheme="minorHAnsi"/>
          <w:color w:val="222222"/>
          <w:sz w:val="22"/>
          <w:szCs w:val="22"/>
          <w:shd w:val="clear" w:color="auto" w:fill="FFFFFF"/>
        </w:rPr>
        <w:t>What Works Clearinghouse, Institute of Education Sciences. U.S. Department of Education</w:t>
      </w:r>
      <w:r w:rsidRPr="00155E2E">
        <w:rPr>
          <w:sz w:val="22"/>
          <w:szCs w:val="22"/>
        </w:rPr>
        <w:t xml:space="preserve">. </w:t>
      </w:r>
      <w:hyperlink r:id="rId20" w:history="1">
        <w:r w:rsidRPr="00155E2E">
          <w:rPr>
            <w:rStyle w:val="Hyperlink"/>
            <w:rFonts w:asciiTheme="minorHAnsi" w:eastAsiaTheme="majorEastAsia" w:hAnsiTheme="minorHAnsi" w:cstheme="minorHAnsi"/>
            <w:sz w:val="22"/>
            <w:szCs w:val="22"/>
            <w:shd w:val="clear" w:color="auto" w:fill="FFFFFF"/>
          </w:rPr>
          <w:t>https://ies.ed.gov/ncee/wwc/Docs/referenceresources/wwc_procedures_v2_standards_handbook.pdf</w:t>
        </w:r>
      </w:hyperlink>
    </w:p>
    <w:p w14:paraId="643376CB" w14:textId="77777777" w:rsidR="00F625EC" w:rsidRPr="00155E2E" w:rsidRDefault="00F625EC" w:rsidP="00155E2E">
      <w:pPr>
        <w:pStyle w:val="22dRELlevel2headingappendix"/>
        <w:rPr>
          <w:b w:val="0"/>
          <w:szCs w:val="20"/>
        </w:rPr>
      </w:pPr>
    </w:p>
    <w:sectPr w:rsidR="00F625EC" w:rsidRPr="00155E2E" w:rsidSect="00155E2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64C8D" w14:textId="77777777" w:rsidR="00F00AAE" w:rsidRDefault="00F00AAE" w:rsidP="00457B72">
      <w:pPr>
        <w:spacing w:line="240" w:lineRule="auto"/>
      </w:pPr>
      <w:r>
        <w:separator/>
      </w:r>
    </w:p>
  </w:endnote>
  <w:endnote w:type="continuationSeparator" w:id="0">
    <w:p w14:paraId="01768BB5" w14:textId="77777777" w:rsidR="00F00AAE" w:rsidRDefault="00F00AAE" w:rsidP="00457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28F34" w14:textId="77777777" w:rsidR="00F00AAE" w:rsidRDefault="00F00AAE" w:rsidP="00457B72">
      <w:pPr>
        <w:spacing w:line="240" w:lineRule="auto"/>
      </w:pPr>
      <w:r>
        <w:separator/>
      </w:r>
    </w:p>
  </w:footnote>
  <w:footnote w:type="continuationSeparator" w:id="0">
    <w:p w14:paraId="112AFA4C" w14:textId="77777777" w:rsidR="00F00AAE" w:rsidRDefault="00F00AAE" w:rsidP="00457B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AEEC9" w14:textId="608857C8" w:rsidR="00457B72" w:rsidRPr="00903130" w:rsidRDefault="00ED71D3" w:rsidP="00457B72">
    <w:pPr>
      <w:pStyle w:val="Header"/>
      <w:ind w:firstLine="0"/>
      <w:rPr>
        <w:rFonts w:asciiTheme="minorHAnsi" w:hAnsiTheme="minorHAnsi" w:cstheme="minorHAnsi"/>
        <w:sz w:val="22"/>
        <w:szCs w:val="22"/>
      </w:rPr>
    </w:pPr>
    <w:r>
      <w:rPr>
        <w:rFonts w:asciiTheme="minorHAnsi" w:hAnsiTheme="minorHAnsi" w:cstheme="minorHAnsi"/>
        <w:sz w:val="22"/>
        <w:szCs w:val="22"/>
      </w:rPr>
      <w:t>ONLINE TECHNICAL APPENDIX</w:t>
    </w:r>
    <w:r w:rsidR="00903130" w:rsidRPr="00903130">
      <w:rPr>
        <w:rFonts w:asciiTheme="minorHAnsi" w:hAnsiTheme="minorHAnsi" w:cstheme="minorHAnsi"/>
        <w:sz w:val="22"/>
        <w:szCs w:val="22"/>
      </w:rPr>
      <w:tab/>
    </w:r>
    <w:r w:rsidR="00354D31">
      <w:rPr>
        <w:rFonts w:asciiTheme="minorHAnsi" w:hAnsiTheme="minorHAnsi" w:cstheme="minorHAnsi"/>
        <w:sz w:val="22"/>
        <w:szCs w:val="22"/>
      </w:rPr>
      <w:tab/>
    </w:r>
    <w:r w:rsidR="00CC10E9">
      <w:rPr>
        <w:rFonts w:asciiTheme="minorHAnsi" w:hAnsiTheme="minorHAnsi" w:cstheme="minorHAnsi"/>
        <w:sz w:val="22"/>
        <w:szCs w:val="22"/>
      </w:rPr>
      <w:t>A</w:t>
    </w:r>
    <w:r w:rsidR="00903130" w:rsidRPr="00903130">
      <w:rPr>
        <w:rFonts w:asciiTheme="minorHAnsi" w:hAnsiTheme="minorHAnsi" w:cstheme="minorHAnsi"/>
        <w:sz w:val="22"/>
        <w:szCs w:val="22"/>
      </w:rPr>
      <w:fldChar w:fldCharType="begin"/>
    </w:r>
    <w:r w:rsidR="00903130" w:rsidRPr="00903130">
      <w:rPr>
        <w:rFonts w:asciiTheme="minorHAnsi" w:hAnsiTheme="minorHAnsi" w:cstheme="minorHAnsi"/>
        <w:sz w:val="22"/>
        <w:szCs w:val="22"/>
      </w:rPr>
      <w:instrText xml:space="preserve"> PAGE   \* MERGEFORMAT </w:instrText>
    </w:r>
    <w:r w:rsidR="00903130" w:rsidRPr="00903130">
      <w:rPr>
        <w:rFonts w:asciiTheme="minorHAnsi" w:hAnsiTheme="minorHAnsi" w:cstheme="minorHAnsi"/>
        <w:sz w:val="22"/>
        <w:szCs w:val="22"/>
      </w:rPr>
      <w:fldChar w:fldCharType="separate"/>
    </w:r>
    <w:r w:rsidR="00903130" w:rsidRPr="00903130">
      <w:rPr>
        <w:rFonts w:asciiTheme="minorHAnsi" w:hAnsiTheme="minorHAnsi" w:cstheme="minorHAnsi"/>
        <w:noProof/>
        <w:sz w:val="22"/>
        <w:szCs w:val="22"/>
      </w:rPr>
      <w:t>1</w:t>
    </w:r>
    <w:r w:rsidR="00903130" w:rsidRPr="00903130">
      <w:rPr>
        <w:rFonts w:asciiTheme="minorHAnsi" w:hAnsiTheme="minorHAnsi" w:cstheme="minorHAnsi"/>
        <w:noProof/>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A6AC" w14:textId="0FD41AC0" w:rsidR="00CE3883" w:rsidRPr="00903130" w:rsidRDefault="00C94974" w:rsidP="00457B72">
    <w:pPr>
      <w:pStyle w:val="Header"/>
      <w:ind w:firstLine="0"/>
      <w:rPr>
        <w:rFonts w:asciiTheme="minorHAnsi" w:hAnsiTheme="minorHAnsi" w:cstheme="minorHAnsi"/>
        <w:sz w:val="22"/>
        <w:szCs w:val="22"/>
      </w:rPr>
    </w:pPr>
    <w:r>
      <w:rPr>
        <w:rFonts w:asciiTheme="minorHAnsi" w:hAnsiTheme="minorHAnsi" w:cstheme="minorHAnsi"/>
        <w:sz w:val="22"/>
        <w:szCs w:val="22"/>
      </w:rPr>
      <w:t>ONLINE TECHNICAL APPENDIX</w:t>
    </w:r>
    <w:r w:rsidR="00CE3883" w:rsidRPr="00903130">
      <w:rPr>
        <w:rFonts w:asciiTheme="minorHAnsi" w:hAnsiTheme="minorHAnsi" w:cstheme="minorHAnsi"/>
        <w:sz w:val="22"/>
        <w:szCs w:val="22"/>
      </w:rPr>
      <w:tab/>
    </w:r>
    <w:r w:rsidR="00CE3883">
      <w:rPr>
        <w:rFonts w:asciiTheme="minorHAnsi" w:hAnsiTheme="minorHAnsi" w:cstheme="minorHAnsi"/>
        <w:sz w:val="22"/>
        <w:szCs w:val="22"/>
      </w:rPr>
      <w:tab/>
    </w:r>
    <w:r w:rsidR="00CE3883">
      <w:rPr>
        <w:rFonts w:asciiTheme="minorHAnsi" w:hAnsiTheme="minorHAnsi" w:cstheme="minorHAnsi"/>
        <w:sz w:val="22"/>
        <w:szCs w:val="22"/>
      </w:rPr>
      <w:tab/>
    </w:r>
    <w:r>
      <w:rPr>
        <w:rFonts w:asciiTheme="minorHAnsi" w:hAnsiTheme="minorHAnsi" w:cstheme="minorHAnsi"/>
        <w:sz w:val="22"/>
        <w:szCs w:val="22"/>
      </w:rPr>
      <w:tab/>
    </w:r>
    <w:r w:rsidR="00DF51B3">
      <w:rPr>
        <w:rFonts w:asciiTheme="minorHAnsi" w:hAnsiTheme="minorHAnsi" w:cstheme="minorHAnsi"/>
        <w:sz w:val="22"/>
        <w:szCs w:val="22"/>
      </w:rPr>
      <w:tab/>
    </w:r>
    <w:r w:rsidR="00A91032">
      <w:rPr>
        <w:rFonts w:asciiTheme="minorHAnsi" w:hAnsiTheme="minorHAnsi" w:cstheme="minorHAnsi"/>
        <w:sz w:val="22"/>
        <w:szCs w:val="22"/>
      </w:rPr>
      <w:t>A</w:t>
    </w:r>
    <w:r w:rsidR="00CE3883" w:rsidRPr="00903130">
      <w:rPr>
        <w:rFonts w:asciiTheme="minorHAnsi" w:hAnsiTheme="minorHAnsi" w:cstheme="minorHAnsi"/>
        <w:sz w:val="22"/>
        <w:szCs w:val="22"/>
      </w:rPr>
      <w:fldChar w:fldCharType="begin"/>
    </w:r>
    <w:r w:rsidR="00CE3883" w:rsidRPr="00903130">
      <w:rPr>
        <w:rFonts w:asciiTheme="minorHAnsi" w:hAnsiTheme="minorHAnsi" w:cstheme="minorHAnsi"/>
        <w:sz w:val="22"/>
        <w:szCs w:val="22"/>
      </w:rPr>
      <w:instrText xml:space="preserve"> PAGE   \* MERGEFORMAT </w:instrText>
    </w:r>
    <w:r w:rsidR="00CE3883" w:rsidRPr="00903130">
      <w:rPr>
        <w:rFonts w:asciiTheme="minorHAnsi" w:hAnsiTheme="minorHAnsi" w:cstheme="minorHAnsi"/>
        <w:sz w:val="22"/>
        <w:szCs w:val="22"/>
      </w:rPr>
      <w:fldChar w:fldCharType="separate"/>
    </w:r>
    <w:r w:rsidR="00CE3883" w:rsidRPr="00903130">
      <w:rPr>
        <w:rFonts w:asciiTheme="minorHAnsi" w:hAnsiTheme="minorHAnsi" w:cstheme="minorHAnsi"/>
        <w:noProof/>
        <w:sz w:val="22"/>
        <w:szCs w:val="22"/>
      </w:rPr>
      <w:t>1</w:t>
    </w:r>
    <w:r w:rsidR="00CE3883" w:rsidRPr="00903130">
      <w:rPr>
        <w:rFonts w:asciiTheme="minorHAnsi" w:hAnsiTheme="minorHAnsi" w:cstheme="minorHAnsi"/>
        <w:noProof/>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7D5C0" w14:textId="0D55308C" w:rsidR="00F10C26" w:rsidRPr="00903130" w:rsidRDefault="00C94974" w:rsidP="00457B72">
    <w:pPr>
      <w:pStyle w:val="Header"/>
      <w:ind w:firstLine="0"/>
      <w:rPr>
        <w:rFonts w:asciiTheme="minorHAnsi" w:hAnsiTheme="minorHAnsi" w:cstheme="minorHAnsi"/>
        <w:sz w:val="22"/>
        <w:szCs w:val="22"/>
      </w:rPr>
    </w:pPr>
    <w:r>
      <w:rPr>
        <w:rFonts w:asciiTheme="minorHAnsi" w:hAnsiTheme="minorHAnsi" w:cstheme="minorHAnsi"/>
        <w:sz w:val="22"/>
        <w:szCs w:val="22"/>
      </w:rPr>
      <w:t>ONLINE TECHNICAL APPENDIX</w:t>
    </w:r>
    <w:r w:rsidR="00F10C26" w:rsidRPr="00903130">
      <w:rPr>
        <w:rFonts w:asciiTheme="minorHAnsi" w:hAnsiTheme="minorHAnsi" w:cstheme="minorHAnsi"/>
        <w:sz w:val="22"/>
        <w:szCs w:val="22"/>
      </w:rPr>
      <w:tab/>
    </w:r>
    <w:r w:rsidR="00DE244C">
      <w:rPr>
        <w:rFonts w:asciiTheme="minorHAnsi" w:hAnsiTheme="minorHAnsi" w:cstheme="minorHAnsi"/>
        <w:sz w:val="22"/>
        <w:szCs w:val="22"/>
      </w:rPr>
      <w:tab/>
    </w:r>
    <w:r w:rsidR="00A91032">
      <w:rPr>
        <w:rFonts w:asciiTheme="minorHAnsi" w:hAnsiTheme="minorHAnsi" w:cstheme="minorHAnsi"/>
        <w:sz w:val="22"/>
        <w:szCs w:val="22"/>
      </w:rPr>
      <w:t>A</w:t>
    </w:r>
    <w:r w:rsidR="00F10C26" w:rsidRPr="00903130">
      <w:rPr>
        <w:rFonts w:asciiTheme="minorHAnsi" w:hAnsiTheme="minorHAnsi" w:cstheme="minorHAnsi"/>
        <w:sz w:val="22"/>
        <w:szCs w:val="22"/>
      </w:rPr>
      <w:fldChar w:fldCharType="begin"/>
    </w:r>
    <w:r w:rsidR="00F10C26" w:rsidRPr="00903130">
      <w:rPr>
        <w:rFonts w:asciiTheme="minorHAnsi" w:hAnsiTheme="minorHAnsi" w:cstheme="minorHAnsi"/>
        <w:sz w:val="22"/>
        <w:szCs w:val="22"/>
      </w:rPr>
      <w:instrText xml:space="preserve"> PAGE   \* MERGEFORMAT </w:instrText>
    </w:r>
    <w:r w:rsidR="00F10C26" w:rsidRPr="00903130">
      <w:rPr>
        <w:rFonts w:asciiTheme="minorHAnsi" w:hAnsiTheme="minorHAnsi" w:cstheme="minorHAnsi"/>
        <w:sz w:val="22"/>
        <w:szCs w:val="22"/>
      </w:rPr>
      <w:fldChar w:fldCharType="separate"/>
    </w:r>
    <w:r w:rsidR="00F10C26" w:rsidRPr="00903130">
      <w:rPr>
        <w:rFonts w:asciiTheme="minorHAnsi" w:hAnsiTheme="minorHAnsi" w:cstheme="minorHAnsi"/>
        <w:noProof/>
        <w:sz w:val="22"/>
        <w:szCs w:val="22"/>
      </w:rPr>
      <w:t>1</w:t>
    </w:r>
    <w:r w:rsidR="00F10C26" w:rsidRPr="00903130">
      <w:rPr>
        <w:rFonts w:asciiTheme="minorHAnsi" w:hAnsiTheme="minorHAnsi" w:cstheme="minorHAnsi"/>
        <w:noProof/>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7952"/>
    <w:multiLevelType w:val="hybridMultilevel"/>
    <w:tmpl w:val="3AD0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D76A3"/>
    <w:multiLevelType w:val="hybridMultilevel"/>
    <w:tmpl w:val="48E2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7438"/>
    <w:multiLevelType w:val="hybridMultilevel"/>
    <w:tmpl w:val="9474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B0D2E"/>
    <w:multiLevelType w:val="hybridMultilevel"/>
    <w:tmpl w:val="B79A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03734"/>
    <w:multiLevelType w:val="hybridMultilevel"/>
    <w:tmpl w:val="F656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B525C"/>
    <w:multiLevelType w:val="hybridMultilevel"/>
    <w:tmpl w:val="A384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B399F"/>
    <w:multiLevelType w:val="hybridMultilevel"/>
    <w:tmpl w:val="8464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022512"/>
    <w:multiLevelType w:val="hybridMultilevel"/>
    <w:tmpl w:val="9826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577568">
    <w:abstractNumId w:val="7"/>
  </w:num>
  <w:num w:numId="2" w16cid:durableId="147868402">
    <w:abstractNumId w:val="3"/>
  </w:num>
  <w:num w:numId="3" w16cid:durableId="1908803993">
    <w:abstractNumId w:val="4"/>
  </w:num>
  <w:num w:numId="4" w16cid:durableId="1713722877">
    <w:abstractNumId w:val="0"/>
  </w:num>
  <w:num w:numId="5" w16cid:durableId="197162977">
    <w:abstractNumId w:val="5"/>
  </w:num>
  <w:num w:numId="6" w16cid:durableId="1197156915">
    <w:abstractNumId w:val="6"/>
  </w:num>
  <w:num w:numId="7" w16cid:durableId="754522013">
    <w:abstractNumId w:val="1"/>
  </w:num>
  <w:num w:numId="8" w16cid:durableId="108667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02"/>
    <w:rsid w:val="000041E5"/>
    <w:rsid w:val="00012420"/>
    <w:rsid w:val="000149C4"/>
    <w:rsid w:val="0001563B"/>
    <w:rsid w:val="00015F10"/>
    <w:rsid w:val="00027E7A"/>
    <w:rsid w:val="0003650A"/>
    <w:rsid w:val="00045DB6"/>
    <w:rsid w:val="00050599"/>
    <w:rsid w:val="000525CD"/>
    <w:rsid w:val="00052B9F"/>
    <w:rsid w:val="00062B83"/>
    <w:rsid w:val="00064A8D"/>
    <w:rsid w:val="0008386C"/>
    <w:rsid w:val="000A3B8B"/>
    <w:rsid w:val="000B1139"/>
    <w:rsid w:val="000D0EFB"/>
    <w:rsid w:val="000F48FF"/>
    <w:rsid w:val="000F6236"/>
    <w:rsid w:val="00102C56"/>
    <w:rsid w:val="00121CD7"/>
    <w:rsid w:val="00125E41"/>
    <w:rsid w:val="0014047B"/>
    <w:rsid w:val="00155E2E"/>
    <w:rsid w:val="0016096D"/>
    <w:rsid w:val="00160DA2"/>
    <w:rsid w:val="0016242A"/>
    <w:rsid w:val="00165E4D"/>
    <w:rsid w:val="0017089F"/>
    <w:rsid w:val="0017351E"/>
    <w:rsid w:val="00176E54"/>
    <w:rsid w:val="00182F07"/>
    <w:rsid w:val="001A43A2"/>
    <w:rsid w:val="001B0867"/>
    <w:rsid w:val="001C37FF"/>
    <w:rsid w:val="001D099E"/>
    <w:rsid w:val="001D2F73"/>
    <w:rsid w:val="001D6B9C"/>
    <w:rsid w:val="001E100D"/>
    <w:rsid w:val="001E5F2D"/>
    <w:rsid w:val="00213205"/>
    <w:rsid w:val="002145E6"/>
    <w:rsid w:val="002216C6"/>
    <w:rsid w:val="00221BE4"/>
    <w:rsid w:val="00244AB5"/>
    <w:rsid w:val="00260022"/>
    <w:rsid w:val="00271AA5"/>
    <w:rsid w:val="0027355B"/>
    <w:rsid w:val="00286369"/>
    <w:rsid w:val="002909E6"/>
    <w:rsid w:val="002B0235"/>
    <w:rsid w:val="002B08CF"/>
    <w:rsid w:val="002B5167"/>
    <w:rsid w:val="002D5D0E"/>
    <w:rsid w:val="002D7410"/>
    <w:rsid w:val="002F2B84"/>
    <w:rsid w:val="002F5A7F"/>
    <w:rsid w:val="002F5CBE"/>
    <w:rsid w:val="00310BBC"/>
    <w:rsid w:val="00332A14"/>
    <w:rsid w:val="00344FEA"/>
    <w:rsid w:val="00354D31"/>
    <w:rsid w:val="00361189"/>
    <w:rsid w:val="00383B07"/>
    <w:rsid w:val="00395656"/>
    <w:rsid w:val="003B0438"/>
    <w:rsid w:val="003B7F06"/>
    <w:rsid w:val="003E455E"/>
    <w:rsid w:val="00411494"/>
    <w:rsid w:val="00411797"/>
    <w:rsid w:val="00416B51"/>
    <w:rsid w:val="004176DC"/>
    <w:rsid w:val="0042103B"/>
    <w:rsid w:val="00433DA1"/>
    <w:rsid w:val="0044006F"/>
    <w:rsid w:val="00441282"/>
    <w:rsid w:val="00457B72"/>
    <w:rsid w:val="00465873"/>
    <w:rsid w:val="00466A19"/>
    <w:rsid w:val="004725B4"/>
    <w:rsid w:val="00482863"/>
    <w:rsid w:val="0048671D"/>
    <w:rsid w:val="00491AAB"/>
    <w:rsid w:val="004A3E47"/>
    <w:rsid w:val="004B1E04"/>
    <w:rsid w:val="004B7027"/>
    <w:rsid w:val="004B78C8"/>
    <w:rsid w:val="004E390E"/>
    <w:rsid w:val="004E769E"/>
    <w:rsid w:val="004E7C81"/>
    <w:rsid w:val="004F038D"/>
    <w:rsid w:val="004F200B"/>
    <w:rsid w:val="00504F94"/>
    <w:rsid w:val="005276CE"/>
    <w:rsid w:val="00527BDF"/>
    <w:rsid w:val="005310C3"/>
    <w:rsid w:val="0057296E"/>
    <w:rsid w:val="00586244"/>
    <w:rsid w:val="005A0031"/>
    <w:rsid w:val="005B44EC"/>
    <w:rsid w:val="005B7CE2"/>
    <w:rsid w:val="005B7F48"/>
    <w:rsid w:val="005C1912"/>
    <w:rsid w:val="005C4FFA"/>
    <w:rsid w:val="005E4FB5"/>
    <w:rsid w:val="005E79CD"/>
    <w:rsid w:val="005F6457"/>
    <w:rsid w:val="00613B5F"/>
    <w:rsid w:val="0062486A"/>
    <w:rsid w:val="0062563A"/>
    <w:rsid w:val="006348E3"/>
    <w:rsid w:val="00643501"/>
    <w:rsid w:val="00650061"/>
    <w:rsid w:val="00657CF1"/>
    <w:rsid w:val="00664E2A"/>
    <w:rsid w:val="00666AF5"/>
    <w:rsid w:val="006831BF"/>
    <w:rsid w:val="0068549F"/>
    <w:rsid w:val="006A6BE0"/>
    <w:rsid w:val="006B216B"/>
    <w:rsid w:val="006D68BD"/>
    <w:rsid w:val="006F521E"/>
    <w:rsid w:val="00704140"/>
    <w:rsid w:val="00712214"/>
    <w:rsid w:val="007146D6"/>
    <w:rsid w:val="007337DC"/>
    <w:rsid w:val="0074424A"/>
    <w:rsid w:val="007472E2"/>
    <w:rsid w:val="00747775"/>
    <w:rsid w:val="00747823"/>
    <w:rsid w:val="00756C6F"/>
    <w:rsid w:val="00770D04"/>
    <w:rsid w:val="0077707F"/>
    <w:rsid w:val="00787B63"/>
    <w:rsid w:val="00793825"/>
    <w:rsid w:val="007A04F9"/>
    <w:rsid w:val="007C0D11"/>
    <w:rsid w:val="007C1FF6"/>
    <w:rsid w:val="007E137E"/>
    <w:rsid w:val="007E4443"/>
    <w:rsid w:val="00806440"/>
    <w:rsid w:val="00811CAF"/>
    <w:rsid w:val="00820851"/>
    <w:rsid w:val="008238E7"/>
    <w:rsid w:val="008312B1"/>
    <w:rsid w:val="00846E58"/>
    <w:rsid w:val="00862901"/>
    <w:rsid w:val="008670E4"/>
    <w:rsid w:val="0087693A"/>
    <w:rsid w:val="008979EA"/>
    <w:rsid w:val="008A3AE6"/>
    <w:rsid w:val="008A6ED2"/>
    <w:rsid w:val="008B6651"/>
    <w:rsid w:val="008D2566"/>
    <w:rsid w:val="008E028A"/>
    <w:rsid w:val="008F2FF9"/>
    <w:rsid w:val="00903130"/>
    <w:rsid w:val="0090395B"/>
    <w:rsid w:val="00911AE4"/>
    <w:rsid w:val="009329F1"/>
    <w:rsid w:val="009424B4"/>
    <w:rsid w:val="009441A0"/>
    <w:rsid w:val="00953EF9"/>
    <w:rsid w:val="0095773E"/>
    <w:rsid w:val="00961463"/>
    <w:rsid w:val="009652D8"/>
    <w:rsid w:val="009B5B29"/>
    <w:rsid w:val="009C4742"/>
    <w:rsid w:val="009C596E"/>
    <w:rsid w:val="009D76E2"/>
    <w:rsid w:val="009E77B2"/>
    <w:rsid w:val="009F4821"/>
    <w:rsid w:val="00A17DA2"/>
    <w:rsid w:val="00A24F9F"/>
    <w:rsid w:val="00A36DF7"/>
    <w:rsid w:val="00A41203"/>
    <w:rsid w:val="00A42696"/>
    <w:rsid w:val="00A43365"/>
    <w:rsid w:val="00A464A2"/>
    <w:rsid w:val="00A502EE"/>
    <w:rsid w:val="00A576FA"/>
    <w:rsid w:val="00A64195"/>
    <w:rsid w:val="00A85597"/>
    <w:rsid w:val="00A91032"/>
    <w:rsid w:val="00AA4BC5"/>
    <w:rsid w:val="00AA5DE7"/>
    <w:rsid w:val="00AB6902"/>
    <w:rsid w:val="00AD7587"/>
    <w:rsid w:val="00B03703"/>
    <w:rsid w:val="00B05300"/>
    <w:rsid w:val="00B068DE"/>
    <w:rsid w:val="00B20064"/>
    <w:rsid w:val="00B31902"/>
    <w:rsid w:val="00B42BFD"/>
    <w:rsid w:val="00B56452"/>
    <w:rsid w:val="00B5712B"/>
    <w:rsid w:val="00B81367"/>
    <w:rsid w:val="00BB2E6F"/>
    <w:rsid w:val="00BC53C2"/>
    <w:rsid w:val="00BC7B76"/>
    <w:rsid w:val="00BD37F3"/>
    <w:rsid w:val="00BF5EC2"/>
    <w:rsid w:val="00C00F70"/>
    <w:rsid w:val="00C31303"/>
    <w:rsid w:val="00C31446"/>
    <w:rsid w:val="00C50641"/>
    <w:rsid w:val="00C5624E"/>
    <w:rsid w:val="00C61644"/>
    <w:rsid w:val="00C65E91"/>
    <w:rsid w:val="00C71845"/>
    <w:rsid w:val="00C73383"/>
    <w:rsid w:val="00C94974"/>
    <w:rsid w:val="00CA640C"/>
    <w:rsid w:val="00CC10E9"/>
    <w:rsid w:val="00CC25F6"/>
    <w:rsid w:val="00CC62DD"/>
    <w:rsid w:val="00CE3444"/>
    <w:rsid w:val="00CE386F"/>
    <w:rsid w:val="00CE3883"/>
    <w:rsid w:val="00CE714C"/>
    <w:rsid w:val="00CF0393"/>
    <w:rsid w:val="00D205D2"/>
    <w:rsid w:val="00D27ACE"/>
    <w:rsid w:val="00D354CC"/>
    <w:rsid w:val="00D371A4"/>
    <w:rsid w:val="00D435AA"/>
    <w:rsid w:val="00D436B6"/>
    <w:rsid w:val="00D45F0E"/>
    <w:rsid w:val="00D5133B"/>
    <w:rsid w:val="00D5272A"/>
    <w:rsid w:val="00D54ACD"/>
    <w:rsid w:val="00D55872"/>
    <w:rsid w:val="00D56D9F"/>
    <w:rsid w:val="00D639F5"/>
    <w:rsid w:val="00D87666"/>
    <w:rsid w:val="00D87A84"/>
    <w:rsid w:val="00DD52CF"/>
    <w:rsid w:val="00DD554F"/>
    <w:rsid w:val="00DE244C"/>
    <w:rsid w:val="00DF1FC0"/>
    <w:rsid w:val="00DF51B3"/>
    <w:rsid w:val="00E040CA"/>
    <w:rsid w:val="00E117E6"/>
    <w:rsid w:val="00E14113"/>
    <w:rsid w:val="00E26697"/>
    <w:rsid w:val="00E3100A"/>
    <w:rsid w:val="00E324D2"/>
    <w:rsid w:val="00E4048F"/>
    <w:rsid w:val="00E7206B"/>
    <w:rsid w:val="00E77430"/>
    <w:rsid w:val="00E81D05"/>
    <w:rsid w:val="00E82039"/>
    <w:rsid w:val="00ED71D3"/>
    <w:rsid w:val="00EE4C25"/>
    <w:rsid w:val="00EF219E"/>
    <w:rsid w:val="00F00AAE"/>
    <w:rsid w:val="00F00F3E"/>
    <w:rsid w:val="00F054FD"/>
    <w:rsid w:val="00F10C26"/>
    <w:rsid w:val="00F25BFB"/>
    <w:rsid w:val="00F27B50"/>
    <w:rsid w:val="00F31C99"/>
    <w:rsid w:val="00F34C52"/>
    <w:rsid w:val="00F35BD9"/>
    <w:rsid w:val="00F46FFB"/>
    <w:rsid w:val="00F53C3C"/>
    <w:rsid w:val="00F625EC"/>
    <w:rsid w:val="00F62E56"/>
    <w:rsid w:val="00F80FA4"/>
    <w:rsid w:val="00F8589C"/>
    <w:rsid w:val="00F8659B"/>
    <w:rsid w:val="00F86E98"/>
    <w:rsid w:val="00F86F43"/>
    <w:rsid w:val="00F903B0"/>
    <w:rsid w:val="00F976AA"/>
    <w:rsid w:val="00FA27FF"/>
    <w:rsid w:val="00FC5F93"/>
    <w:rsid w:val="00FD16BF"/>
    <w:rsid w:val="00FD2B87"/>
    <w:rsid w:val="00FD4343"/>
    <w:rsid w:val="00FD4F88"/>
    <w:rsid w:val="00FE65D0"/>
    <w:rsid w:val="00FE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635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902"/>
    <w:pPr>
      <w:spacing w:after="0" w:line="480" w:lineRule="auto"/>
      <w:ind w:firstLine="720"/>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AB69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9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9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B6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aRELlevel2heading15page">
    <w:name w:val="22a REL level 2 heading 15 page"/>
    <w:basedOn w:val="Normal"/>
    <w:qFormat/>
    <w:rsid w:val="00AB6902"/>
    <w:pPr>
      <w:keepNext/>
      <w:keepLines/>
      <w:suppressAutoHyphens/>
      <w:spacing w:before="240" w:after="60" w:line="240" w:lineRule="auto"/>
      <w:ind w:firstLine="0"/>
      <w:outlineLvl w:val="1"/>
    </w:pPr>
    <w:rPr>
      <w:rFonts w:asciiTheme="minorHAnsi" w:eastAsiaTheme="minorHAnsi" w:hAnsiTheme="minorHAnsi" w:cs="Arial"/>
      <w:b/>
      <w:i/>
      <w:noProof/>
      <w:color w:val="405D88"/>
      <w:szCs w:val="26"/>
    </w:rPr>
  </w:style>
  <w:style w:type="paragraph" w:customStyle="1" w:styleId="23aRELlevel3heading15page">
    <w:name w:val="23a REL level 3 heading 15 page"/>
    <w:link w:val="23aRELlevel3heading15pageChar"/>
    <w:qFormat/>
    <w:rsid w:val="00AB6902"/>
    <w:rPr>
      <w:rFonts w:ascii="Calibri" w:hAnsi="Calibri"/>
      <w:i/>
      <w:color w:val="405D88"/>
    </w:rPr>
  </w:style>
  <w:style w:type="character" w:styleId="Hyperlink">
    <w:name w:val="Hyperlink"/>
    <w:basedOn w:val="DefaultParagraphFont"/>
    <w:uiPriority w:val="99"/>
    <w:unhideWhenUsed/>
    <w:rsid w:val="00AB6902"/>
    <w:rPr>
      <w:color w:val="0563C1" w:themeColor="hyperlink"/>
      <w:u w:val="single"/>
    </w:rPr>
  </w:style>
  <w:style w:type="character" w:customStyle="1" w:styleId="23aRELlevel3heading15pageChar">
    <w:name w:val="23a REL level 3 heading 15 page Char"/>
    <w:basedOn w:val="DefaultParagraphFont"/>
    <w:link w:val="23aRELlevel3heading15page"/>
    <w:rsid w:val="00AB6902"/>
    <w:rPr>
      <w:rFonts w:ascii="Calibri" w:hAnsi="Calibri"/>
      <w:i/>
      <w:color w:val="405D88"/>
    </w:rPr>
  </w:style>
  <w:style w:type="paragraph" w:styleId="FootnoteText">
    <w:name w:val="footnote text"/>
    <w:basedOn w:val="Normal"/>
    <w:link w:val="FootnoteTextChar"/>
    <w:uiPriority w:val="99"/>
    <w:unhideWhenUsed/>
    <w:qFormat/>
    <w:rsid w:val="00AB6902"/>
    <w:pPr>
      <w:spacing w:line="240" w:lineRule="auto"/>
      <w:ind w:firstLine="0"/>
    </w:pPr>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rsid w:val="00AB6902"/>
    <w:rPr>
      <w:sz w:val="20"/>
      <w:szCs w:val="20"/>
    </w:rPr>
  </w:style>
  <w:style w:type="paragraph" w:styleId="ListParagraph">
    <w:name w:val="List Paragraph"/>
    <w:basedOn w:val="Normal"/>
    <w:uiPriority w:val="34"/>
    <w:qFormat/>
    <w:rsid w:val="00AB6902"/>
    <w:pPr>
      <w:spacing w:after="160" w:line="259" w:lineRule="auto"/>
      <w:ind w:left="720" w:firstLine="0"/>
      <w:contextualSpacing/>
    </w:pPr>
    <w:rPr>
      <w:rFonts w:asciiTheme="minorHAnsi" w:eastAsiaTheme="minorHAnsi" w:hAnsiTheme="minorHAnsi" w:cstheme="minorBidi"/>
      <w:sz w:val="22"/>
      <w:szCs w:val="22"/>
    </w:rPr>
  </w:style>
  <w:style w:type="paragraph" w:customStyle="1" w:styleId="22dRELlevel2headingappendix">
    <w:name w:val="22d REL level 2 heading appendix"/>
    <w:basedOn w:val="Normal"/>
    <w:qFormat/>
    <w:rsid w:val="00AB6902"/>
    <w:pPr>
      <w:keepNext/>
      <w:keepLines/>
      <w:suppressAutoHyphens/>
      <w:spacing w:before="240" w:after="60" w:line="240" w:lineRule="auto"/>
      <w:ind w:firstLine="0"/>
      <w:outlineLvl w:val="1"/>
    </w:pPr>
    <w:rPr>
      <w:rFonts w:asciiTheme="minorHAnsi" w:eastAsiaTheme="minorHAnsi" w:hAnsiTheme="minorHAnsi" w:cs="Arial"/>
      <w:b/>
      <w:i/>
      <w:noProof/>
      <w:color w:val="405D88"/>
      <w:szCs w:val="26"/>
    </w:rPr>
  </w:style>
  <w:style w:type="character" w:customStyle="1" w:styleId="Heading2Char">
    <w:name w:val="Heading 2 Char"/>
    <w:basedOn w:val="DefaultParagraphFont"/>
    <w:link w:val="Heading2"/>
    <w:rsid w:val="00AB690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57B72"/>
    <w:pPr>
      <w:tabs>
        <w:tab w:val="center" w:pos="4680"/>
        <w:tab w:val="right" w:pos="9360"/>
      </w:tabs>
      <w:spacing w:line="240" w:lineRule="auto"/>
    </w:pPr>
  </w:style>
  <w:style w:type="character" w:customStyle="1" w:styleId="HeaderChar">
    <w:name w:val="Header Char"/>
    <w:basedOn w:val="DefaultParagraphFont"/>
    <w:link w:val="Header"/>
    <w:uiPriority w:val="99"/>
    <w:rsid w:val="00457B7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57B72"/>
    <w:pPr>
      <w:tabs>
        <w:tab w:val="center" w:pos="4680"/>
        <w:tab w:val="right" w:pos="9360"/>
      </w:tabs>
      <w:spacing w:line="240" w:lineRule="auto"/>
    </w:pPr>
  </w:style>
  <w:style w:type="character" w:customStyle="1" w:styleId="FooterChar">
    <w:name w:val="Footer Char"/>
    <w:basedOn w:val="DefaultParagraphFont"/>
    <w:link w:val="Footer"/>
    <w:uiPriority w:val="99"/>
    <w:rsid w:val="00457B72"/>
    <w:rPr>
      <w:rFonts w:ascii="Times New Roman" w:eastAsia="Times New Roman" w:hAnsi="Times New Roman" w:cs="Times New Roman"/>
      <w:sz w:val="24"/>
      <w:szCs w:val="20"/>
    </w:rPr>
  </w:style>
  <w:style w:type="paragraph" w:styleId="Revision">
    <w:name w:val="Revision"/>
    <w:hidden/>
    <w:uiPriority w:val="99"/>
    <w:semiHidden/>
    <w:rsid w:val="001E100D"/>
    <w:pPr>
      <w:spacing w:after="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E4048F"/>
    <w:rPr>
      <w:sz w:val="16"/>
      <w:szCs w:val="16"/>
    </w:rPr>
  </w:style>
  <w:style w:type="paragraph" w:styleId="CommentText">
    <w:name w:val="annotation text"/>
    <w:basedOn w:val="Normal"/>
    <w:link w:val="CommentTextChar"/>
    <w:uiPriority w:val="99"/>
    <w:unhideWhenUsed/>
    <w:rsid w:val="00E4048F"/>
    <w:pPr>
      <w:spacing w:line="240" w:lineRule="auto"/>
    </w:pPr>
    <w:rPr>
      <w:sz w:val="20"/>
    </w:rPr>
  </w:style>
  <w:style w:type="character" w:customStyle="1" w:styleId="CommentTextChar">
    <w:name w:val="Comment Text Char"/>
    <w:basedOn w:val="DefaultParagraphFont"/>
    <w:link w:val="CommentText"/>
    <w:uiPriority w:val="99"/>
    <w:rsid w:val="00E4048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048F"/>
    <w:rPr>
      <w:b/>
      <w:bCs/>
    </w:rPr>
  </w:style>
  <w:style w:type="character" w:customStyle="1" w:styleId="CommentSubjectChar">
    <w:name w:val="Comment Subject Char"/>
    <w:basedOn w:val="CommentTextChar"/>
    <w:link w:val="CommentSubject"/>
    <w:uiPriority w:val="99"/>
    <w:semiHidden/>
    <w:rsid w:val="00E4048F"/>
    <w:rPr>
      <w:rFonts w:ascii="Times New Roman" w:eastAsia="Times New Roman" w:hAnsi="Times New Roman" w:cs="Times New Roman"/>
      <w:b/>
      <w:bCs/>
      <w:sz w:val="20"/>
      <w:szCs w:val="20"/>
    </w:rPr>
  </w:style>
  <w:style w:type="paragraph" w:customStyle="1" w:styleId="TableText">
    <w:name w:val="Table Text"/>
    <w:basedOn w:val="BodyText"/>
    <w:qFormat/>
    <w:rsid w:val="00C71845"/>
    <w:pPr>
      <w:spacing w:after="0" w:line="240" w:lineRule="auto"/>
      <w:ind w:firstLine="0"/>
    </w:pPr>
  </w:style>
  <w:style w:type="paragraph" w:styleId="BodyText">
    <w:name w:val="Body Text"/>
    <w:basedOn w:val="Normal"/>
    <w:link w:val="BodyTextChar"/>
    <w:uiPriority w:val="99"/>
    <w:semiHidden/>
    <w:unhideWhenUsed/>
    <w:rsid w:val="00C71845"/>
    <w:pPr>
      <w:spacing w:after="120"/>
    </w:pPr>
  </w:style>
  <w:style w:type="character" w:customStyle="1" w:styleId="BodyTextChar">
    <w:name w:val="Body Text Char"/>
    <w:basedOn w:val="DefaultParagraphFont"/>
    <w:link w:val="BodyText"/>
    <w:uiPriority w:val="99"/>
    <w:semiHidden/>
    <w:rsid w:val="00C71845"/>
    <w:rPr>
      <w:rFonts w:ascii="Times New Roman" w:eastAsia="Times New Roman" w:hAnsi="Times New Roman" w:cs="Times New Roman"/>
      <w:sz w:val="24"/>
      <w:szCs w:val="20"/>
    </w:rPr>
  </w:style>
  <w:style w:type="character" w:styleId="UnresolvedMention">
    <w:name w:val="Unresolved Mention"/>
    <w:basedOn w:val="DefaultParagraphFont"/>
    <w:uiPriority w:val="99"/>
    <w:semiHidden/>
    <w:unhideWhenUsed/>
    <w:rsid w:val="00417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s.ed.gov/ncee/wwc/StudyFindings" TargetMode="External"/><Relationship Id="rId13" Type="http://schemas.openxmlformats.org/officeDocument/2006/relationships/hyperlink" Target="https://civilrightsdata.ed.gov/dat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nces.ed.gov/ccd/elsi/"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ies.ed.gov/ncee/wwc/Docs/referenceresources/wwc_procedures_v2_standards_handbook.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s.ed.gov/ncee/wwc/handbooks"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github.com/betsyjwolf/evidence-maps?tab=readme-ov-file" TargetMode="External"/><Relationship Id="rId19" Type="http://schemas.openxmlformats.org/officeDocument/2006/relationships/hyperlink" Target="https://ies.ed.gov/ncee/wwc/Docs/referenceresources/wwc_procedures_v2_1_standards_handbook.pdf" TargetMode="External"/><Relationship Id="rId4" Type="http://schemas.openxmlformats.org/officeDocument/2006/relationships/settings" Target="settings.xml"/><Relationship Id="rId9" Type="http://schemas.openxmlformats.org/officeDocument/2006/relationships/hyperlink" Target="https://ies.ed.gov/ncee/wwc/handbooks" TargetMode="External"/><Relationship Id="rId14" Type="http://schemas.openxmlformats.org/officeDocument/2006/relationships/hyperlink" Target="https://nces.ed.gov/ipeds/datacenter/InstitutionList.aspx?goToReportId=5&amp;sid=f783143e-dbd5-4ace-87f7-977ff3fe6574&amp;rtid=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CCD66-0B64-42D6-B89B-4A5A1FF74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3376</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2023-08-01T17:32:00Z</dcterms:created>
  <dcterms:modified xsi:type="dcterms:W3CDTF">2025-05-14T19:19:00Z</dcterms:modified>
</cp:coreProperties>
</file>