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NORMA AR 0.0.1. LICENCIAMIENTO DE INSTALACIONES CLASE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 ¿La Entidad Responsable puede delegar la ejecución de tareas necesarias para la seguridad radiológica?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Respuesta: La Entidad Responsable podrá delegar total o parcialmente la ejecución de tareas necesarias para la seguridad radiológica y nuclear de una instalación Clase I, pero mantendrá en su totalidad la responsabilidad correspondiente.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NORMA AR 0.11.1. LICENCIAMIENTO DE PERSONAL DE INSTALACIONES CLASE 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23 ¿Qué requisitos debe cumplir una persona que solicite una licencia individual?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Respuesta: La persona que solicite una licencia individual debe satisfacer los siguientes requisitos: a) Poseer formación básica. b) Haber realizado la capacitación complementaria, cuando corresponda, a propuesta de la Entidad Responsable y a satisfacción de la Autoridad Regulatoria c) Acreditar la formación especializada.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30 ¿Cuánto tiempo debe transcurrir para que un postulante que no aprobara el examen para la obtención de una autorización específica pueda volver a rendir?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Respuesta: El postulante que no aprobara el examen mencionado en el criterio N° 29a sólo podrá rendir un nuevo examen una vez que hayan transcurrido noventa (90) días corridos contados a partir de la fecha del primer examen. En el caso que nuevamente no aprobara, podrá rendir otro examen luego de transcurrido un año como mínimo.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NORMA AR 3.7.1. </w:t>
      </w:r>
      <w:r w:rsidDel="00000000" w:rsidR="00000000" w:rsidRPr="00000000">
        <w:rPr>
          <w:smallCaps w:val="1"/>
          <w:rtl w:val="0"/>
        </w:rPr>
        <w:t xml:space="preserve">CRONOGRAMA DE LA DOCUMENTACIÓN A PRESENTAR ANTES DE LA OPERACIÓN COMERCIAL DE UN REACTOR NUCLEAR DE POTENCIA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¿Dónde puedo encontrar un cronograma de documentación a presentar para solicitar las licencias de construcción, puesta en marcha y operación de un reactor nuclear de potencia?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Respuesta: me debe guiar a la norma AR 3.7.1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NORMA AR 7.11.1 PERMISOS INDIVIDUALES PARA OPERADORES DE EQUIPOS DE GAMMAGRAFÍA INDUSTRIAL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 ¿Cuánto tiempo de validez tiene un permiso individual para un operador de gammagrafía industrial?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Respuesta: El permiso individual para operador de equipos de gammagrafía industrial tiene una validez máxima de cinco (5) años y está supeditada a la validez que especifique el certificado de aptitud psicofísica extendido por el médico examinador.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NORMA AR 8.11.1. PERMISOS INDIVIDUALES PARA EL EMPLEO DE MATERIAL RADIACTIVO O RADIACIONES IONIZANTES EN SERES HUMANOS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21 ¿Cuánto tiempo de validez tiene un permiso individual para empleo de material radiactivo o radiaciones ionizantes en seres humanos?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Respuesta: Los permisos individuales otorgados para el empleo de material radiactivo o radiaciones ionizantes en seres humanos tendrán una validez de cinco (5) años, salvo que la Autoridad Regulatoria especifique un período de validez menor.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NORMA AR 10.13.1. NORMA DE PROTECCIÓN FÍSICA DE MATERIALES E INSTALACIONES NUCLEARES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32 ¿En qué tipo de zona debe almacenarse loa materiales categoría III?</w:t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Respuesta: Los niveles de protección física que deben ser aplicados al material protegido durante su almacenamiento incluyen: a. Para los materiales protegidos comprendidos en la categoría III, almacenamiento dentro de una zona controlada, cuyo acceso esté controlado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