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0C0" w:rsidRPr="00536F13" w:rsidRDefault="00BF52D3">
      <w:pPr>
        <w:pBdr>
          <w:top w:val="nil"/>
          <w:left w:val="nil"/>
          <w:bottom w:val="nil"/>
          <w:right w:val="nil"/>
          <w:between w:val="nil"/>
        </w:pBdr>
        <w:jc w:val="center"/>
        <w:rPr>
          <w:rFonts w:ascii="Calibri" w:eastAsia="Calibri" w:hAnsi="Calibri" w:cs="Calibri"/>
          <w:color w:val="000000"/>
          <w:sz w:val="28"/>
          <w:szCs w:val="28"/>
          <w:lang w:val="es-AR"/>
        </w:rPr>
      </w:pPr>
      <w:r w:rsidRPr="00536F13">
        <w:rPr>
          <w:rFonts w:ascii="Calibri" w:eastAsia="Calibri" w:hAnsi="Calibri" w:cs="Calibri"/>
          <w:b/>
          <w:sz w:val="28"/>
          <w:szCs w:val="28"/>
          <w:lang w:val="es-AR"/>
        </w:rPr>
        <w:t>Aplicación de herramientas de inteligencia artificial en el análisis d</w:t>
      </w:r>
      <w:r w:rsidR="001A6FA4">
        <w:rPr>
          <w:rFonts w:ascii="Calibri" w:eastAsia="Calibri" w:hAnsi="Calibri" w:cs="Calibri"/>
          <w:b/>
          <w:sz w:val="28"/>
          <w:szCs w:val="28"/>
          <w:lang w:val="es-AR"/>
        </w:rPr>
        <w:t>e las normas regulatorias elaboradas</w:t>
      </w:r>
      <w:bookmarkStart w:id="0" w:name="_GoBack"/>
      <w:bookmarkEnd w:id="0"/>
      <w:r w:rsidRPr="00536F13">
        <w:rPr>
          <w:rFonts w:ascii="Calibri" w:eastAsia="Calibri" w:hAnsi="Calibri" w:cs="Calibri"/>
          <w:b/>
          <w:sz w:val="28"/>
          <w:szCs w:val="28"/>
          <w:lang w:val="es-AR"/>
        </w:rPr>
        <w:t xml:space="preserve"> por la Autoridad Regulatoria Nuclear </w:t>
      </w:r>
    </w:p>
    <w:p w:rsidR="004830C0" w:rsidRPr="00536F13" w:rsidRDefault="004830C0">
      <w:pPr>
        <w:pBdr>
          <w:top w:val="nil"/>
          <w:left w:val="nil"/>
          <w:bottom w:val="nil"/>
          <w:right w:val="nil"/>
          <w:between w:val="nil"/>
        </w:pBdr>
        <w:jc w:val="center"/>
        <w:rPr>
          <w:rFonts w:ascii="Calibri" w:eastAsia="Calibri" w:hAnsi="Calibri" w:cs="Calibri"/>
          <w:color w:val="000000"/>
          <w:sz w:val="20"/>
          <w:szCs w:val="20"/>
          <w:lang w:val="es-AR"/>
        </w:rPr>
      </w:pPr>
    </w:p>
    <w:p w:rsidR="004830C0" w:rsidRPr="00536F13" w:rsidRDefault="00BF52D3">
      <w:pPr>
        <w:widowControl w:val="0"/>
        <w:pBdr>
          <w:top w:val="nil"/>
          <w:left w:val="nil"/>
          <w:bottom w:val="nil"/>
          <w:right w:val="nil"/>
          <w:between w:val="nil"/>
        </w:pBdr>
        <w:jc w:val="center"/>
        <w:rPr>
          <w:rFonts w:ascii="Calibri" w:eastAsia="Calibri" w:hAnsi="Calibri" w:cs="Calibri"/>
          <w:b/>
          <w:color w:val="000000"/>
          <w:sz w:val="20"/>
          <w:szCs w:val="20"/>
          <w:lang w:val="es-AR"/>
        </w:rPr>
      </w:pPr>
      <w:r w:rsidRPr="00536F13">
        <w:rPr>
          <w:rFonts w:ascii="Calibri" w:eastAsia="Calibri" w:hAnsi="Calibri" w:cs="Calibri"/>
          <w:b/>
          <w:sz w:val="20"/>
          <w:szCs w:val="20"/>
          <w:u w:val="single"/>
          <w:lang w:val="es-AR"/>
        </w:rPr>
        <w:t>A</w:t>
      </w:r>
      <w:r w:rsidRPr="00536F13">
        <w:rPr>
          <w:rFonts w:ascii="Calibri" w:eastAsia="Calibri" w:hAnsi="Calibri" w:cs="Calibri"/>
          <w:b/>
          <w:color w:val="000000"/>
          <w:sz w:val="20"/>
          <w:szCs w:val="20"/>
          <w:u w:val="single"/>
          <w:lang w:val="es-AR"/>
        </w:rPr>
        <w:t xml:space="preserve">. </w:t>
      </w:r>
      <w:r w:rsidRPr="00536F13">
        <w:rPr>
          <w:rFonts w:ascii="Calibri" w:eastAsia="Calibri" w:hAnsi="Calibri" w:cs="Calibri"/>
          <w:b/>
          <w:sz w:val="20"/>
          <w:szCs w:val="20"/>
          <w:u w:val="single"/>
          <w:lang w:val="es-AR"/>
        </w:rPr>
        <w:t>Gómez</w:t>
      </w:r>
      <w:r w:rsidRPr="00536F13">
        <w:rPr>
          <w:rFonts w:ascii="Calibri" w:eastAsia="Calibri" w:hAnsi="Calibri" w:cs="Calibri"/>
          <w:b/>
          <w:sz w:val="20"/>
          <w:szCs w:val="20"/>
          <w:lang w:val="es-AR"/>
        </w:rPr>
        <w:t>*</w:t>
      </w:r>
      <w:r w:rsidRPr="00536F13">
        <w:rPr>
          <w:rFonts w:ascii="Calibri" w:eastAsia="Calibri" w:hAnsi="Calibri" w:cs="Calibri"/>
          <w:color w:val="000000"/>
          <w:sz w:val="20"/>
          <w:szCs w:val="20"/>
          <w:vertAlign w:val="superscript"/>
          <w:lang w:val="es-AR"/>
        </w:rPr>
        <w:t>(1)</w:t>
      </w:r>
      <w:r w:rsidRPr="00536F13">
        <w:rPr>
          <w:rFonts w:ascii="Calibri" w:eastAsia="Calibri" w:hAnsi="Calibri" w:cs="Calibri"/>
          <w:color w:val="000000"/>
          <w:sz w:val="20"/>
          <w:szCs w:val="20"/>
          <w:lang w:val="es-AR"/>
        </w:rPr>
        <w:t>,</w:t>
      </w:r>
      <w:r w:rsidRPr="00536F13">
        <w:rPr>
          <w:rFonts w:ascii="Calibri" w:eastAsia="Calibri" w:hAnsi="Calibri" w:cs="Calibri"/>
          <w:b/>
          <w:color w:val="000000"/>
          <w:sz w:val="20"/>
          <w:szCs w:val="20"/>
          <w:lang w:val="es-AR"/>
        </w:rPr>
        <w:t xml:space="preserve"> </w:t>
      </w:r>
      <w:r w:rsidRPr="00536F13">
        <w:rPr>
          <w:rFonts w:ascii="Calibri" w:eastAsia="Calibri" w:hAnsi="Calibri" w:cs="Calibri"/>
          <w:b/>
          <w:sz w:val="20"/>
          <w:szCs w:val="20"/>
          <w:lang w:val="es-AR"/>
        </w:rPr>
        <w:t>V</w:t>
      </w:r>
      <w:r w:rsidRPr="00536F13">
        <w:rPr>
          <w:rFonts w:ascii="Calibri" w:eastAsia="Calibri" w:hAnsi="Calibri" w:cs="Calibri"/>
          <w:b/>
          <w:color w:val="000000"/>
          <w:sz w:val="20"/>
          <w:szCs w:val="20"/>
          <w:lang w:val="es-AR"/>
        </w:rPr>
        <w:t xml:space="preserve">. </w:t>
      </w:r>
      <w:r w:rsidRPr="00536F13">
        <w:rPr>
          <w:rFonts w:ascii="Calibri" w:eastAsia="Calibri" w:hAnsi="Calibri" w:cs="Calibri"/>
          <w:b/>
          <w:sz w:val="20"/>
          <w:szCs w:val="20"/>
          <w:lang w:val="es-AR"/>
        </w:rPr>
        <w:t>Bettachini</w:t>
      </w:r>
      <w:r w:rsidRPr="00536F13">
        <w:rPr>
          <w:rFonts w:ascii="Calibri" w:eastAsia="Calibri" w:hAnsi="Calibri" w:cs="Calibri"/>
          <w:color w:val="000000"/>
          <w:sz w:val="20"/>
          <w:szCs w:val="20"/>
          <w:vertAlign w:val="superscript"/>
          <w:lang w:val="es-AR"/>
        </w:rPr>
        <w:t>(</w:t>
      </w:r>
      <w:r w:rsidRPr="00536F13">
        <w:rPr>
          <w:rFonts w:ascii="Calibri" w:eastAsia="Calibri" w:hAnsi="Calibri" w:cs="Calibri"/>
          <w:sz w:val="20"/>
          <w:szCs w:val="20"/>
          <w:vertAlign w:val="superscript"/>
          <w:lang w:val="es-AR"/>
        </w:rPr>
        <w:t>2</w:t>
      </w:r>
      <w:r w:rsidRPr="00536F13">
        <w:rPr>
          <w:rFonts w:ascii="Calibri" w:eastAsia="Calibri" w:hAnsi="Calibri" w:cs="Calibri"/>
          <w:color w:val="000000"/>
          <w:sz w:val="20"/>
          <w:szCs w:val="20"/>
          <w:vertAlign w:val="superscript"/>
          <w:lang w:val="es-AR"/>
        </w:rPr>
        <w:t>)</w:t>
      </w:r>
      <w:r w:rsidRPr="00536F13">
        <w:rPr>
          <w:rFonts w:ascii="Calibri" w:eastAsia="Calibri" w:hAnsi="Calibri" w:cs="Calibri"/>
          <w:color w:val="000000"/>
          <w:sz w:val="20"/>
          <w:szCs w:val="20"/>
          <w:lang w:val="es-AR"/>
        </w:rPr>
        <w:t>,</w:t>
      </w:r>
      <w:r w:rsidRPr="00536F13">
        <w:rPr>
          <w:rFonts w:ascii="Calibri" w:eastAsia="Calibri" w:hAnsi="Calibri" w:cs="Calibri"/>
          <w:b/>
          <w:color w:val="000000"/>
          <w:sz w:val="20"/>
          <w:szCs w:val="20"/>
          <w:lang w:val="es-AR"/>
        </w:rPr>
        <w:t xml:space="preserve"> </w:t>
      </w:r>
      <w:r w:rsidRPr="00536F13">
        <w:rPr>
          <w:rFonts w:ascii="Calibri" w:eastAsia="Calibri" w:hAnsi="Calibri" w:cs="Calibri"/>
          <w:b/>
          <w:sz w:val="20"/>
          <w:szCs w:val="20"/>
          <w:lang w:val="es-AR"/>
        </w:rPr>
        <w:t>H</w:t>
      </w:r>
      <w:r w:rsidRPr="00536F13">
        <w:rPr>
          <w:rFonts w:ascii="Calibri" w:eastAsia="Calibri" w:hAnsi="Calibri" w:cs="Calibri"/>
          <w:b/>
          <w:color w:val="000000"/>
          <w:sz w:val="20"/>
          <w:szCs w:val="20"/>
          <w:lang w:val="es-AR"/>
        </w:rPr>
        <w:t xml:space="preserve">. </w:t>
      </w:r>
      <w:r w:rsidRPr="00536F13">
        <w:rPr>
          <w:rFonts w:ascii="Calibri" w:eastAsia="Calibri" w:hAnsi="Calibri" w:cs="Calibri"/>
          <w:b/>
          <w:sz w:val="20"/>
          <w:szCs w:val="20"/>
          <w:lang w:val="es-AR"/>
        </w:rPr>
        <w:t>Costa</w:t>
      </w:r>
      <w:r w:rsidRPr="00536F13">
        <w:rPr>
          <w:rFonts w:ascii="Calibri" w:eastAsia="Calibri" w:hAnsi="Calibri" w:cs="Calibri"/>
          <w:color w:val="000000"/>
          <w:sz w:val="20"/>
          <w:szCs w:val="20"/>
          <w:vertAlign w:val="superscript"/>
          <w:lang w:val="es-AR"/>
        </w:rPr>
        <w:t>(2)</w:t>
      </w:r>
      <w:r w:rsidRPr="00536F13">
        <w:rPr>
          <w:rFonts w:ascii="Calibri" w:eastAsia="Calibri" w:hAnsi="Calibri" w:cs="Calibri"/>
          <w:sz w:val="20"/>
          <w:szCs w:val="20"/>
          <w:lang w:val="es-AR"/>
        </w:rPr>
        <w:t>,</w:t>
      </w:r>
      <w:r w:rsidRPr="00536F13">
        <w:rPr>
          <w:rFonts w:ascii="Calibri" w:eastAsia="Calibri" w:hAnsi="Calibri" w:cs="Calibri"/>
          <w:b/>
          <w:sz w:val="20"/>
          <w:szCs w:val="20"/>
          <w:lang w:val="es-AR"/>
        </w:rPr>
        <w:t xml:space="preserve"> M. Bringas</w:t>
      </w:r>
      <w:r w:rsidRPr="00536F13">
        <w:rPr>
          <w:rFonts w:ascii="Calibri" w:eastAsia="Calibri" w:hAnsi="Calibri" w:cs="Calibri"/>
          <w:sz w:val="20"/>
          <w:szCs w:val="20"/>
          <w:vertAlign w:val="superscript"/>
          <w:lang w:val="es-AR"/>
        </w:rPr>
        <w:t>(2)</w:t>
      </w:r>
      <w:r w:rsidRPr="00536F13">
        <w:rPr>
          <w:rFonts w:ascii="Calibri" w:eastAsia="Calibri" w:hAnsi="Calibri" w:cs="Calibri"/>
          <w:b/>
          <w:sz w:val="20"/>
          <w:szCs w:val="20"/>
          <w:lang w:val="es-AR"/>
        </w:rPr>
        <w:t xml:space="preserve"> </w:t>
      </w:r>
      <w:r w:rsidRPr="00536F13">
        <w:rPr>
          <w:rFonts w:ascii="Calibri" w:eastAsia="Calibri" w:hAnsi="Calibri" w:cs="Calibri"/>
          <w:sz w:val="20"/>
          <w:szCs w:val="20"/>
          <w:lang w:val="es-AR"/>
        </w:rPr>
        <w:t>e</w:t>
      </w:r>
      <w:r w:rsidRPr="00536F13">
        <w:rPr>
          <w:rFonts w:ascii="Calibri" w:eastAsia="Calibri" w:hAnsi="Calibri" w:cs="Calibri"/>
          <w:b/>
          <w:color w:val="000000"/>
          <w:sz w:val="20"/>
          <w:szCs w:val="20"/>
          <w:lang w:val="es-AR"/>
        </w:rPr>
        <w:t xml:space="preserve"> </w:t>
      </w:r>
      <w:r w:rsidRPr="00536F13">
        <w:rPr>
          <w:rFonts w:ascii="Calibri" w:eastAsia="Calibri" w:hAnsi="Calibri" w:cs="Calibri"/>
          <w:b/>
          <w:sz w:val="20"/>
          <w:szCs w:val="20"/>
          <w:lang w:val="es-AR"/>
        </w:rPr>
        <w:t>I</w:t>
      </w:r>
      <w:r w:rsidRPr="00536F13">
        <w:rPr>
          <w:rFonts w:ascii="Calibri" w:eastAsia="Calibri" w:hAnsi="Calibri" w:cs="Calibri"/>
          <w:b/>
          <w:color w:val="000000"/>
          <w:sz w:val="20"/>
          <w:szCs w:val="20"/>
          <w:lang w:val="es-AR"/>
        </w:rPr>
        <w:t xml:space="preserve">. </w:t>
      </w:r>
      <w:r w:rsidRPr="00536F13">
        <w:rPr>
          <w:rFonts w:ascii="Calibri" w:eastAsia="Calibri" w:hAnsi="Calibri" w:cs="Calibri"/>
          <w:b/>
          <w:sz w:val="20"/>
          <w:szCs w:val="20"/>
          <w:lang w:val="es-AR"/>
        </w:rPr>
        <w:t>Nesterov</w:t>
      </w:r>
      <w:r w:rsidRPr="00536F13">
        <w:rPr>
          <w:rFonts w:ascii="Calibri" w:eastAsia="Calibri" w:hAnsi="Calibri" w:cs="Calibri"/>
          <w:color w:val="000000"/>
          <w:sz w:val="20"/>
          <w:szCs w:val="20"/>
          <w:vertAlign w:val="superscript"/>
          <w:lang w:val="es-AR"/>
        </w:rPr>
        <w:t>(2)</w:t>
      </w:r>
    </w:p>
    <w:p w:rsidR="004830C0" w:rsidRPr="00536F13" w:rsidRDefault="004830C0">
      <w:pPr>
        <w:widowControl w:val="0"/>
        <w:pBdr>
          <w:top w:val="nil"/>
          <w:left w:val="nil"/>
          <w:bottom w:val="nil"/>
          <w:right w:val="nil"/>
          <w:between w:val="nil"/>
        </w:pBdr>
        <w:jc w:val="center"/>
        <w:rPr>
          <w:rFonts w:ascii="Calibri" w:eastAsia="Calibri" w:hAnsi="Calibri" w:cs="Calibri"/>
          <w:color w:val="000000"/>
          <w:sz w:val="20"/>
          <w:szCs w:val="20"/>
          <w:lang w:val="es-AR"/>
        </w:rPr>
      </w:pPr>
    </w:p>
    <w:p w:rsidR="004830C0" w:rsidRPr="00536F13" w:rsidRDefault="00BF52D3">
      <w:pPr>
        <w:widowControl w:val="0"/>
        <w:pBdr>
          <w:top w:val="nil"/>
          <w:left w:val="nil"/>
          <w:bottom w:val="nil"/>
          <w:right w:val="nil"/>
          <w:between w:val="nil"/>
        </w:pBdr>
        <w:tabs>
          <w:tab w:val="left" w:pos="142"/>
        </w:tabs>
        <w:jc w:val="center"/>
        <w:rPr>
          <w:rFonts w:ascii="Calibri" w:eastAsia="Calibri" w:hAnsi="Calibri" w:cs="Calibri"/>
          <w:i/>
          <w:color w:val="000000"/>
          <w:sz w:val="18"/>
          <w:szCs w:val="18"/>
          <w:lang w:val="es-AR"/>
        </w:rPr>
      </w:pPr>
      <w:r w:rsidRPr="00536F13">
        <w:rPr>
          <w:rFonts w:ascii="Calibri" w:eastAsia="Calibri" w:hAnsi="Calibri" w:cs="Calibri"/>
          <w:i/>
          <w:color w:val="000000"/>
          <w:sz w:val="18"/>
          <w:szCs w:val="18"/>
          <w:lang w:val="es-AR"/>
        </w:rPr>
        <w:t xml:space="preserve">(1) </w:t>
      </w:r>
      <w:r w:rsidRPr="00536F13">
        <w:rPr>
          <w:rFonts w:ascii="Calibri" w:eastAsia="Calibri" w:hAnsi="Calibri" w:cs="Calibri"/>
          <w:i/>
          <w:sz w:val="18"/>
          <w:szCs w:val="18"/>
          <w:lang w:val="es-AR"/>
        </w:rPr>
        <w:t xml:space="preserve">Subgerencia Normativa Regulatoria, Autoridad Regulatoria Nuclear (ARN), Av. del Libertador 8250, Buenos Aires, Argentina </w:t>
      </w:r>
    </w:p>
    <w:p w:rsidR="004830C0" w:rsidRPr="00536F13" w:rsidRDefault="00BF52D3">
      <w:pPr>
        <w:widowControl w:val="0"/>
        <w:tabs>
          <w:tab w:val="left" w:pos="142"/>
        </w:tabs>
        <w:jc w:val="center"/>
        <w:rPr>
          <w:rFonts w:ascii="Calibri" w:eastAsia="Calibri" w:hAnsi="Calibri" w:cs="Calibri"/>
          <w:i/>
          <w:sz w:val="18"/>
          <w:szCs w:val="18"/>
          <w:lang w:val="es-AR"/>
        </w:rPr>
      </w:pPr>
      <w:r w:rsidRPr="00536F13">
        <w:rPr>
          <w:rFonts w:ascii="Calibri" w:eastAsia="Calibri" w:hAnsi="Calibri" w:cs="Calibri"/>
          <w:i/>
          <w:sz w:val="18"/>
          <w:szCs w:val="18"/>
          <w:lang w:val="es-AR"/>
        </w:rPr>
        <w:t>(2) Maestría en explotación de datos y descubrimiento del conocimiento, FCEyN-FI, UBA, Ciudad Universitaria, Buenos Aires, Argentina.</w:t>
      </w:r>
    </w:p>
    <w:p w:rsidR="004830C0" w:rsidRPr="00536F13" w:rsidRDefault="004830C0">
      <w:pPr>
        <w:widowControl w:val="0"/>
        <w:pBdr>
          <w:top w:val="nil"/>
          <w:left w:val="nil"/>
          <w:bottom w:val="nil"/>
          <w:right w:val="nil"/>
          <w:between w:val="nil"/>
        </w:pBdr>
        <w:tabs>
          <w:tab w:val="left" w:pos="142"/>
        </w:tabs>
        <w:jc w:val="center"/>
        <w:rPr>
          <w:rFonts w:ascii="Calibri" w:eastAsia="Calibri" w:hAnsi="Calibri" w:cs="Calibri"/>
          <w:i/>
          <w:color w:val="000000"/>
          <w:sz w:val="18"/>
          <w:szCs w:val="18"/>
          <w:lang w:val="es-AR"/>
        </w:rPr>
      </w:pPr>
    </w:p>
    <w:p w:rsidR="004830C0" w:rsidRPr="00536F13" w:rsidRDefault="00BF52D3">
      <w:pPr>
        <w:widowControl w:val="0"/>
        <w:pBdr>
          <w:top w:val="nil"/>
          <w:left w:val="nil"/>
          <w:bottom w:val="nil"/>
          <w:right w:val="nil"/>
          <w:between w:val="nil"/>
        </w:pBdr>
        <w:tabs>
          <w:tab w:val="left" w:pos="142"/>
        </w:tabs>
        <w:jc w:val="center"/>
        <w:rPr>
          <w:rFonts w:ascii="Calibri" w:eastAsia="Calibri" w:hAnsi="Calibri" w:cs="Calibri"/>
          <w:color w:val="000000"/>
          <w:sz w:val="18"/>
          <w:szCs w:val="18"/>
          <w:lang w:val="es-AR"/>
        </w:rPr>
      </w:pPr>
      <w:r w:rsidRPr="00536F13">
        <w:rPr>
          <w:rFonts w:ascii="Calibri" w:eastAsia="Calibri" w:hAnsi="Calibri" w:cs="Calibri"/>
          <w:color w:val="000000"/>
          <w:sz w:val="18"/>
          <w:szCs w:val="18"/>
          <w:lang w:val="es-AR"/>
        </w:rPr>
        <w:t xml:space="preserve">*Correo Electrónico (autor de contacto): </w:t>
      </w:r>
      <w:hyperlink r:id="rId7">
        <w:r w:rsidRPr="00536F13">
          <w:rPr>
            <w:rFonts w:ascii="Calibri" w:eastAsia="Calibri" w:hAnsi="Calibri" w:cs="Calibri"/>
            <w:color w:val="0563C1"/>
            <w:sz w:val="18"/>
            <w:szCs w:val="18"/>
            <w:u w:val="single"/>
            <w:lang w:val="es-AR"/>
          </w:rPr>
          <w:t>a</w:t>
        </w:r>
      </w:hyperlink>
      <w:hyperlink r:id="rId8">
        <w:r w:rsidRPr="00536F13">
          <w:rPr>
            <w:rFonts w:ascii="Calibri" w:eastAsia="Calibri" w:hAnsi="Calibri" w:cs="Calibri"/>
            <w:color w:val="0563C1"/>
            <w:sz w:val="18"/>
            <w:szCs w:val="18"/>
            <w:u w:val="single"/>
            <w:lang w:val="es-AR"/>
          </w:rPr>
          <w:t>gomez</w:t>
        </w:r>
      </w:hyperlink>
      <w:hyperlink r:id="rId9">
        <w:r w:rsidRPr="00536F13">
          <w:rPr>
            <w:rFonts w:ascii="Calibri" w:eastAsia="Calibri" w:hAnsi="Calibri" w:cs="Calibri"/>
            <w:color w:val="0563C1"/>
            <w:sz w:val="18"/>
            <w:szCs w:val="18"/>
            <w:u w:val="single"/>
            <w:lang w:val="es-AR"/>
          </w:rPr>
          <w:t>@</w:t>
        </w:r>
      </w:hyperlink>
      <w:hyperlink r:id="rId10">
        <w:r w:rsidRPr="00536F13">
          <w:rPr>
            <w:rFonts w:ascii="Calibri" w:eastAsia="Calibri" w:hAnsi="Calibri" w:cs="Calibri"/>
            <w:color w:val="0563C1"/>
            <w:sz w:val="18"/>
            <w:szCs w:val="18"/>
            <w:u w:val="single"/>
            <w:lang w:val="es-AR"/>
          </w:rPr>
          <w:t>arn</w:t>
        </w:r>
      </w:hyperlink>
      <w:hyperlink r:id="rId11">
        <w:r w:rsidRPr="00536F13">
          <w:rPr>
            <w:rFonts w:ascii="Calibri" w:eastAsia="Calibri" w:hAnsi="Calibri" w:cs="Calibri"/>
            <w:color w:val="0563C1"/>
            <w:sz w:val="18"/>
            <w:szCs w:val="18"/>
            <w:u w:val="single"/>
            <w:lang w:val="es-AR"/>
          </w:rPr>
          <w:t>.gob.ar</w:t>
        </w:r>
      </w:hyperlink>
    </w:p>
    <w:p w:rsidR="004830C0" w:rsidRPr="00536F13" w:rsidRDefault="004830C0">
      <w:pPr>
        <w:widowControl w:val="0"/>
        <w:pBdr>
          <w:top w:val="nil"/>
          <w:left w:val="nil"/>
          <w:bottom w:val="nil"/>
          <w:right w:val="nil"/>
          <w:between w:val="nil"/>
        </w:pBdr>
        <w:tabs>
          <w:tab w:val="left" w:pos="142"/>
        </w:tabs>
        <w:jc w:val="center"/>
        <w:rPr>
          <w:rFonts w:ascii="Calibri" w:eastAsia="Calibri" w:hAnsi="Calibri" w:cs="Calibri"/>
          <w:i/>
          <w:color w:val="000000"/>
          <w:sz w:val="18"/>
          <w:szCs w:val="18"/>
          <w:lang w:val="es-AR"/>
        </w:rPr>
      </w:pPr>
    </w:p>
    <w:p w:rsidR="004830C0" w:rsidRDefault="00BF52D3">
      <w:pPr>
        <w:jc w:val="center"/>
        <w:rPr>
          <w:rFonts w:ascii="Calibri" w:eastAsia="Calibri" w:hAnsi="Calibri" w:cs="Calibri"/>
          <w:sz w:val="18"/>
          <w:szCs w:val="18"/>
          <w:lang w:val="es-AR"/>
        </w:rPr>
      </w:pPr>
      <w:r w:rsidRPr="00536F13">
        <w:rPr>
          <w:rFonts w:ascii="Calibri" w:eastAsia="Calibri" w:hAnsi="Calibri" w:cs="Calibri"/>
          <w:b/>
          <w:sz w:val="18"/>
          <w:szCs w:val="18"/>
          <w:lang w:val="es-AR"/>
        </w:rPr>
        <w:t>Tópico:</w:t>
      </w:r>
      <w:r w:rsidRPr="00536F13">
        <w:rPr>
          <w:rFonts w:ascii="Calibri" w:eastAsia="Calibri" w:hAnsi="Calibri" w:cs="Calibri"/>
          <w:sz w:val="18"/>
          <w:szCs w:val="18"/>
          <w:lang w:val="es-AR"/>
        </w:rPr>
        <w:t xml:space="preserve"> Normativa</w:t>
      </w:r>
    </w:p>
    <w:p w:rsidR="006A2417" w:rsidRPr="00536F13" w:rsidRDefault="006A2417" w:rsidP="001A6FA4">
      <w:pPr>
        <w:pBdr>
          <w:top w:val="single" w:sz="4" w:space="1" w:color="000001"/>
          <w:bottom w:val="single" w:sz="4" w:space="1" w:color="000001"/>
        </w:pBdr>
        <w:spacing w:before="240" w:after="120"/>
        <w:jc w:val="both"/>
        <w:rPr>
          <w:rFonts w:ascii="Calibri" w:eastAsia="Calibri" w:hAnsi="Calibri" w:cs="Calibri"/>
          <w:sz w:val="20"/>
          <w:szCs w:val="20"/>
          <w:lang w:val="es-AR"/>
        </w:rPr>
      </w:pPr>
      <w:r>
        <w:rPr>
          <w:rFonts w:ascii="Calibri" w:eastAsia="Calibri" w:hAnsi="Calibri" w:cs="Calibri"/>
          <w:sz w:val="20"/>
          <w:szCs w:val="20"/>
          <w:lang w:val="es-AR"/>
        </w:rPr>
        <w:t xml:space="preserve">Implementar herramientas de inteligencia artificial (IA), especialmente aquellas fundamentadas en el procesamiento del lenguaje natural (NLP), en un ámbito técnico específico cono las normas regulatorias nucleares, requiere expandir el alcance de los modelos entrenados con corpus de texto general. Este trabajo, desarrollado en el marco de la Subgerencia de Normativa Regulatoria de la Autoridad Regulatoria Nuclear (ARN), organizó la normativa vigente como un grafo dirigido de citas y exploró un método para hacerla más accesible mediante la técnica de generación aumentada por recuperación (RAG), apoyada en grandes modelos de lenguaje (LLM) de acceso libre. </w:t>
      </w:r>
    </w:p>
    <w:p w:rsidR="004830C0" w:rsidRPr="00536F13" w:rsidRDefault="00BF52D3">
      <w:pPr>
        <w:pBdr>
          <w:top w:val="nil"/>
          <w:left w:val="nil"/>
          <w:bottom w:val="nil"/>
          <w:right w:val="nil"/>
          <w:between w:val="nil"/>
        </w:pBdr>
        <w:ind w:firstLine="288"/>
        <w:jc w:val="both"/>
        <w:rPr>
          <w:rFonts w:ascii="Calibri" w:eastAsia="Calibri" w:hAnsi="Calibri" w:cs="Calibri"/>
          <w:sz w:val="20"/>
          <w:szCs w:val="20"/>
          <w:lang w:val="es-AR"/>
        </w:rPr>
      </w:pPr>
      <w:r w:rsidRPr="00536F13">
        <w:rPr>
          <w:rFonts w:ascii="Calibri" w:eastAsia="Calibri" w:hAnsi="Calibri" w:cs="Calibri"/>
          <w:sz w:val="20"/>
          <w:szCs w:val="20"/>
          <w:lang w:val="es-AR"/>
        </w:rPr>
        <w:t>El NLP es un subcampo clave de la inteligencia artificial (IA). Una de sus herramientas más extendidas, los LLM como ChatGPT o Gemini, se entrenan con grandes corpus de datos, como el conjunto de Wikipedia. En tales corpus la terminología técnica es escasa, por lo que para dominios especializados, como la actividad nuclear, los LLM suelen ser insuficientemente precisos [1].</w:t>
      </w:r>
    </w:p>
    <w:p w:rsidR="004830C0" w:rsidRPr="00536F13" w:rsidRDefault="00BF52D3">
      <w:pPr>
        <w:pBdr>
          <w:top w:val="nil"/>
          <w:left w:val="nil"/>
          <w:bottom w:val="nil"/>
          <w:right w:val="nil"/>
          <w:between w:val="nil"/>
        </w:pBdr>
        <w:ind w:firstLine="288"/>
        <w:jc w:val="both"/>
        <w:rPr>
          <w:rFonts w:ascii="Calibri" w:eastAsia="Calibri" w:hAnsi="Calibri" w:cs="Calibri"/>
          <w:sz w:val="20"/>
          <w:szCs w:val="20"/>
          <w:lang w:val="es-AR"/>
        </w:rPr>
      </w:pPr>
      <w:r w:rsidRPr="00536F13">
        <w:rPr>
          <w:rFonts w:ascii="Calibri" w:eastAsia="Calibri" w:hAnsi="Calibri" w:cs="Calibri"/>
          <w:sz w:val="20"/>
          <w:szCs w:val="20"/>
          <w:lang w:val="es-AR"/>
        </w:rPr>
        <w:t xml:space="preserve"> En este trabajo presentamos dos aplicaciones que demostraron resultados en el tratamiento de las 64 normas y 10 guías regulatorias publicadas por la ARN [2]. En conjunto, estas regulaciones rigen la actividad nuclear en la República Argentina. Para construir el corpus de texto, es decir, el conjunto de datos requerido para el NLP, se realizó un web scrapping del sitio de ARN que publica los documentos en formato PDF. Se utilizó la biblioteca Selenium del lenguaje Python para descargarlos secuencialmente y la biblioteca PyPDF2 para extraer su texto plano.</w:t>
      </w:r>
    </w:p>
    <w:p w:rsidR="004830C0" w:rsidRPr="00536F13" w:rsidRDefault="00BF52D3">
      <w:pPr>
        <w:pBdr>
          <w:top w:val="nil"/>
          <w:left w:val="nil"/>
          <w:bottom w:val="nil"/>
          <w:right w:val="nil"/>
          <w:between w:val="nil"/>
        </w:pBdr>
        <w:ind w:firstLine="288"/>
        <w:jc w:val="both"/>
        <w:rPr>
          <w:rFonts w:ascii="Calibri" w:eastAsia="Calibri" w:hAnsi="Calibri" w:cs="Calibri"/>
          <w:sz w:val="20"/>
          <w:szCs w:val="20"/>
          <w:lang w:val="es-AR"/>
        </w:rPr>
      </w:pPr>
      <w:r w:rsidRPr="00536F13">
        <w:rPr>
          <w:rFonts w:ascii="Calibri" w:eastAsia="Calibri" w:hAnsi="Calibri" w:cs="Calibri"/>
          <w:sz w:val="20"/>
          <w:szCs w:val="20"/>
          <w:lang w:val="es-AR"/>
        </w:rPr>
        <w:t>Con el objetivo de estudiar el clustering de los documentos según su temática, por ejemplo, 'Seguridad', 'Protección radiológica', 'Criterios de diseño', etc., se buscó construir un grafo dirigido en el que cada documento actúa como nodo y las citas como aristas. La detección automática de citas a otras normas mediante expresiones regulares, permitió crear un diccionario de citas cruzadas. Utilizando la biblioteca networkx, se generaron representaciones gráficas que facilitaron la cuantificación del grado de agrupamiento. La detección automática de un error topológico en el grafo de citas destacó el potencial del uso de la IA en el tratamiento de la documentación normativa, indicando una falta de actualización de la norma AR 4.8.1 que cita a la norma AR 3.6.1,  la cual fue subsumida anteriormente en la norma AR 10.6.1.</w:t>
      </w:r>
    </w:p>
    <w:p w:rsidR="004830C0" w:rsidRPr="00536F13" w:rsidRDefault="00BF52D3">
      <w:pPr>
        <w:pBdr>
          <w:top w:val="nil"/>
          <w:left w:val="nil"/>
          <w:bottom w:val="nil"/>
          <w:right w:val="nil"/>
          <w:between w:val="nil"/>
        </w:pBdr>
        <w:ind w:firstLine="288"/>
        <w:jc w:val="both"/>
        <w:rPr>
          <w:rFonts w:ascii="Calibri" w:eastAsia="Calibri" w:hAnsi="Calibri" w:cs="Calibri"/>
          <w:sz w:val="20"/>
          <w:szCs w:val="20"/>
          <w:lang w:val="es-AR"/>
        </w:rPr>
      </w:pPr>
      <w:r w:rsidRPr="00536F13">
        <w:rPr>
          <w:rFonts w:ascii="Calibri" w:eastAsia="Calibri" w:hAnsi="Calibri" w:cs="Calibri"/>
          <w:sz w:val="20"/>
          <w:szCs w:val="20"/>
          <w:lang w:val="es-AR"/>
        </w:rPr>
        <w:t>Luego del análisis, se construyó un asistente basado en un LLM que responde en lenguaje natural a consultas sobre información contenida en la normativa. Los precursores de los LLM actuales, contaban con, a lo sumo, 3 millones de parámetros, lo que requería un ajuste fino supervisado en el corpus del texto de un dominio particular. Con el advenimiento de los LLM con más de 2 mil millones de parámetros, el reentrenamiento se ha vuelto muy demandante en términos de recursos.</w:t>
      </w:r>
    </w:p>
    <w:p w:rsidR="004830C0" w:rsidRPr="00536F13" w:rsidRDefault="00BF52D3">
      <w:pPr>
        <w:pBdr>
          <w:top w:val="nil"/>
          <w:left w:val="nil"/>
          <w:bottom w:val="nil"/>
          <w:right w:val="nil"/>
          <w:between w:val="nil"/>
        </w:pBdr>
        <w:ind w:firstLine="288"/>
        <w:jc w:val="both"/>
        <w:rPr>
          <w:rFonts w:ascii="Calibri" w:eastAsia="Calibri" w:hAnsi="Calibri" w:cs="Calibri"/>
          <w:sz w:val="20"/>
          <w:szCs w:val="20"/>
          <w:lang w:val="es-AR"/>
        </w:rPr>
      </w:pPr>
      <w:r w:rsidRPr="00536F13">
        <w:rPr>
          <w:rFonts w:ascii="Calibri" w:eastAsia="Calibri" w:hAnsi="Calibri" w:cs="Calibri"/>
          <w:sz w:val="20"/>
          <w:szCs w:val="20"/>
          <w:lang w:val="es-AR"/>
        </w:rPr>
        <w:t>El consenso actual es que si el corpus general de entrenamiento no produce un desempeño adecuado en un dominio específico, es recomendable construir un sistema de recuperación de texto RAG, que añade al LLM la capacidad de interactuar con una base de datos [3]. Este es el caso de la normativa nuclear, cuyo nivel de especificidad la excluye de los corpus de entrenamiento utilizados por los generadores de los LLM con más de 3 mil millones de parámetros, como GPT-4o (OpenAI), Claude (Anthropic), Gemini (Google) o Llama 3.1 (Meta), entre otros. Este último ha sido  seleccionado para este trabajo, ya que, hasta la fecha, muestra el mejor desempeño en ensayos públicos con corpus en español [4].</w:t>
      </w:r>
    </w:p>
    <w:p w:rsidR="004830C0" w:rsidRPr="00536F13" w:rsidRDefault="00BF52D3">
      <w:pPr>
        <w:pBdr>
          <w:top w:val="nil"/>
          <w:left w:val="nil"/>
          <w:bottom w:val="nil"/>
          <w:right w:val="nil"/>
          <w:between w:val="nil"/>
        </w:pBdr>
        <w:ind w:firstLine="288"/>
        <w:jc w:val="both"/>
        <w:rPr>
          <w:rFonts w:ascii="Calibri" w:eastAsia="Calibri" w:hAnsi="Calibri" w:cs="Calibri"/>
          <w:sz w:val="20"/>
          <w:szCs w:val="20"/>
          <w:lang w:val="es-AR"/>
        </w:rPr>
      </w:pPr>
      <w:r w:rsidRPr="00536F13">
        <w:rPr>
          <w:rFonts w:ascii="Calibri" w:eastAsia="Calibri" w:hAnsi="Calibri" w:cs="Calibri"/>
          <w:sz w:val="20"/>
          <w:szCs w:val="20"/>
          <w:lang w:val="es-AR"/>
        </w:rPr>
        <w:t>Para este trabajo, se amplió el alcance de este LLM al almacenar en una base de datos la representación vectorial (embeddings) de los tokens, que son los segmentos en que el LLM divide el texto del corpus de normativas. El entorno LangChain para lenguaje Python gestiona esa base, denominada Chroma, así como el recorte en tokens del corpus. Luego, solo es necesario ejecutar el recuperador (retriever) con una plantilla que instruye al modelo a personificar a un experto en normativa nuclear, para  habilitar al usuario para  realizar consultas (prompts) al RAG relacionadas con la normativa.</w:t>
      </w:r>
    </w:p>
    <w:p w:rsidR="004830C0" w:rsidRPr="00536F13" w:rsidRDefault="004830C0">
      <w:pPr>
        <w:jc w:val="both"/>
        <w:rPr>
          <w:rFonts w:ascii="Calibri" w:eastAsia="Calibri" w:hAnsi="Calibri" w:cs="Calibri"/>
          <w:sz w:val="18"/>
          <w:szCs w:val="18"/>
          <w:lang w:val="es-AR"/>
        </w:rPr>
      </w:pPr>
    </w:p>
    <w:p w:rsidR="004830C0" w:rsidRDefault="00BF52D3">
      <w:pPr>
        <w:jc w:val="both"/>
        <w:rPr>
          <w:rFonts w:ascii="Calibri" w:eastAsia="Calibri" w:hAnsi="Calibri" w:cs="Calibri"/>
          <w:b/>
          <w:sz w:val="20"/>
          <w:szCs w:val="20"/>
        </w:rPr>
      </w:pPr>
      <w:proofErr w:type="spellStart"/>
      <w:r>
        <w:rPr>
          <w:rFonts w:ascii="Calibri" w:eastAsia="Calibri" w:hAnsi="Calibri" w:cs="Calibri"/>
          <w:b/>
          <w:sz w:val="20"/>
          <w:szCs w:val="20"/>
        </w:rPr>
        <w:t>Referencias</w:t>
      </w:r>
      <w:proofErr w:type="spellEnd"/>
    </w:p>
    <w:p w:rsidR="004830C0" w:rsidRDefault="00BF52D3">
      <w:pPr>
        <w:spacing w:line="324" w:lineRule="auto"/>
        <w:rPr>
          <w:rFonts w:ascii="Calibri" w:eastAsia="Calibri" w:hAnsi="Calibri" w:cs="Calibri"/>
          <w:sz w:val="18"/>
          <w:szCs w:val="18"/>
        </w:rPr>
      </w:pPr>
      <w:r>
        <w:rPr>
          <w:rFonts w:ascii="Calibri" w:eastAsia="Calibri" w:hAnsi="Calibri" w:cs="Calibri"/>
          <w:sz w:val="18"/>
          <w:szCs w:val="18"/>
        </w:rPr>
        <w:t xml:space="preserve">[1] Dima, Alden, Sarah Lukens, Melinda </w:t>
      </w:r>
      <w:proofErr w:type="spellStart"/>
      <w:r>
        <w:rPr>
          <w:rFonts w:ascii="Calibri" w:eastAsia="Calibri" w:hAnsi="Calibri" w:cs="Calibri"/>
          <w:sz w:val="18"/>
          <w:szCs w:val="18"/>
        </w:rPr>
        <w:t>Hodkiewicz</w:t>
      </w:r>
      <w:proofErr w:type="spellEnd"/>
      <w:r>
        <w:rPr>
          <w:rFonts w:ascii="Calibri" w:eastAsia="Calibri" w:hAnsi="Calibri" w:cs="Calibri"/>
          <w:sz w:val="18"/>
          <w:szCs w:val="18"/>
        </w:rPr>
        <w:t xml:space="preserve">, Thurston Sexton, y Michael P. </w:t>
      </w:r>
      <w:proofErr w:type="spellStart"/>
      <w:r>
        <w:rPr>
          <w:rFonts w:ascii="Calibri" w:eastAsia="Calibri" w:hAnsi="Calibri" w:cs="Calibri"/>
          <w:sz w:val="18"/>
          <w:szCs w:val="18"/>
        </w:rPr>
        <w:t>Brundage</w:t>
      </w:r>
      <w:proofErr w:type="spellEnd"/>
      <w:r>
        <w:rPr>
          <w:rFonts w:ascii="Calibri" w:eastAsia="Calibri" w:hAnsi="Calibri" w:cs="Calibri"/>
          <w:sz w:val="18"/>
          <w:szCs w:val="18"/>
        </w:rPr>
        <w:t xml:space="preserve">. 2021. “Adapting Natural Language Processing for Technical Text”. </w:t>
      </w:r>
      <w:r>
        <w:rPr>
          <w:rFonts w:ascii="Calibri" w:eastAsia="Calibri" w:hAnsi="Calibri" w:cs="Calibri"/>
          <w:i/>
          <w:sz w:val="18"/>
          <w:szCs w:val="18"/>
        </w:rPr>
        <w:t>Applied AI Letters</w:t>
      </w:r>
      <w:r>
        <w:rPr>
          <w:rFonts w:ascii="Calibri" w:eastAsia="Calibri" w:hAnsi="Calibri" w:cs="Calibri"/>
          <w:sz w:val="18"/>
          <w:szCs w:val="18"/>
        </w:rPr>
        <w:t xml:space="preserve"> 2 (3): e33.</w:t>
      </w:r>
      <w:hyperlink r:id="rId12">
        <w:r>
          <w:rPr>
            <w:rFonts w:ascii="Calibri" w:eastAsia="Calibri" w:hAnsi="Calibri" w:cs="Calibri"/>
            <w:sz w:val="18"/>
            <w:szCs w:val="18"/>
          </w:rPr>
          <w:t xml:space="preserve"> </w:t>
        </w:r>
      </w:hyperlink>
      <w:hyperlink r:id="rId13">
        <w:r>
          <w:rPr>
            <w:rFonts w:ascii="Calibri" w:eastAsia="Calibri" w:hAnsi="Calibri" w:cs="Calibri"/>
            <w:color w:val="1155CC"/>
            <w:sz w:val="18"/>
            <w:szCs w:val="18"/>
            <w:u w:val="single"/>
          </w:rPr>
          <w:t>https://doi.org/10.1002/ail2.33</w:t>
        </w:r>
      </w:hyperlink>
      <w:r>
        <w:rPr>
          <w:rFonts w:ascii="Calibri" w:eastAsia="Calibri" w:hAnsi="Calibri" w:cs="Calibri"/>
          <w:sz w:val="18"/>
          <w:szCs w:val="18"/>
        </w:rPr>
        <w:t>.</w:t>
      </w:r>
    </w:p>
    <w:p w:rsidR="004830C0" w:rsidRPr="006A2417" w:rsidRDefault="00BF52D3">
      <w:pPr>
        <w:spacing w:line="324" w:lineRule="auto"/>
        <w:rPr>
          <w:rFonts w:ascii="Calibri" w:eastAsia="Calibri" w:hAnsi="Calibri" w:cs="Calibri"/>
          <w:sz w:val="18"/>
          <w:szCs w:val="18"/>
        </w:rPr>
      </w:pPr>
      <w:r w:rsidRPr="006A2417">
        <w:rPr>
          <w:rFonts w:ascii="Calibri" w:eastAsia="Calibri" w:hAnsi="Calibri" w:cs="Calibri"/>
          <w:sz w:val="18"/>
          <w:szCs w:val="18"/>
        </w:rPr>
        <w:t xml:space="preserve">[2] </w:t>
      </w:r>
      <w:proofErr w:type="spellStart"/>
      <w:r w:rsidRPr="006A2417">
        <w:rPr>
          <w:rFonts w:ascii="Calibri" w:eastAsia="Calibri" w:hAnsi="Calibri" w:cs="Calibri"/>
          <w:sz w:val="18"/>
          <w:szCs w:val="18"/>
        </w:rPr>
        <w:t>Autoridad</w:t>
      </w:r>
      <w:proofErr w:type="spellEnd"/>
      <w:r w:rsidRPr="006A2417">
        <w:rPr>
          <w:rFonts w:ascii="Calibri" w:eastAsia="Calibri" w:hAnsi="Calibri" w:cs="Calibri"/>
          <w:sz w:val="18"/>
          <w:szCs w:val="18"/>
        </w:rPr>
        <w:t xml:space="preserve"> </w:t>
      </w:r>
      <w:proofErr w:type="spellStart"/>
      <w:r w:rsidRPr="006A2417">
        <w:rPr>
          <w:rFonts w:ascii="Calibri" w:eastAsia="Calibri" w:hAnsi="Calibri" w:cs="Calibri"/>
          <w:sz w:val="18"/>
          <w:szCs w:val="18"/>
        </w:rPr>
        <w:t>Regulatoria</w:t>
      </w:r>
      <w:proofErr w:type="spellEnd"/>
      <w:r w:rsidRPr="006A2417">
        <w:rPr>
          <w:rFonts w:ascii="Calibri" w:eastAsia="Calibri" w:hAnsi="Calibri" w:cs="Calibri"/>
          <w:sz w:val="18"/>
          <w:szCs w:val="18"/>
        </w:rPr>
        <w:t xml:space="preserve"> Nuclear.  h</w:t>
      </w:r>
      <w:hyperlink r:id="rId14">
        <w:r w:rsidRPr="006A2417">
          <w:rPr>
            <w:rFonts w:ascii="Calibri" w:eastAsia="Calibri" w:hAnsi="Calibri" w:cs="Calibri"/>
            <w:color w:val="1155CC"/>
            <w:sz w:val="18"/>
            <w:szCs w:val="18"/>
            <w:u w:val="single"/>
          </w:rPr>
          <w:t>ttps://www.argentina.gob.ar/arn/instalaciones-practicas-y-personal-regulado/marco-regulatorio/normas</w:t>
        </w:r>
      </w:hyperlink>
    </w:p>
    <w:p w:rsidR="004830C0" w:rsidRPr="006A2417" w:rsidRDefault="00BF52D3">
      <w:pPr>
        <w:rPr>
          <w:rFonts w:ascii="Calibri" w:eastAsia="Calibri" w:hAnsi="Calibri" w:cs="Calibri"/>
          <w:sz w:val="18"/>
          <w:szCs w:val="18"/>
          <w:lang w:val="es-AR"/>
        </w:rPr>
      </w:pPr>
      <w:r w:rsidRPr="001A6FA4">
        <w:rPr>
          <w:rFonts w:ascii="Calibri" w:eastAsia="Calibri" w:hAnsi="Calibri" w:cs="Calibri"/>
          <w:sz w:val="18"/>
          <w:szCs w:val="18"/>
          <w:lang w:val="es-AR"/>
        </w:rPr>
        <w:t xml:space="preserve">[3] </w:t>
      </w:r>
      <w:proofErr w:type="spellStart"/>
      <w:r w:rsidRPr="001A6FA4">
        <w:rPr>
          <w:rFonts w:ascii="Calibri" w:eastAsia="Calibri" w:hAnsi="Calibri" w:cs="Calibri"/>
          <w:sz w:val="18"/>
          <w:szCs w:val="18"/>
          <w:lang w:val="es-AR"/>
        </w:rPr>
        <w:t>Aditya</w:t>
      </w:r>
      <w:proofErr w:type="spellEnd"/>
      <w:r w:rsidRPr="001A6FA4">
        <w:rPr>
          <w:rFonts w:ascii="Calibri" w:eastAsia="Calibri" w:hAnsi="Calibri" w:cs="Calibri"/>
          <w:sz w:val="18"/>
          <w:szCs w:val="18"/>
          <w:lang w:val="es-AR"/>
        </w:rPr>
        <w:t xml:space="preserve"> </w:t>
      </w:r>
      <w:proofErr w:type="spellStart"/>
      <w:r w:rsidRPr="001A6FA4">
        <w:rPr>
          <w:rFonts w:ascii="Calibri" w:eastAsia="Calibri" w:hAnsi="Calibri" w:cs="Calibri"/>
          <w:sz w:val="18"/>
          <w:szCs w:val="18"/>
          <w:lang w:val="es-AR"/>
        </w:rPr>
        <w:t>Jain</w:t>
      </w:r>
      <w:proofErr w:type="spellEnd"/>
      <w:r w:rsidRPr="001A6FA4">
        <w:rPr>
          <w:rFonts w:ascii="Calibri" w:eastAsia="Calibri" w:hAnsi="Calibri" w:cs="Calibri"/>
          <w:sz w:val="18"/>
          <w:szCs w:val="18"/>
          <w:lang w:val="es-AR"/>
        </w:rPr>
        <w:t xml:space="preserve">, Amir </w:t>
      </w:r>
      <w:proofErr w:type="spellStart"/>
      <w:r w:rsidRPr="001A6FA4">
        <w:rPr>
          <w:rFonts w:ascii="Calibri" w:eastAsia="Calibri" w:hAnsi="Calibri" w:cs="Calibri"/>
          <w:sz w:val="18"/>
          <w:szCs w:val="18"/>
          <w:lang w:val="es-AR"/>
        </w:rPr>
        <w:t>Maleki</w:t>
      </w:r>
      <w:proofErr w:type="spellEnd"/>
      <w:r w:rsidRPr="001A6FA4">
        <w:rPr>
          <w:rFonts w:ascii="Calibri" w:eastAsia="Calibri" w:hAnsi="Calibri" w:cs="Calibri"/>
          <w:sz w:val="18"/>
          <w:szCs w:val="18"/>
          <w:lang w:val="es-AR"/>
        </w:rPr>
        <w:t xml:space="preserve">, y </w:t>
      </w:r>
      <w:proofErr w:type="spellStart"/>
      <w:r w:rsidRPr="001A6FA4">
        <w:rPr>
          <w:rFonts w:ascii="Calibri" w:eastAsia="Calibri" w:hAnsi="Calibri" w:cs="Calibri"/>
          <w:sz w:val="18"/>
          <w:szCs w:val="18"/>
          <w:lang w:val="es-AR"/>
        </w:rPr>
        <w:t>Nathalie</w:t>
      </w:r>
      <w:proofErr w:type="spellEnd"/>
      <w:r w:rsidRPr="001A6FA4">
        <w:rPr>
          <w:rFonts w:ascii="Calibri" w:eastAsia="Calibri" w:hAnsi="Calibri" w:cs="Calibri"/>
          <w:sz w:val="18"/>
          <w:szCs w:val="18"/>
          <w:lang w:val="es-AR"/>
        </w:rPr>
        <w:t xml:space="preserve"> </w:t>
      </w:r>
      <w:proofErr w:type="spellStart"/>
      <w:r w:rsidRPr="001A6FA4">
        <w:rPr>
          <w:rFonts w:ascii="Calibri" w:eastAsia="Calibri" w:hAnsi="Calibri" w:cs="Calibri"/>
          <w:sz w:val="18"/>
          <w:szCs w:val="18"/>
          <w:lang w:val="es-AR"/>
        </w:rPr>
        <w:t>Saade</w:t>
      </w:r>
      <w:proofErr w:type="spellEnd"/>
      <w:r w:rsidRPr="001A6FA4">
        <w:rPr>
          <w:rFonts w:ascii="Calibri" w:eastAsia="Calibri" w:hAnsi="Calibri" w:cs="Calibri"/>
          <w:sz w:val="18"/>
          <w:szCs w:val="18"/>
          <w:lang w:val="es-AR"/>
        </w:rPr>
        <w:t xml:space="preserve">. </w:t>
      </w:r>
      <w:r>
        <w:rPr>
          <w:rFonts w:ascii="Calibri" w:eastAsia="Calibri" w:hAnsi="Calibri" w:cs="Calibri"/>
          <w:sz w:val="18"/>
          <w:szCs w:val="18"/>
        </w:rPr>
        <w:t xml:space="preserve">2024. “To Fine-Tune or Not to Fine-Tune”. </w:t>
      </w:r>
      <w:r w:rsidRPr="006A2417">
        <w:rPr>
          <w:rFonts w:ascii="Calibri" w:eastAsia="Calibri" w:hAnsi="Calibri" w:cs="Calibri"/>
          <w:i/>
          <w:sz w:val="18"/>
          <w:szCs w:val="18"/>
          <w:lang w:val="es-AR"/>
        </w:rPr>
        <w:t>Meta AI</w:t>
      </w:r>
      <w:r w:rsidRPr="006A2417">
        <w:rPr>
          <w:rFonts w:ascii="Calibri" w:eastAsia="Calibri" w:hAnsi="Calibri" w:cs="Calibri"/>
          <w:sz w:val="18"/>
          <w:szCs w:val="18"/>
          <w:lang w:val="es-AR"/>
        </w:rPr>
        <w:t xml:space="preserve"> (blog). 7 de agosto de 2024.</w:t>
      </w:r>
      <w:hyperlink r:id="rId15">
        <w:r w:rsidRPr="006A2417">
          <w:rPr>
            <w:rFonts w:ascii="Calibri" w:eastAsia="Calibri" w:hAnsi="Calibri" w:cs="Calibri"/>
            <w:sz w:val="18"/>
            <w:szCs w:val="18"/>
            <w:lang w:val="es-AR"/>
          </w:rPr>
          <w:t xml:space="preserve"> </w:t>
        </w:r>
      </w:hyperlink>
      <w:hyperlink r:id="rId16">
        <w:r w:rsidRPr="006A2417">
          <w:rPr>
            <w:rFonts w:ascii="Calibri" w:eastAsia="Calibri" w:hAnsi="Calibri" w:cs="Calibri"/>
            <w:color w:val="1155CC"/>
            <w:sz w:val="18"/>
            <w:szCs w:val="18"/>
            <w:u w:val="single"/>
            <w:lang w:val="es-AR"/>
          </w:rPr>
          <w:t>https://ai.meta.com/blog/when-to-fine-tune-llms-vs-other-techniques/</w:t>
        </w:r>
      </w:hyperlink>
      <w:r w:rsidRPr="006A2417">
        <w:rPr>
          <w:rFonts w:ascii="Calibri" w:eastAsia="Calibri" w:hAnsi="Calibri" w:cs="Calibri"/>
          <w:sz w:val="18"/>
          <w:szCs w:val="18"/>
          <w:lang w:val="es-AR"/>
        </w:rPr>
        <w:t>.</w:t>
      </w:r>
    </w:p>
    <w:p w:rsidR="004830C0" w:rsidRDefault="00BF52D3">
      <w:pPr>
        <w:rPr>
          <w:rFonts w:ascii="Calibri" w:eastAsia="Calibri" w:hAnsi="Calibri" w:cs="Calibri"/>
          <w:sz w:val="18"/>
          <w:szCs w:val="18"/>
        </w:rPr>
      </w:pPr>
      <w:r>
        <w:rPr>
          <w:rFonts w:ascii="Calibri" w:eastAsia="Calibri" w:hAnsi="Calibri" w:cs="Calibri"/>
          <w:sz w:val="18"/>
          <w:szCs w:val="18"/>
        </w:rPr>
        <w:t xml:space="preserve">[4] “La Leaderboard - a Hugging Face Space by la-leaderboard”, Hugging Face. </w:t>
      </w:r>
      <w:hyperlink r:id="rId17">
        <w:r>
          <w:rPr>
            <w:rFonts w:ascii="Calibri" w:eastAsia="Calibri" w:hAnsi="Calibri" w:cs="Calibri"/>
            <w:color w:val="1155CC"/>
            <w:sz w:val="18"/>
            <w:szCs w:val="18"/>
            <w:u w:val="single"/>
          </w:rPr>
          <w:t>https://huggingface.co/spaces/la-leaderboard/la-leaderboard</w:t>
        </w:r>
      </w:hyperlink>
    </w:p>
    <w:sectPr w:rsidR="004830C0">
      <w:headerReference w:type="default" r:id="rId18"/>
      <w:pgSz w:w="11906" w:h="16838"/>
      <w:pgMar w:top="720" w:right="720" w:bottom="720" w:left="720" w:header="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676" w:rsidRDefault="001F4676">
      <w:r>
        <w:separator/>
      </w:r>
    </w:p>
  </w:endnote>
  <w:endnote w:type="continuationSeparator" w:id="0">
    <w:p w:rsidR="001F4676" w:rsidRDefault="001F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676" w:rsidRDefault="001F4676">
      <w:r>
        <w:separator/>
      </w:r>
    </w:p>
  </w:footnote>
  <w:footnote w:type="continuationSeparator" w:id="0">
    <w:p w:rsidR="001F4676" w:rsidRDefault="001F46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0C0" w:rsidRDefault="004830C0">
    <w:pPr>
      <w:widowControl w:val="0"/>
      <w:pBdr>
        <w:top w:val="nil"/>
        <w:left w:val="nil"/>
        <w:bottom w:val="nil"/>
        <w:right w:val="nil"/>
        <w:between w:val="nil"/>
      </w:pBdr>
      <w:spacing w:line="276" w:lineRule="auto"/>
      <w:rPr>
        <w:rFonts w:ascii="Calibri" w:eastAsia="Calibri" w:hAnsi="Calibri" w:cs="Calibri"/>
        <w:sz w:val="20"/>
        <w:szCs w:val="20"/>
      </w:rPr>
    </w:pPr>
  </w:p>
  <w:tbl>
    <w:tblPr>
      <w:tblStyle w:val="a8"/>
      <w:tblW w:w="10500" w:type="dxa"/>
      <w:tblBorders>
        <w:top w:val="nil"/>
        <w:left w:val="nil"/>
        <w:bottom w:val="nil"/>
        <w:right w:val="nil"/>
        <w:insideH w:val="nil"/>
        <w:insideV w:val="nil"/>
      </w:tblBorders>
      <w:tblLayout w:type="fixed"/>
      <w:tblLook w:val="0400" w:firstRow="0" w:lastRow="0" w:firstColumn="0" w:lastColumn="0" w:noHBand="0" w:noVBand="1"/>
    </w:tblPr>
    <w:tblGrid>
      <w:gridCol w:w="4590"/>
      <w:gridCol w:w="3015"/>
      <w:gridCol w:w="2895"/>
    </w:tblGrid>
    <w:tr w:rsidR="004830C0" w:rsidRPr="001A6FA4">
      <w:trPr>
        <w:trHeight w:val="1605"/>
      </w:trPr>
      <w:tc>
        <w:tcPr>
          <w:tcW w:w="4590" w:type="dxa"/>
          <w:vAlign w:val="center"/>
        </w:tcPr>
        <w:p w:rsidR="004830C0" w:rsidRDefault="00BF52D3">
          <w:pPr>
            <w:rPr>
              <w:rFonts w:ascii="Calibri" w:eastAsia="Calibri" w:hAnsi="Calibri" w:cs="Calibri"/>
              <w:i/>
            </w:rPr>
          </w:pPr>
          <w:r>
            <w:rPr>
              <w:rFonts w:ascii="Calibri" w:eastAsia="Calibri" w:hAnsi="Calibri" w:cs="Calibri"/>
              <w:b/>
              <w:noProof/>
              <w:sz w:val="20"/>
              <w:szCs w:val="20"/>
              <w:lang w:val="es-AR" w:eastAsia="es-AR" w:bidi="ar-SA"/>
            </w:rPr>
            <w:drawing>
              <wp:inline distT="0" distB="0" distL="0" distR="0">
                <wp:extent cx="1433320" cy="711351"/>
                <wp:effectExtent l="0" t="0" r="0" b="0"/>
                <wp:docPr id="1322413699" name="image1.png" descr="A logo with 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a red and blue logo&#10;&#10;Description automatically generated"/>
                        <pic:cNvPicPr preferRelativeResize="0"/>
                      </pic:nvPicPr>
                      <pic:blipFill>
                        <a:blip r:embed="rId1"/>
                        <a:srcRect l="6080" t="3190" r="6549" b="9984"/>
                        <a:stretch>
                          <a:fillRect/>
                        </a:stretch>
                      </pic:blipFill>
                      <pic:spPr>
                        <a:xfrm>
                          <a:off x="0" y="0"/>
                          <a:ext cx="1433320" cy="711351"/>
                        </a:xfrm>
                        <a:prstGeom prst="rect">
                          <a:avLst/>
                        </a:prstGeom>
                        <a:ln/>
                      </pic:spPr>
                    </pic:pic>
                  </a:graphicData>
                </a:graphic>
              </wp:inline>
            </w:drawing>
          </w:r>
        </w:p>
      </w:tc>
      <w:tc>
        <w:tcPr>
          <w:tcW w:w="3015" w:type="dxa"/>
          <w:vAlign w:val="center"/>
        </w:tcPr>
        <w:p w:rsidR="004830C0" w:rsidRDefault="004830C0">
          <w:pPr>
            <w:pBdr>
              <w:top w:val="nil"/>
              <w:left w:val="nil"/>
              <w:bottom w:val="nil"/>
              <w:right w:val="nil"/>
              <w:between w:val="nil"/>
            </w:pBdr>
            <w:jc w:val="center"/>
            <w:rPr>
              <w:rFonts w:ascii="Calibri" w:eastAsia="Calibri" w:hAnsi="Calibri" w:cs="Calibri"/>
              <w:b/>
              <w:color w:val="000000"/>
              <w:sz w:val="32"/>
              <w:szCs w:val="32"/>
            </w:rPr>
          </w:pPr>
        </w:p>
      </w:tc>
      <w:tc>
        <w:tcPr>
          <w:tcW w:w="2895" w:type="dxa"/>
          <w:vAlign w:val="bottom"/>
        </w:tcPr>
        <w:p w:rsidR="004830C0" w:rsidRPr="00536F13" w:rsidRDefault="00BF52D3">
          <w:pPr>
            <w:jc w:val="center"/>
            <w:rPr>
              <w:rFonts w:ascii="Calibri" w:eastAsia="Calibri" w:hAnsi="Calibri" w:cs="Calibri"/>
              <w:color w:val="073763"/>
              <w:sz w:val="22"/>
              <w:szCs w:val="22"/>
              <w:lang w:val="es-AR"/>
            </w:rPr>
          </w:pPr>
          <w:r w:rsidRPr="00536F13">
            <w:rPr>
              <w:rFonts w:ascii="Calibri" w:eastAsia="Calibri" w:hAnsi="Calibri" w:cs="Calibri"/>
              <w:color w:val="073763"/>
              <w:sz w:val="22"/>
              <w:szCs w:val="22"/>
              <w:lang w:val="es-AR"/>
            </w:rPr>
            <w:t xml:space="preserve">XLVIII Reunión anual de la </w:t>
          </w:r>
          <w:r w:rsidRPr="00536F13">
            <w:rPr>
              <w:rFonts w:ascii="Calibri" w:eastAsia="Calibri" w:hAnsi="Calibri" w:cs="Calibri"/>
              <w:color w:val="073763"/>
              <w:sz w:val="22"/>
              <w:szCs w:val="22"/>
              <w:lang w:val="es-AR"/>
            </w:rPr>
            <w:br/>
            <w:t>Asociación Argentina de Tecnología Nuclear</w:t>
          </w:r>
        </w:p>
      </w:tc>
    </w:tr>
  </w:tbl>
  <w:p w:rsidR="004830C0" w:rsidRPr="00536F13" w:rsidRDefault="004830C0">
    <w:pPr>
      <w:pBdr>
        <w:top w:val="nil"/>
        <w:left w:val="nil"/>
        <w:bottom w:val="nil"/>
        <w:right w:val="nil"/>
        <w:between w:val="nil"/>
      </w:pBdr>
      <w:tabs>
        <w:tab w:val="left" w:pos="1494"/>
        <w:tab w:val="left" w:pos="3847"/>
      </w:tabs>
      <w:rPr>
        <w:sz w:val="20"/>
        <w:szCs w:val="20"/>
        <w:lang w:val="es-A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C0"/>
    <w:rsid w:val="001A6FA4"/>
    <w:rsid w:val="001F4676"/>
    <w:rsid w:val="004830C0"/>
    <w:rsid w:val="00536F13"/>
    <w:rsid w:val="006A2417"/>
    <w:rsid w:val="00BF52D3"/>
    <w:rsid w:val="00CD55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1BEE"/>
  <w15:docId w15:val="{6CDABA6A-E5E4-4F08-BC9A-FF975CD1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U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0D"/>
    <w:rPr>
      <w:kern w:val="2"/>
      <w:lang w:eastAsia="zh-CN" w:bidi="hi-IN"/>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InternetLink">
    <w:name w:val="Internet Link"/>
    <w:basedOn w:val="Fuentedeprrafopredeter"/>
    <w:rsid w:val="00D9660D"/>
    <w:rPr>
      <w:rFonts w:eastAsia="Times New Roman"/>
      <w:color w:val="0000FF"/>
      <w:u w:val="single" w:color="000000"/>
    </w:rPr>
  </w:style>
  <w:style w:type="character" w:customStyle="1" w:styleId="ListLabel3">
    <w:name w:val="ListLabel 3"/>
    <w:qFormat/>
    <w:rsid w:val="00D9660D"/>
    <w:rPr>
      <w:rFonts w:ascii="Verdana" w:hAnsi="Verdana"/>
      <w:sz w:val="20"/>
    </w:rPr>
  </w:style>
  <w:style w:type="character" w:customStyle="1" w:styleId="ListLabel4">
    <w:name w:val="ListLabel 4"/>
    <w:qFormat/>
    <w:rsid w:val="00D9660D"/>
    <w:rPr>
      <w:rFonts w:ascii="Verdana" w:hAnsi="Verdana"/>
      <w:sz w:val="20"/>
    </w:rPr>
  </w:style>
  <w:style w:type="character" w:customStyle="1" w:styleId="ListLabel5">
    <w:name w:val="ListLabel 5"/>
    <w:qFormat/>
    <w:rsid w:val="00D9660D"/>
    <w:rPr>
      <w:rFonts w:ascii="Verdana" w:hAnsi="Verdana"/>
      <w:sz w:val="20"/>
    </w:rPr>
  </w:style>
  <w:style w:type="character" w:customStyle="1" w:styleId="ListLabel6">
    <w:name w:val="ListLabel 6"/>
    <w:qFormat/>
    <w:rsid w:val="00D9660D"/>
    <w:rPr>
      <w:rFonts w:ascii="Verdana" w:hAnsi="Verdana"/>
      <w:sz w:val="20"/>
    </w:rPr>
  </w:style>
  <w:style w:type="character" w:customStyle="1" w:styleId="ListLabel7">
    <w:name w:val="ListLabel 7"/>
    <w:qFormat/>
    <w:rsid w:val="00D9660D"/>
    <w:rPr>
      <w:rFonts w:ascii="Verdana" w:hAnsi="Verdana"/>
      <w:sz w:val="20"/>
    </w:rPr>
  </w:style>
  <w:style w:type="paragraph" w:customStyle="1" w:styleId="Heading">
    <w:name w:val="Heading"/>
    <w:basedOn w:val="Normal"/>
    <w:next w:val="Textoindependiente"/>
    <w:qFormat/>
    <w:rsid w:val="00D9660D"/>
    <w:pPr>
      <w:keepNext/>
      <w:spacing w:before="240" w:after="120"/>
    </w:pPr>
    <w:rPr>
      <w:rFonts w:ascii="Liberation Sans" w:hAnsi="Liberation Sans"/>
      <w:sz w:val="28"/>
      <w:szCs w:val="28"/>
    </w:rPr>
  </w:style>
  <w:style w:type="paragraph" w:styleId="Textoindependiente">
    <w:name w:val="Body Text"/>
    <w:basedOn w:val="Normal"/>
    <w:rsid w:val="00D9660D"/>
    <w:pPr>
      <w:spacing w:after="140" w:line="276" w:lineRule="auto"/>
    </w:pPr>
  </w:style>
  <w:style w:type="paragraph" w:styleId="Lista">
    <w:name w:val="List"/>
    <w:basedOn w:val="Textoindependiente"/>
    <w:rsid w:val="00D9660D"/>
  </w:style>
  <w:style w:type="paragraph" w:styleId="Descripcin">
    <w:name w:val="caption"/>
    <w:basedOn w:val="Normal"/>
    <w:qFormat/>
    <w:rsid w:val="00D9660D"/>
    <w:pPr>
      <w:spacing w:after="200"/>
    </w:pPr>
    <w:rPr>
      <w:b/>
      <w:color w:val="4F81BD"/>
      <w:sz w:val="18"/>
    </w:rPr>
  </w:style>
  <w:style w:type="paragraph" w:customStyle="1" w:styleId="Index">
    <w:name w:val="Index"/>
    <w:basedOn w:val="Normal"/>
    <w:qFormat/>
    <w:rsid w:val="00D9660D"/>
    <w:pPr>
      <w:suppressLineNumbers/>
    </w:pPr>
  </w:style>
  <w:style w:type="paragraph" w:customStyle="1" w:styleId="Encabezado1">
    <w:name w:val="Encabezado1"/>
    <w:basedOn w:val="Normal"/>
    <w:qFormat/>
    <w:rsid w:val="00D9660D"/>
    <w:pPr>
      <w:tabs>
        <w:tab w:val="center" w:pos="4419"/>
        <w:tab w:val="right" w:pos="8838"/>
      </w:tabs>
    </w:pPr>
    <w:rPr>
      <w:sz w:val="20"/>
      <w:lang w:val="es-ES"/>
    </w:rPr>
  </w:style>
  <w:style w:type="paragraph" w:customStyle="1" w:styleId="Piedepgina1">
    <w:name w:val="Pie de página1"/>
    <w:basedOn w:val="Normal"/>
    <w:qFormat/>
    <w:rsid w:val="00D9660D"/>
    <w:pPr>
      <w:tabs>
        <w:tab w:val="center" w:pos="4252"/>
        <w:tab w:val="right" w:pos="8504"/>
      </w:tabs>
    </w:pPr>
  </w:style>
  <w:style w:type="paragraph" w:customStyle="1" w:styleId="AuthorsAMCA">
    <w:name w:val="Authors AMCA"/>
    <w:basedOn w:val="Normal"/>
    <w:qFormat/>
    <w:rsid w:val="00D9660D"/>
    <w:pPr>
      <w:widowControl w:val="0"/>
      <w:spacing w:before="240" w:after="240"/>
      <w:jc w:val="center"/>
    </w:pPr>
    <w:rPr>
      <w:b/>
    </w:rPr>
  </w:style>
  <w:style w:type="paragraph" w:customStyle="1" w:styleId="AffiliationsAMCA">
    <w:name w:val="Affiliations AMCA"/>
    <w:basedOn w:val="Normal"/>
    <w:qFormat/>
    <w:rsid w:val="00D9660D"/>
    <w:pPr>
      <w:widowControl w:val="0"/>
      <w:tabs>
        <w:tab w:val="left" w:pos="142"/>
      </w:tabs>
      <w:spacing w:after="240" w:line="260" w:lineRule="atLeast"/>
      <w:jc w:val="center"/>
    </w:pPr>
    <w:rPr>
      <w:i/>
      <w:sz w:val="22"/>
      <w:lang w:val="es-ES"/>
    </w:rPr>
  </w:style>
  <w:style w:type="paragraph" w:customStyle="1" w:styleId="TableContents">
    <w:name w:val="Table Contents"/>
    <w:basedOn w:val="Normal"/>
    <w:qFormat/>
    <w:rsid w:val="00D9660D"/>
  </w:style>
  <w:style w:type="paragraph" w:styleId="Encabezado">
    <w:name w:val="header"/>
    <w:basedOn w:val="Normal"/>
    <w:link w:val="EncabezadoCar"/>
    <w:uiPriority w:val="99"/>
    <w:rsid w:val="00D9660D"/>
  </w:style>
  <w:style w:type="paragraph" w:styleId="Piedepgina">
    <w:name w:val="footer"/>
    <w:basedOn w:val="Normal"/>
    <w:rsid w:val="00D9660D"/>
  </w:style>
  <w:style w:type="paragraph" w:styleId="Textodeglobo">
    <w:name w:val="Balloon Text"/>
    <w:basedOn w:val="Normal"/>
    <w:link w:val="TextodegloboCar"/>
    <w:uiPriority w:val="99"/>
    <w:semiHidden/>
    <w:unhideWhenUsed/>
    <w:rsid w:val="00FF61C7"/>
    <w:rPr>
      <w:rFonts w:ascii="Tahoma" w:hAnsi="Tahoma" w:cs="Mangal"/>
      <w:sz w:val="16"/>
      <w:szCs w:val="14"/>
    </w:rPr>
  </w:style>
  <w:style w:type="character" w:customStyle="1" w:styleId="TextodegloboCar">
    <w:name w:val="Texto de globo Car"/>
    <w:basedOn w:val="Fuentedeprrafopredeter"/>
    <w:link w:val="Textodeglobo"/>
    <w:uiPriority w:val="99"/>
    <w:semiHidden/>
    <w:rsid w:val="00FF61C7"/>
    <w:rPr>
      <w:rFonts w:ascii="Tahoma" w:hAnsi="Tahoma" w:cs="Mangal"/>
      <w:sz w:val="16"/>
      <w:szCs w:val="14"/>
    </w:rPr>
  </w:style>
  <w:style w:type="character" w:styleId="nfasis">
    <w:name w:val="Emphasis"/>
    <w:basedOn w:val="Fuentedeprrafopredeter"/>
    <w:uiPriority w:val="20"/>
    <w:qFormat/>
    <w:rsid w:val="00CC3504"/>
    <w:rPr>
      <w:i/>
      <w:iCs/>
    </w:rPr>
  </w:style>
  <w:style w:type="character" w:styleId="Hipervnculo">
    <w:name w:val="Hyperlink"/>
    <w:basedOn w:val="Fuentedeprrafopredeter"/>
    <w:uiPriority w:val="99"/>
    <w:unhideWhenUsed/>
    <w:rsid w:val="00CC3504"/>
    <w:rPr>
      <w:color w:val="0563C1"/>
      <w:u w:val="single"/>
    </w:rPr>
  </w:style>
  <w:style w:type="character" w:styleId="Hipervnculovisitado">
    <w:name w:val="FollowedHyperlink"/>
    <w:basedOn w:val="Fuentedeprrafopredeter"/>
    <w:uiPriority w:val="99"/>
    <w:semiHidden/>
    <w:unhideWhenUsed/>
    <w:rsid w:val="00775A0F"/>
    <w:rPr>
      <w:color w:val="954F72"/>
      <w:u w:val="single"/>
    </w:rPr>
  </w:style>
  <w:style w:type="character" w:customStyle="1" w:styleId="EncabezadoCar">
    <w:name w:val="Encabezado Car"/>
    <w:basedOn w:val="Fuentedeprrafopredeter"/>
    <w:link w:val="Encabezado"/>
    <w:uiPriority w:val="99"/>
    <w:rsid w:val="00A41BF6"/>
    <w:rPr>
      <w:kern w:val="2"/>
      <w:sz w:val="24"/>
      <w:szCs w:val="24"/>
      <w:lang w:val="en-US" w:eastAsia="zh-CN" w:bidi="hi-IN"/>
    </w:rPr>
  </w:style>
  <w:style w:type="table" w:styleId="Tablaconcuadrcula">
    <w:name w:val="Table Grid"/>
    <w:basedOn w:val="Tablanormal"/>
    <w:uiPriority w:val="39"/>
    <w:rsid w:val="00A41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A41BF6"/>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utor@mmm.gob.ar" TargetMode="External"/><Relationship Id="rId13" Type="http://schemas.openxmlformats.org/officeDocument/2006/relationships/hyperlink" Target="https://doi.org/10.1002/ail2.33"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utor@mmm.gob.ar" TargetMode="External"/><Relationship Id="rId12" Type="http://schemas.openxmlformats.org/officeDocument/2006/relationships/hyperlink" Target="https://doi.org/10.1002/ail2.33" TargetMode="External"/><Relationship Id="rId17" Type="http://schemas.openxmlformats.org/officeDocument/2006/relationships/hyperlink" Target="https://huggingface.co/spaces/la-leaderboard/la-leaderboard" TargetMode="External"/><Relationship Id="rId2" Type="http://schemas.openxmlformats.org/officeDocument/2006/relationships/styles" Target="styles.xml"/><Relationship Id="rId16" Type="http://schemas.openxmlformats.org/officeDocument/2006/relationships/hyperlink" Target="https://ai.meta.com/blog/when-to-fine-tune-llms-vs-other-techniqu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utor@mmm.gob.ar" TargetMode="External"/><Relationship Id="rId5" Type="http://schemas.openxmlformats.org/officeDocument/2006/relationships/footnotes" Target="footnotes.xml"/><Relationship Id="rId15" Type="http://schemas.openxmlformats.org/officeDocument/2006/relationships/hyperlink" Target="https://ai.meta.com/blog/when-to-fine-tune-llms-vs-other-techniques/" TargetMode="External"/><Relationship Id="rId10" Type="http://schemas.openxmlformats.org/officeDocument/2006/relationships/hyperlink" Target="mailto:autor@mmm.gob.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utor@mmm.gob.ar" TargetMode="External"/><Relationship Id="rId14" Type="http://schemas.openxmlformats.org/officeDocument/2006/relationships/hyperlink" Target="https://www.argentina.gob.ar/arn/instalaciones-practicas-y-personal-regulado/marco-regulatorio/norm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MCGl4kgNOksRLE3hH4P7h98cw==">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Pulga Lucci</dc:creator>
  <cp:lastModifiedBy>ARN</cp:lastModifiedBy>
  <cp:revision>3</cp:revision>
  <dcterms:created xsi:type="dcterms:W3CDTF">2024-10-25T13:43:00Z</dcterms:created>
  <dcterms:modified xsi:type="dcterms:W3CDTF">2024-10-28T13:14:00Z</dcterms:modified>
</cp:coreProperties>
</file>