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52"/>
        </w:rPr>
        <w:t>轻量化共赢外卖系统</w:t>
      </w:r>
    </w:p>
    <w:p>
      <w:pPr>
        <w:spacing w:before="480" w:after="1200"/>
        <w:ind w:firstLine="0"/>
        <w:jc w:val="center"/>
      </w:pPr>
      <w:r>
        <w:rPr>
          <w:rFonts w:ascii="Times New Roman" w:hAnsi="Times New Roman" w:eastAsia="楷体"/>
          <w:b w:val="0"/>
          <w:color w:val="000000"/>
          <w:sz w:val="32"/>
        </w:rPr>
        <w:t>产品需求文档（PRD）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文档名称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轻量化共赢外卖系统产品需求文档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编写人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产品经理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最后更新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2026-08-10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文档状态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已评审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密级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内部资料</w:t>
            </w:r>
          </w:p>
        </w:tc>
      </w:tr>
    </w:tbl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after="24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文档信息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文档修订记录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文档目的与读者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名词与约定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5" w:history="1">
        <w:r>
          <w:t>2 产品概述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2.1 产品背景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2.2 产品定位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2.3 产品目标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9" w:history="1">
        <w:r>
          <w:t>3 市场与竞品分析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3.1 行业现状与问题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3.2 竞品分析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3.3 差异化策略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3" w:history="1">
        <w:r>
          <w:t>4 用户角色与需求分析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4.1 消费者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4.2 商家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4.3 骑手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4.4 需求优先级总表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8" w:history="1">
        <w:r>
          <w:t>5 产品架构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5.1 功能架构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5.2 核心业务流程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1" w:history="1">
        <w:r>
          <w:t>6 功能需求详述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6.1 消费者端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6.2 商家端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4" w:history="1">
        <w:r>
          <w:t>6.3 骑手端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6.4 平台后台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6" w:history="1">
        <w:r>
          <w:t>7 核心机制设计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7" w:history="1">
        <w:r>
          <w:t>7.1 阶梯佣金机制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8" w:history="1">
        <w:r>
          <w:t>7.2 配送考核机制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9" w:history="1">
        <w:r>
          <w:t>7.3 智能售后仲裁机制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0" w:history="1">
        <w:r>
          <w:t>8 数据指标体系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1" w:history="1">
        <w:r>
          <w:t>9 非功能需求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2" w:history="1">
        <w:r>
          <w:t>9.1 性能需求</w:t>
        </w:r>
        <w:r>
          <w:tab/>
        </w:r>
        <w:r>
          <w:fldChar w:fldCharType="begin"/>
        </w:r>
        <w:r>
          <w:instrText xml:space="preserve"> PAGEREF _LarkToc00032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3" w:history="1">
        <w:r>
          <w:t>9.2 安全需求</w:t>
        </w:r>
        <w:r>
          <w:tab/>
        </w:r>
        <w:r>
          <w:fldChar w:fldCharType="begin"/>
        </w:r>
        <w:r>
          <w:instrText xml:space="preserve"> PAGEREF _LarkToc00033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4" w:history="1">
        <w:r>
          <w:t>9.3 兼容性需求</w:t>
        </w:r>
        <w:r>
          <w:tab/>
        </w:r>
        <w:r>
          <w:fldChar w:fldCharType="begin"/>
        </w:r>
        <w:r>
          <w:instrText xml:space="preserve"> PAGEREF _LarkToc00034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5" w:history="1">
        <w:r>
          <w:t>10 合规与风险管理</w:t>
        </w:r>
        <w:r>
          <w:tab/>
        </w:r>
        <w:r>
          <w:fldChar w:fldCharType="begin"/>
        </w:r>
        <w:r>
          <w:instrText xml:space="preserve"> PAGEREF _LarkToc00035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6" w:history="1">
        <w:r>
          <w:t>10.1 合规要求</w:t>
        </w:r>
        <w:r>
          <w:tab/>
        </w:r>
        <w:r>
          <w:fldChar w:fldCharType="begin"/>
        </w:r>
        <w:r>
          <w:instrText xml:space="preserve"> PAGEREF _LarkToc00036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7" w:history="1">
        <w:r>
          <w:t>10.2 风险清单及应对</w:t>
        </w:r>
        <w:r>
          <w:tab/>
        </w:r>
        <w:r>
          <w:fldChar w:fldCharType="begin"/>
        </w:r>
        <w:r>
          <w:instrText xml:space="preserve"> PAGEREF _LarkToc00037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8" w:history="1">
        <w:r>
          <w:t>11 版本规划</w:t>
        </w:r>
        <w:r>
          <w:tab/>
        </w:r>
        <w:r>
          <w:fldChar w:fldCharType="begin"/>
        </w:r>
        <w:r>
          <w:instrText xml:space="preserve"> PAGEREF _LarkToc00038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9" w:history="1">
        <w:r>
          <w:t>11.1 MVP 范围（P0）</w:t>
        </w:r>
        <w:r>
          <w:tab/>
        </w:r>
        <w:r>
          <w:fldChar w:fldCharType="begin"/>
        </w:r>
        <w:r>
          <w:instrText xml:space="preserve"> PAGEREF _LarkToc00039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0" w:history="1">
        <w:r>
          <w:t>11.2 P1 范围</w:t>
        </w:r>
        <w:r>
          <w:tab/>
        </w:r>
        <w:r>
          <w:fldChar w:fldCharType="begin"/>
        </w:r>
        <w:r>
          <w:instrText xml:space="preserve"> PAGEREF _LarkToc00040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1" w:history="1">
        <w:r>
          <w:t>11.3 P2 范围</w:t>
        </w:r>
        <w:r>
          <w:tab/>
        </w:r>
        <w:r>
          <w:fldChar w:fldCharType="begin"/>
        </w:r>
        <w:r>
          <w:instrText xml:space="preserve"> PAGEREF _LarkToc00041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2" w:history="1">
        <w:r>
          <w:t>11.4 里程碑排期</w:t>
        </w:r>
        <w:r>
          <w:tab/>
        </w:r>
        <w:r>
          <w:fldChar w:fldCharType="begin"/>
        </w:r>
        <w:r>
          <w:instrText xml:space="preserve"> PAGEREF _LarkToc00042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43" w:history="1">
        <w:r>
          <w:t>12 附录</w:t>
        </w:r>
        <w:r>
          <w:tab/>
        </w:r>
        <w:r>
          <w:fldChar w:fldCharType="begin"/>
        </w:r>
        <w:r>
          <w:instrText xml:space="preserve"> PAGEREF _LarkToc00043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4" w:history="1">
        <w:r>
          <w:t>12.1 术语表</w:t>
        </w:r>
        <w:r>
          <w:tab/>
        </w:r>
        <w:r>
          <w:fldChar w:fldCharType="begin"/>
        </w:r>
        <w:r>
          <w:instrText xml:space="preserve"> PAGEREF _LarkToc00044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5" w:history="1">
        <w:r>
          <w:t>12.2 待确认问题</w:t>
        </w:r>
        <w:r>
          <w:tab/>
        </w:r>
        <w:r>
          <w:fldChar w:fldCharType="begin"/>
        </w:r>
        <w:r>
          <w:instrText xml:space="preserve"> PAGEREF _LarkToc00045 \h </w:instrText>
        </w:r>
        <w:r>
          <w:fldChar w:fldCharType="separate"/>
        </w:r>
        <w:r>
          <w:t>15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bookmarkStart w:id="1" w:name="_LarkToc00001"/>
      <w:r>
        <w:rPr>
          <w:rFonts w:ascii="Times New Roman" w:hAnsi="Times New Roman" w:eastAsia="黑体"/>
          <w:color w:val="000000"/>
        </w:rPr>
        <w:t>1 文档信息</w:t>
      </w:r>
      <w:bookmarkEnd w:id="1"/>
    </w:p>
    <w:p>
      <w:pPr>
        <w:pStyle w:val="Heading2"/>
      </w:pPr>
      <w:bookmarkStart w:id="2" w:name="_LarkToc00002"/>
      <w:r>
        <w:rPr>
          <w:rFonts w:ascii="Times New Roman" w:hAnsi="Times New Roman" w:eastAsia="黑体"/>
          <w:color w:val="000000"/>
        </w:rPr>
        <w:t>1.1 文档修订记录</w:t>
      </w:r>
      <w:bookmarkEnd w:id="2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修订人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修订说明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V0.1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2026-07-05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产品经理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初稿框架搭建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草稿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V0.9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2026-07-28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产品经理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需求评审修订，补充核心机制规则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评审稿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产品经理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评审通过，形成基线版本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已评审</w:t>
            </w:r>
          </w:p>
        </w:tc>
      </w:tr>
    </w:tbl>
    <w:p>
      <w:pPr>
        <w:pStyle w:val="Heading2"/>
      </w:pPr>
      <w:bookmarkStart w:id="3" w:name="_LarkToc00003"/>
      <w:r>
        <w:rPr>
          <w:rFonts w:ascii="Times New Roman" w:hAnsi="Times New Roman" w:eastAsia="黑体"/>
          <w:color w:val="000000"/>
        </w:rPr>
        <w:t>1.2 文档目的与读者</w:t>
      </w:r>
      <w:bookmarkEnd w:id="3"/>
    </w:p>
    <w:p>
      <w:r>
        <w:rPr>
          <w:rFonts w:ascii="Times New Roman" w:hAnsi="Times New Roman" w:eastAsia="宋体"/>
          <w:b w:val="0"/>
          <w:color w:val="000000"/>
          <w:sz w:val="24"/>
        </w:rPr>
        <w:t>本文档为轻量化共赢外卖系统的产品需求说明书，用于明确产品定位、用户角色、功能范围、核心业务机制、非功能需求与版本规划，作为研发、测试、设计、运营等角色开展开发与验收工作的统一依据。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主要读者包括：产品团队、研发团队（后端、前端、客户端）、测试团队、UI/UX 设计团队、运营团队及相关业务方。</w:t>
      </w:r>
    </w:p>
    <w:p>
      <w:pPr>
        <w:pStyle w:val="Heading2"/>
      </w:pPr>
      <w:bookmarkStart w:id="4" w:name="_LarkToc00004"/>
      <w:r>
        <w:rPr>
          <w:rFonts w:ascii="Times New Roman" w:hAnsi="Times New Roman" w:eastAsia="黑体"/>
          <w:color w:val="000000"/>
        </w:rPr>
        <w:t>1.3 名词与约定</w:t>
      </w:r>
      <w:bookmarkEnd w:id="4"/>
    </w:p>
    <w:p>
      <w:r>
        <w:rPr>
          <w:rFonts w:ascii="Times New Roman" w:hAnsi="Times New Roman" w:eastAsia="宋体"/>
          <w:b w:val="0"/>
          <w:color w:val="000000"/>
          <w:sz w:val="24"/>
        </w:rPr>
        <w:t>文中需求按优先级分为 P0（MVP 必须实现）、P1（重要，一期迭代实现）、P2（增强，后续迭代实现）。文中涉及的各项指标数值均为方案目标设定值，需在产品上线后根据真实基线数据进行校准。</w:t>
      </w:r>
    </w:p>
    <w:p>
      <w:pPr>
        <w:pStyle w:val="Heading1"/>
      </w:pPr>
      <w:bookmarkStart w:id="5" w:name="_LarkToc00005"/>
      <w:r>
        <w:rPr>
          <w:rFonts w:ascii="Times New Roman" w:hAnsi="Times New Roman" w:eastAsia="黑体"/>
          <w:color w:val="000000"/>
        </w:rPr>
        <w:t>2 产品概述</w:t>
      </w:r>
      <w:bookmarkEnd w:id="5"/>
    </w:p>
    <w:p>
      <w:pPr>
        <w:pStyle w:val="Heading2"/>
      </w:pPr>
      <w:bookmarkStart w:id="6" w:name="_LarkToc00006"/>
      <w:r>
        <w:rPr>
          <w:rFonts w:ascii="Times New Roman" w:hAnsi="Times New Roman" w:eastAsia="黑体"/>
          <w:color w:val="000000"/>
        </w:rPr>
        <w:t>2.1 产品背景</w:t>
      </w:r>
      <w:bookmarkEnd w:id="6"/>
    </w:p>
    <w:p>
      <w:r>
        <w:rPr>
          <w:rFonts w:ascii="Times New Roman" w:hAnsi="Times New Roman" w:eastAsia="宋体"/>
          <w:b w:val="0"/>
          <w:color w:val="000000"/>
          <w:sz w:val="24"/>
        </w:rPr>
        <w:t>外卖行业经过多年高速发展，市场已进入存量竞争阶段，平台生态内消费者、商家、骑手三方利益失衡的问题日益突出：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（1）商家侧：中小商家佣金负担较重，平台抽成结构中固定费用占比偏高，新店与中小体量商家缺乏费率扶持；大型连锁品牌反而凭借规模获得协议议价权，进一步加剧商家群体的马太效应。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（2）骑手侧：单均收入稳定性不足，配送考核规则透明度有限，恶劣天气、商家出餐慢等异常场景下的责任界定模糊，骑手申诉通道不顺畅。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（3）消费者侧：售后纠纷处理流程冗长，责任判定高度依赖人工，既存在用户维权难的问题，也存在恶意索赔挤占正常售后资源的问题。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同时，监管政策持续强化平台企业的主体责任，要求平台保障各方主体合法权益、公开交易规则、完善争议解决机制。在此背景下，本项目以“轻量化 + 共赢”为原则，对外卖平台的交易与治理机制进行 0-1 重构设计，探索兼顾三方利益的可持续平台模式。</w:t>
      </w:r>
    </w:p>
    <w:p>
      <w:pPr>
        <w:pStyle w:val="Heading2"/>
      </w:pPr>
      <w:bookmarkStart w:id="7" w:name="_LarkToc00007"/>
      <w:r>
        <w:rPr>
          <w:rFonts w:ascii="Times New Roman" w:hAnsi="Times New Roman" w:eastAsia="黑体"/>
          <w:color w:val="000000"/>
        </w:rPr>
        <w:t>2.2 产品定位</w:t>
      </w:r>
      <w:bookmarkEnd w:id="7"/>
    </w:p>
    <w:p>
      <w:r>
        <w:rPr>
          <w:rFonts w:ascii="Times New Roman" w:hAnsi="Times New Roman" w:eastAsia="宋体"/>
          <w:b w:val="0"/>
          <w:color w:val="000000"/>
          <w:sz w:val="24"/>
        </w:rPr>
        <w:t>本产品定位为面向本地生活服务场景、以多方利益平衡为核心的轻量化外卖交易与治理平台。与常规外卖平台的区别在于：不做大而全的功能堆叠，聚焦“交易闭环 + 公平机制”两条主线，通过阶梯佣金、透明配送考核、智能售后仲裁三项核心机制，实现平台、商家、骑手、消费者四方关系的再平衡。</w:t>
      </w:r>
    </w:p>
    <w:p>
      <w:pPr>
        <w:pStyle w:val="Heading2"/>
      </w:pPr>
      <w:bookmarkStart w:id="8" w:name="_LarkToc00008"/>
      <w:r>
        <w:rPr>
          <w:rFonts w:ascii="Times New Roman" w:hAnsi="Times New Roman" w:eastAsia="黑体"/>
          <w:color w:val="000000"/>
        </w:rPr>
        <w:t>2.3 产品目标</w:t>
      </w:r>
      <w:bookmarkEnd w:id="8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目标维度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具体指标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时间周期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交易闭环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下单支付成功率不低于 99%，订单平均履约时长不超过 35 分钟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上线后 3 个月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商家生态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中小商家月均净收入提升 10%，商家月流失率不超过 3%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上线后 6 个月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骑手生态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骑手单均收入波动幅度不超过 ±15%，考核申诉通过率不低于 70%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上线后 6 个月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消费者体验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售后平均解决时长不超过 24 小时，NPS 不低于 40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上线后 6 个月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平台健康度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纠纷率不超过 2%，恶意索赔拦截率不低于 80%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上线后 6 个月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2-1 产品目标指标（目标设定值，上线后按基线校准）</w:t>
      </w:r>
    </w:p>
    <w:p>
      <w:pPr>
        <w:pStyle w:val="Heading1"/>
      </w:pPr>
      <w:bookmarkStart w:id="9" w:name="_LarkToc00009"/>
      <w:r>
        <w:rPr>
          <w:rFonts w:ascii="Times New Roman" w:hAnsi="Times New Roman" w:eastAsia="黑体"/>
          <w:color w:val="000000"/>
        </w:rPr>
        <w:t>3 市场与竞品分析</w:t>
      </w:r>
      <w:bookmarkEnd w:id="9"/>
    </w:p>
    <w:p>
      <w:pPr>
        <w:pStyle w:val="Heading2"/>
      </w:pPr>
      <w:bookmarkStart w:id="10" w:name="_LarkToc00010"/>
      <w:r>
        <w:rPr>
          <w:rFonts w:ascii="Times New Roman" w:hAnsi="Times New Roman" w:eastAsia="黑体"/>
          <w:color w:val="000000"/>
        </w:rPr>
        <w:t>3.1 行业现状与问题</w:t>
      </w:r>
      <w:bookmarkEnd w:id="10"/>
    </w:p>
    <w:p>
      <w:r>
        <w:rPr>
          <w:rFonts w:ascii="Times New Roman" w:hAnsi="Times New Roman" w:eastAsia="宋体"/>
          <w:b w:val="0"/>
          <w:color w:val="000000"/>
          <w:sz w:val="24"/>
        </w:rPr>
        <w:t>外卖市场用户规模与订单规模庞大，但增长趋缓，平台竞争重心从“抢用户”转向“抢商家、稳运力、优体验”。行业普遍存在的问题包括：佣金结构不透明、中小商家经营压力大；骑手收入与考核规则争议频发；售后纠纷处理效率低、责任判定标准不统一；恶意索赔与正常维权边界模糊。这些问题构成三方利益失衡的根源，也是本产品机制重构的切入点。</w:t>
      </w:r>
    </w:p>
    <w:p>
      <w:pPr>
        <w:pStyle w:val="Heading2"/>
      </w:pPr>
      <w:bookmarkStart w:id="11" w:name="_LarkToc00011"/>
      <w:r>
        <w:rPr>
          <w:rFonts w:ascii="Times New Roman" w:hAnsi="Times New Roman" w:eastAsia="黑体"/>
          <w:color w:val="000000"/>
        </w:rPr>
        <w:t>3.2 竞品分析</w:t>
      </w:r>
      <w:bookmarkEnd w:id="11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竞品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佣金机制现状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售后机制现状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可借鉴点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机会点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美团外卖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已推行费率透明化，佣金拆分为技术服务费与履约服务费，技术服务费比例约 6%-8%（根据公开资料），小额订单设每单保底佣金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用户发起售后，商家先协商，协商失败平台客服介入；复杂纠纷依赖人工，部分场景引入大众评审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费率透明化思路、履约费与技术服务费分离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缺少对中小商家的阶梯扶持；售后风险前置拦截不足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饿了么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佣金结构类似，按商家规模与增值服务差异化定价，大品牌可谈协议价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用户发起售后，商家协商与平台介入结合，人工客服为主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商家分层运营经验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普通小商家费率红利不足；缺少标准化仲裁产品流程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传统自营/区域平台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自营配送与抽佣模式并存，规则简单但灵活度低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售后流程以人工为主，缺少数据化判定依据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轻量化运营模式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机制数字化、规则标准化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3-1 竞品分析（依据公开资料整理）</w:t>
      </w:r>
    </w:p>
    <w:p>
      <w:pPr>
        <w:pStyle w:val="Heading2"/>
      </w:pPr>
      <w:bookmarkStart w:id="12" w:name="_LarkToc00012"/>
      <w:r>
        <w:rPr>
          <w:rFonts w:ascii="Times New Roman" w:hAnsi="Times New Roman" w:eastAsia="黑体"/>
          <w:color w:val="000000"/>
        </w:rPr>
        <w:t>3.3 差异化策略</w:t>
      </w:r>
      <w:bookmarkEnd w:id="12"/>
    </w:p>
    <w:p>
      <w:r>
        <w:rPr>
          <w:rFonts w:ascii="Times New Roman" w:hAnsi="Times New Roman" w:eastAsia="宋体"/>
          <w:b w:val="0"/>
          <w:color w:val="000000"/>
          <w:sz w:val="24"/>
        </w:rPr>
        <w:t>（1）佣金端差异化：采用按商家月成交订单量划分档位的阶梯佣金机制，订单量越低佣金扣点越低，优先扶持新店与中小商家，与主流平台“大商家享协议价”的导向形成反向差异。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（2）治理端差异化：建立标准化智能售后仲裁流程，将风险识别前置到产品规则层，在系统初判环节即对恶意索赔进行拦截，减少对人工事后审核的依赖。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（3）配送端差异化：考核规则透明化，异常场景责任分流，配套申诉通道，提升骑手对考核结果的信任度。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（4）轻量化差异化：MVP 阶段仅保留核心交易闭环与基础治理能力，复杂机制分期上线，控制首版复杂度和落地风险。</w:t>
      </w:r>
    </w:p>
    <w:p>
      <w:pPr>
        <w:pStyle w:val="Heading1"/>
      </w:pPr>
      <w:bookmarkStart w:id="13" w:name="_LarkToc00013"/>
      <w:r>
        <w:rPr>
          <w:rFonts w:ascii="Times New Roman" w:hAnsi="Times New Roman" w:eastAsia="黑体"/>
          <w:color w:val="000000"/>
        </w:rPr>
        <w:t>4 用户角色与需求分析</w:t>
      </w:r>
      <w:bookmarkEnd w:id="13"/>
    </w:p>
    <w:p>
      <w:pPr>
        <w:pStyle w:val="Heading2"/>
      </w:pPr>
      <w:bookmarkStart w:id="14" w:name="_LarkToc00014"/>
      <w:r>
        <w:rPr>
          <w:rFonts w:ascii="Times New Roman" w:hAnsi="Times New Roman" w:eastAsia="黑体"/>
          <w:color w:val="000000"/>
        </w:rPr>
        <w:t>4.1 消费者</w:t>
      </w:r>
      <w:bookmarkEnd w:id="14"/>
    </w:p>
    <w:p>
      <w:r>
        <w:rPr>
          <w:rFonts w:ascii="Times New Roman" w:hAnsi="Times New Roman" w:eastAsia="宋体"/>
          <w:b w:val="0"/>
          <w:color w:val="000000"/>
          <w:sz w:val="24"/>
        </w:rPr>
        <w:t>画像：以 18-40 岁城市居民为主，高频外卖用户集中于上班族与高校学生，对配送时效、餐品质量、售后体验敏感。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核心痛点：（1）售后维权流程冗长，责任判定不透明；（2）部分异常场景（餐品洒漏、错送）取证难；（3）对平台规则（如配送费、优惠）不透明产生不信任。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核心诉求：下单便捷、配送准时、餐品有保障、售后处理快且公正。</w:t>
      </w:r>
    </w:p>
    <w:p>
      <w:pPr>
        <w:pStyle w:val="Heading2"/>
      </w:pPr>
      <w:bookmarkStart w:id="15" w:name="_LarkToc00015"/>
      <w:r>
        <w:rPr>
          <w:rFonts w:ascii="Times New Roman" w:hAnsi="Times New Roman" w:eastAsia="黑体"/>
          <w:color w:val="000000"/>
        </w:rPr>
        <w:t>4.2 商家</w:t>
      </w:r>
      <w:bookmarkEnd w:id="15"/>
    </w:p>
    <w:p>
      <w:r>
        <w:rPr>
          <w:rFonts w:ascii="Times New Roman" w:hAnsi="Times New Roman" w:eastAsia="宋体"/>
          <w:b w:val="0"/>
          <w:color w:val="000000"/>
          <w:sz w:val="24"/>
        </w:rPr>
        <w:t>画像：以中小餐饮商户为主，经营者对平台佣金成本、订单量、出餐效率高度关注，数字化经营能力参差不齐。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核心痛点：（1）佣金与固定费用负担重，中小商家利润空间被压缩；（2）平台规则复杂，账目不透明；（3）售后纠纷中商家常被动承担损失，申诉难度大。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核心诉求：低门槛入驻、费率公平透明、订单稳定、纠纷处理公正。</w:t>
      </w:r>
    </w:p>
    <w:p>
      <w:pPr>
        <w:pStyle w:val="Heading2"/>
      </w:pPr>
      <w:bookmarkStart w:id="16" w:name="_LarkToc00016"/>
      <w:r>
        <w:rPr>
          <w:rFonts w:ascii="Times New Roman" w:hAnsi="Times New Roman" w:eastAsia="黑体"/>
          <w:color w:val="000000"/>
        </w:rPr>
        <w:t>4.3 骑手</w:t>
      </w:r>
      <w:bookmarkEnd w:id="16"/>
    </w:p>
    <w:p>
      <w:r>
        <w:rPr>
          <w:rFonts w:ascii="Times New Roman" w:hAnsi="Times New Roman" w:eastAsia="宋体"/>
          <w:b w:val="0"/>
          <w:color w:val="000000"/>
          <w:sz w:val="24"/>
        </w:rPr>
        <w:t>画像：以外卖配送为专职或兼职收入来源的劳动者，对派单量、单均收入、考核规则、异常免责机制高度敏感。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核心痛点：（1）单均收入不稳定；（2）考核规则不透明，异常场景（恶劣天气、商家出餐慢）被扣罚；（3）申诉渠道不畅，责任判定缺乏依据。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核心诉求：收入稳定、考核公平、异常免责机制明确、申诉有据可依。</w:t>
      </w:r>
    </w:p>
    <w:p>
      <w:pPr>
        <w:pStyle w:val="Heading2"/>
      </w:pPr>
      <w:bookmarkStart w:id="17" w:name="_LarkToc00017"/>
      <w:r>
        <w:rPr>
          <w:rFonts w:ascii="Times New Roman" w:hAnsi="Times New Roman" w:eastAsia="黑体"/>
          <w:color w:val="000000"/>
        </w:rPr>
        <w:t>4.4 需求优先级总表</w:t>
      </w:r>
      <w:bookmarkEnd w:id="17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面向角色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用户价值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实现难度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店铺浏览与搜索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消费者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下单与支付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消费者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订单追踪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消费者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基础售后（商家协商）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消费者/商家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门店与商品管理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订单管理与出餐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阶梯佣金结算（V1）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商家/平台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商家入驻审核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商家/平台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骑手接单与配送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骑手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配送考核机制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骑手/平台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骑手异常上报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骑手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骑手收入明细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骑手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评价体系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消费者/商家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完整智能售后仲裁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三方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风控中心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经营数据看板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商家/平台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4-1 需求优先级总表</w:t>
      </w:r>
    </w:p>
    <w:p>
      <w:pPr>
        <w:pStyle w:val="Heading1"/>
      </w:pPr>
      <w:bookmarkStart w:id="18" w:name="_LarkToc00018"/>
      <w:r>
        <w:rPr>
          <w:rFonts w:ascii="Times New Roman" w:hAnsi="Times New Roman" w:eastAsia="黑体"/>
          <w:color w:val="000000"/>
        </w:rPr>
        <w:t>5 产品架构</w:t>
      </w:r>
      <w:bookmarkEnd w:id="18"/>
    </w:p>
    <w:p>
      <w:pPr>
        <w:pStyle w:val="Heading2"/>
      </w:pPr>
      <w:bookmarkStart w:id="19" w:name="_LarkToc00019"/>
      <w:r>
        <w:rPr>
          <w:rFonts w:ascii="Times New Roman" w:hAnsi="Times New Roman" w:eastAsia="黑体"/>
          <w:color w:val="000000"/>
        </w:rPr>
        <w:t>5.1 功能架构</w:t>
      </w:r>
      <w:bookmarkEnd w:id="19"/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轻量化共赢外卖系统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├── 消费者端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│   ├── 店铺浏览与搜索（P0）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│   ├── 下单与支付（P0）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│   ├── 订单追踪（P0）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│   ├── 评价（P1）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│   └── 售后申请（P0 基础 / P2 完整仲裁）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├── 商家端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│   ├── 门店与商品管理（P0）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│   ├── 订单管理与出餐（P0）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│   ├── 佣金账单与结算（P0）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│   ├── 售后处理（P0 基础 / P2 完整仲裁）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│   └── 经营数据看板（P2）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├── 骑手端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│   ├── 接单与配送（P0）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│   ├── 配送考核（P1）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│   ├── 异常上报（P1）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│   └── 收入明细（P1）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└── 平台后台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├── 商家入驻与审核（P0）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├── 佣金规则配置（P0）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├── 配送考核配置（P1）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├── 仲裁中心（P2）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├── 风控中心（P2）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    └── 数据看板（P2）</w:t>
      </w:r>
    </w:p>
    <w:p>
      <w:pPr>
        <w:pStyle w:val="Heading2"/>
      </w:pPr>
      <w:bookmarkStart w:id="20" w:name="_LarkToc00020"/>
      <w:r>
        <w:rPr>
          <w:rFonts w:ascii="Times New Roman" w:hAnsi="Times New Roman" w:eastAsia="黑体"/>
          <w:color w:val="000000"/>
        </w:rPr>
        <w:t>5.2 核心业务流程</w:t>
      </w:r>
      <w:bookmarkEnd w:id="20"/>
    </w:p>
    <w:p>
      <w:r>
        <w:rPr>
          <w:rFonts w:ascii="Times New Roman" w:hAnsi="Times New Roman" w:eastAsia="宋体"/>
          <w:b w:val="0"/>
          <w:color w:val="000000"/>
          <w:sz w:val="24"/>
        </w:rPr>
        <w:t>（1）下单履约流程：消费者浏览店铺并选择商品，提交订单完成支付；平台向商家推送订单，商家接单并出餐；平台调度骑手取餐并配送；消费者确认收货后进行评价。该流程为 MVP 阶段必须跑通的主链路。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（2）佣金结算流程：订单完成履约后，系统按商家当月累计成交订单量确定所处佣金档位，计算该笔订单佣金并生成账单；平台与商家按结算周期完成资金结算，商家可在账单中查看佣金明细与档位依据。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3）售后仲裁流程：消费者发起售后申请并提交凭证；系统自动拉取订单信息、配送轨迹、商家出餐记录，按预设规则判定责任归属；涉及风险标记的申请转入人工复核；处理结果通知三方并全程留痕。完整仲裁流程在 P2 阶段上线，MVP 阶段仅提供商家与消费者协商的基础售后。</w:t>
      </w:r>
    </w:p>
    <w:p>
      <w:pPr>
        <w:pStyle w:val="Heading1"/>
      </w:pPr>
      <w:bookmarkStart w:id="21" w:name="_LarkToc00021"/>
      <w:r>
        <w:rPr>
          <w:rFonts w:ascii="Times New Roman" w:hAnsi="Times New Roman" w:eastAsia="黑体"/>
          <w:color w:val="000000"/>
        </w:rPr>
        <w:t>6 功能需求详述</w:t>
      </w:r>
      <w:bookmarkEnd w:id="21"/>
    </w:p>
    <w:p>
      <w:pPr>
        <w:pStyle w:val="Heading2"/>
      </w:pPr>
      <w:bookmarkStart w:id="22" w:name="_LarkToc00022"/>
      <w:r>
        <w:rPr>
          <w:rFonts w:ascii="Times New Roman" w:hAnsi="Times New Roman" w:eastAsia="黑体"/>
          <w:color w:val="000000"/>
        </w:rPr>
        <w:t>6.1 消费者端</w:t>
      </w:r>
      <w:bookmarkEnd w:id="22"/>
    </w:p>
    <w:p>
      <w:pPr>
        <w:pStyle w:val="Heading3"/>
      </w:pPr>
      <w:r>
        <w:rPr>
          <w:rFonts w:ascii="Times New Roman" w:hAnsi="Times New Roman" w:eastAsia="黑体"/>
          <w:color w:val="000000"/>
        </w:rPr>
        <w:t>6.1.1 店铺浏览与搜索（P0）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功能描述：消费者查看附近/搜索结果中的店铺列表，进入店铺查看菜品、价格、评分等信息。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交互流程：（1）首页按地理位置展示附近店铺列表，支持按品类、评分、销量筛选；（2）进入店铺页查看菜品分类、详情、起送价与配送费；（3）支持关键词搜索店铺与菜品。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异常处理：定位失败时提示手动选择地址；店铺已打烊时明确标识并禁止下单。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6.1.2 下单与支付（P0）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功能描述：消费者将菜品加入购物车、确认订单信息并完成支付。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交互流程：（1）购物车增减菜品、调整规格；（2）确认收货地址、送达时间、优惠信息；（3）提交订单并支付，支付成功后生成订单。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业务规则：订单金额、配送费、优惠券在提交前明确展示；支付超时自动取消订单并释放库存。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异常处理：支付失败时保留订单草稿并允许重试；金额不一致时中止交易并提示。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6.1.3 订单追踪（P0）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功能描述：消费者实时查看订单状态（待接单、制作中、配送中、已完成）与骑手位置。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业务规则：状态流转由商家出餐、骑手取送动作触发，状态变化推送通知。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6.1.4 售后申请（P0 基础 / P2 完整仲裁）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功能描述：消费者对问题订单发起售后申请，选择问题类型并提交凭证。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MVP 阶段：售后申请提交后进入商家与消费者协商流程，双方协商一致则按约定处理。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P2 阶段：接入完整智能仲裁流程，由系统初判、责任判定、人工复核完成闭环（详见 7.3）。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业务规则：问题类型包括少送、错送、质量问题、配送延迟、餐品洒漏等；凭证支持图片、文字描述。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6.1.5 评价（P1）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功能描述：订单完成后消费者对商家与配送进行评分和文字评价。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业务规则：评价在订单完成后 7 天内可提交，评价数据进入商家服务质量与骑手考核体系。</w:t>
      </w:r>
    </w:p>
    <w:p>
      <w:pPr>
        <w:pStyle w:val="Heading2"/>
      </w:pPr>
      <w:bookmarkStart w:id="23" w:name="_LarkToc00023"/>
      <w:r>
        <w:rPr>
          <w:rFonts w:ascii="Times New Roman" w:hAnsi="Times New Roman" w:eastAsia="黑体"/>
          <w:color w:val="000000"/>
        </w:rPr>
        <w:t>6.2 商家端</w:t>
      </w:r>
      <w:bookmarkEnd w:id="23"/>
    </w:p>
    <w:p>
      <w:pPr>
        <w:pStyle w:val="Heading3"/>
      </w:pPr>
      <w:r>
        <w:rPr>
          <w:rFonts w:ascii="Times New Roman" w:hAnsi="Times New Roman" w:eastAsia="黑体"/>
          <w:color w:val="000000"/>
        </w:rPr>
        <w:t>6.2.1 门店与商品管理（P0）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功能描述：商家维护门店信息、营业状态、菜品与价格、库存。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交互流程：（1）商家设置门店基础信息与营业时间；（2）新增/编辑菜品，设置分类、价格、图片、库存；（3）临时歇业可一键休店。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6.2.2 订单管理与出餐（P0）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功能描述：商家接收新订单、确认接单、完成出餐。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业务规则：超时未接单自动提醒，多次超时未接单触发商家服务分扣减；出餐完成触发骑手调度。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6.2.3 佣金账单与结算（P0）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功能描述：商家查看佣金账单、档位与扣点明细，核对结算金额。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业务规则：佣金按阶梯档位计收（详见 7.1）；账单按日生成、按周期结算；商家可对账单发起异议申诉。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6.2.4 售后处理（P0 基础 / P2 完整仲裁）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功能描述：商家处理售后申请，同意或拒绝退款，参与仲裁。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MVP 阶段：商家可在协商期内响应消费者售后申请。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P2 阶段：商家可在仲裁中心查看系统判定依据与结果，对判定结果发起申诉。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6.2.5 经营数据看板（P2）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功能描述：商家查看订单量、营业额、佣金占比、评分等经营数据。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业务规则：数据按日/周/月聚合，支持导出。</w:t>
      </w:r>
    </w:p>
    <w:p>
      <w:pPr>
        <w:pStyle w:val="Heading2"/>
      </w:pPr>
      <w:bookmarkStart w:id="24" w:name="_LarkToc00024"/>
      <w:r>
        <w:rPr>
          <w:rFonts w:ascii="Times New Roman" w:hAnsi="Times New Roman" w:eastAsia="黑体"/>
          <w:color w:val="000000"/>
        </w:rPr>
        <w:t>6.3 骑手端</w:t>
      </w:r>
      <w:bookmarkEnd w:id="24"/>
    </w:p>
    <w:p>
      <w:pPr>
        <w:pStyle w:val="Heading3"/>
      </w:pPr>
      <w:r>
        <w:rPr>
          <w:rFonts w:ascii="Times New Roman" w:hAnsi="Times New Roman" w:eastAsia="黑体"/>
          <w:color w:val="000000"/>
        </w:rPr>
        <w:t>6.3.1 接单与配送（P0）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功能描述：骑手接收派单、到店取餐、送达用户，更新配送状态。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交互流程：（1）接收派单并确认；（2）到店后确认取餐；（3）送达后确认完成；（4）异常时进入异常上报流程。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6.3.2 配送考核（P1）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功能描述：平台对骑手配送表现进行考核，考核结果影响骑手等级与派单优先级。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考核维度：准时率、取消率、投诉率、服务分（详见 7.2）。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6.3.3 异常上报（P1）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功能描述：骑手在恶劣天气、商家出餐慢、用户无法联系等场景下上报异常，获得考核免责。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业务规则：异常上报需选择类型并补充说明，系统结合订单数据核验后更新考核记录。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6.3.4 收入明细（P1）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功能描述：骑手查看每单收入、奖励、扣罚明细。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业务规则：每单收入 = 配送费 + 奖励 - 扣罚，明细支持导出与申诉。</w:t>
      </w:r>
    </w:p>
    <w:p>
      <w:pPr>
        <w:pStyle w:val="Heading2"/>
      </w:pPr>
      <w:bookmarkStart w:id="25" w:name="_LarkToc00025"/>
      <w:r>
        <w:rPr>
          <w:rFonts w:ascii="Times New Roman" w:hAnsi="Times New Roman" w:eastAsia="黑体"/>
          <w:color w:val="000000"/>
        </w:rPr>
        <w:t>6.4 平台后台</w:t>
      </w:r>
      <w:bookmarkEnd w:id="25"/>
    </w:p>
    <w:p>
      <w:pPr>
        <w:pStyle w:val="Heading3"/>
      </w:pPr>
      <w:r>
        <w:rPr>
          <w:rFonts w:ascii="Times New Roman" w:hAnsi="Times New Roman" w:eastAsia="黑体"/>
          <w:color w:val="000000"/>
        </w:rPr>
        <w:t>6.4.1 商家入驻与审核（P0）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功能描述：平台审核商家入驻资质，管理商家档案。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业务规则：审核商家营业执照、食品经营许可等资质，符合条件方可上线经营；资质到期前提醒续期。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6.4.2 佣金规则配置（P0）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功能描述：平台运营配置阶梯佣金档位、扣点比例、保底佣金与服务约束参数。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业务规则：规则变更需公示并提前通知商家；档位参数调整支持灰度生效。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6.4.3 配送考核配置（P1）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功能描述：平台配置考核指标权重、奖惩规则与异常免责场景。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6.4.4 仲裁中心（P2）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功能描述：平台处理系统无法判定的复杂纠纷，管理仲裁任务、证据与结果。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业务规则：仲裁任务按优先级排队，证据链完整留存，处理结果通知三方。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6.4.5 风控中心（P2）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功能描述：平台配置风险规则，管理恶意索赔标记、刷单识别、异常行为拦截。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6.4.6 数据看板（P2）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功能描述：平台查看交易、纠纷、运力、商家经营等核心数据。</w:t>
      </w:r>
    </w:p>
    <w:p>
      <w:pPr>
        <w:pStyle w:val="Heading1"/>
      </w:pPr>
      <w:bookmarkStart w:id="26" w:name="_LarkToc00026"/>
      <w:r>
        <w:rPr>
          <w:rFonts w:ascii="Times New Roman" w:hAnsi="Times New Roman" w:eastAsia="黑体"/>
          <w:color w:val="000000"/>
        </w:rPr>
        <w:t>7 核心机制设计</w:t>
      </w:r>
      <w:bookmarkEnd w:id="26"/>
    </w:p>
    <w:p>
      <w:pPr>
        <w:pStyle w:val="Heading2"/>
      </w:pPr>
      <w:bookmarkStart w:id="27" w:name="_LarkToc00027"/>
      <w:r>
        <w:rPr>
          <w:rFonts w:ascii="Times New Roman" w:hAnsi="Times New Roman" w:eastAsia="黑体"/>
          <w:color w:val="000000"/>
        </w:rPr>
        <w:t>7.1 阶梯佣金机制</w:t>
      </w:r>
      <w:bookmarkEnd w:id="27"/>
    </w:p>
    <w:p>
      <w:r>
        <w:rPr>
          <w:rFonts w:ascii="Times New Roman" w:hAnsi="Times New Roman" w:eastAsia="宋体"/>
          <w:b w:val="0"/>
          <w:color w:val="000000"/>
          <w:sz w:val="24"/>
        </w:rPr>
        <w:t>设计原则：佣金与商家经营规模挂钩，中小商家低负担起步，规模增长后逐步提高平台分成；同时设置保底佣金保障平台基础运营收入，并以服务质量作为档位调节约束。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档位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月成交订单量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佣金扣点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适用说明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档位 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0-500 单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8%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扶持新店与中小商家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档位 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501-2000 单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12%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成长型商家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档位 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2001 单以上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16%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成熟商家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7-1 阶梯佣金档位（比例为目标设定值，上线前根据财务测算校准）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业务规则：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（1）佣金按自然月累计成交订单量确定档位，当笔订单佣金按订单成交时商家所处档位计收，档位在每月 1 日根据上月数据重新计算。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（2）设置每单保底佣金（示例值 0.5 元），当按比例计算的佣金低于保底佣金时按保底佣金计收，保障平台基础运营成本。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（3）服务质量约束：商家当月差评率高于 5% 或退单率高于 8% 时，次月佣金档位上浮一档；连续三个月服务质量达标后恢复原档位。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（4）新入驻商家首月享受档位 1 保护，不因短期订单量波动被上调档位。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（5）退款订单不计入成交订单量；刷单等异常订单经风控识别后剔除并追溯处理。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（6）佣金规则变更需提前 15 个自然日公示，并通过商家端消息通知。</w:t>
      </w:r>
    </w:p>
    <w:p>
      <w:pPr>
        <w:pStyle w:val="Heading2"/>
      </w:pPr>
      <w:bookmarkStart w:id="28" w:name="_LarkToc00028"/>
      <w:r>
        <w:rPr>
          <w:rFonts w:ascii="Times New Roman" w:hAnsi="Times New Roman" w:eastAsia="黑体"/>
          <w:color w:val="000000"/>
        </w:rPr>
        <w:t>7.2 配送考核机制</w:t>
      </w:r>
      <w:bookmarkEnd w:id="28"/>
    </w:p>
    <w:p>
      <w:r>
        <w:rPr>
          <w:rFonts w:ascii="Times New Roman" w:hAnsi="Times New Roman" w:eastAsia="宋体"/>
          <w:b w:val="0"/>
          <w:color w:val="000000"/>
          <w:sz w:val="24"/>
        </w:rPr>
        <w:t>设计原则：考核透明、异常免责、申诉有据，减少骑手对考核结果的不信任。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考核维度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计算口径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权重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准时率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准时送达订单数 / 完成订单数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40%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取消率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骑手原因取消订单数 / 接单数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20%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投诉率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配送投诉订单数 / 完成订单数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20%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基于用户评价与服务行为综合评分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20%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7-2 配送考核维度（权重为目标设定值）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业务规则：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（1）考核周期为自然月，考核结果划分为 S/A/B/C 四个等级，等级影响派单优先级与奖励系数。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（2）异常免责：恶劣天气、商家出餐超时、用户无法联系等非骑手原因导致的超时，经系统核验后不计入考核。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（3）申诉机制：骑手对考核结果有异议时，可在 3 个自然日内发起申诉，平台在 2 个工作日内完成复核并反馈。</w:t>
      </w:r>
    </w:p>
    <w:p>
      <w:pPr>
        <w:pStyle w:val="Heading2"/>
      </w:pPr>
      <w:bookmarkStart w:id="29" w:name="_LarkToc00029"/>
      <w:r>
        <w:rPr>
          <w:rFonts w:ascii="Times New Roman" w:hAnsi="Times New Roman" w:eastAsia="黑体"/>
          <w:color w:val="000000"/>
        </w:rPr>
        <w:t>7.3 智能售后仲裁机制</w:t>
      </w:r>
      <w:bookmarkEnd w:id="29"/>
    </w:p>
    <w:p>
      <w:r>
        <w:rPr>
          <w:rFonts w:ascii="Times New Roman" w:hAnsi="Times New Roman" w:eastAsia="宋体"/>
          <w:b w:val="0"/>
          <w:color w:val="000000"/>
          <w:sz w:val="24"/>
        </w:rPr>
        <w:t>设计原则：以数据为依据、以规则为准绳，标准先行、人工兜底，风险前置、全程留痕。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整体流程分三层：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（1）用户发起层：消费者提交售后申请，选择问题类型（少送、错送、质量问题、配送延迟、餐品洒漏等），上传图片或文字凭证。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（2）系统初判层：系统自动拉取订单信息、商家出餐记录、骑手配送轨迹、送达时间等数据，按预设判定规则输出责任归属建议。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纠纷场景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判定依据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餐品少送/错送/质量问题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商家出餐记录、用户图片凭证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商家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配送延迟/餐品洒漏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配送轨迹、送达时间、异常上报记录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骑手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用户误操作/恶意索赔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用户行为数据、索赔频次、凭证完整度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用户（驳回）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责任交叉/证据不足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多方数据无法唯一判定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转人工复核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7-3 售后责任判定规则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（3）人工复核层：系统判定结果为“责任交叉/证据不足”或触发风控标记的纠纷，流转人工复核，由平台仲裁人员结合证据链完成最终判定。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配套规则：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（1）风险拦截：对短时间多次发起售后索赔、凭证缺失率高、历史恶意索赔记录的用户进行风控标记，其售后申请强制转入人工审核。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（2）退款路径：判定责任方后，平台先行向消费者退款，再向责任方追偿；商家或骑手对判定结果有异议可申诉。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（3）留痕要求：售后申请、凭证、判定依据、处理结果全程留存操作日志，满足合规审计要求。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（4）上线节奏：MVP 阶段仅提供商家与消费者协商的基础售后；完整智能仲裁流程在 P2 阶段上线。</w:t>
      </w:r>
    </w:p>
    <w:p>
      <w:pPr>
        <w:pStyle w:val="Heading1"/>
      </w:pPr>
      <w:bookmarkStart w:id="30" w:name="_LarkToc00030"/>
      <w:r>
        <w:rPr>
          <w:rFonts w:ascii="Times New Roman" w:hAnsi="Times New Roman" w:eastAsia="黑体"/>
          <w:color w:val="000000"/>
        </w:rPr>
        <w:t>8 数据指标体系</w:t>
      </w:r>
      <w:bookmarkEnd w:id="30"/>
    </w:p>
    <w:p>
      <w:r>
        <w:rPr>
          <w:rFonts w:ascii="Times New Roman" w:hAnsi="Times New Roman" w:eastAsia="宋体"/>
          <w:b w:val="0"/>
          <w:color w:val="000000"/>
          <w:sz w:val="24"/>
        </w:rPr>
        <w:t>北极星指标：平台周有效交易订单数。该指标同时反映交易规模与生态健康度，避免单一追求 GMV 而忽视履约质量。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核心指标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消费者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下单转化率、支付成功率、售后发起率、售后平均解决时长、NPS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商家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月均净收入、佣金占比、商家月流失率、出餐准时率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骑手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单均收入、准时率、考核申诉通过率、运力留存率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平台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周有效交易订单数、纠纷率、恶意索赔拦截率、结算差错率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8-1 分角色核心指标</w:t>
      </w:r>
    </w:p>
    <w:p>
      <w:pPr>
        <w:pStyle w:val="Heading1"/>
      </w:pPr>
      <w:bookmarkStart w:id="31" w:name="_LarkToc00031"/>
      <w:r>
        <w:rPr>
          <w:rFonts w:ascii="Times New Roman" w:hAnsi="Times New Roman" w:eastAsia="黑体"/>
          <w:color w:val="000000"/>
        </w:rPr>
        <w:t>9 非功能需求</w:t>
      </w:r>
      <w:bookmarkEnd w:id="31"/>
    </w:p>
    <w:p>
      <w:pPr>
        <w:pStyle w:val="Heading2"/>
      </w:pPr>
      <w:bookmarkStart w:id="32" w:name="_LarkToc00032"/>
      <w:r>
        <w:rPr>
          <w:rFonts w:ascii="Times New Roman" w:hAnsi="Times New Roman" w:eastAsia="黑体"/>
          <w:color w:val="000000"/>
        </w:rPr>
        <w:t>9.1 性能需求</w:t>
      </w:r>
      <w:bookmarkEnd w:id="32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要求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支付接口响应时间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不超过 2 秒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页面首屏加载时间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不超过 2 秒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订单状态推送延迟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不超过 5 秒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系统可用性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不低于 99.9%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并发支持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支撑目标城市高峰期订单峰值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9-1 性能需求</w:t>
      </w:r>
    </w:p>
    <w:p>
      <w:pPr>
        <w:pStyle w:val="Heading2"/>
      </w:pPr>
      <w:bookmarkStart w:id="33" w:name="_LarkToc00033"/>
      <w:r>
        <w:rPr>
          <w:rFonts w:ascii="Times New Roman" w:hAnsi="Times New Roman" w:eastAsia="黑体"/>
          <w:color w:val="000000"/>
        </w:rPr>
        <w:t>9.2 安全需求</w:t>
      </w:r>
      <w:bookmarkEnd w:id="33"/>
    </w:p>
    <w:p>
      <w:r>
        <w:rPr>
          <w:rFonts w:ascii="Times New Roman" w:hAnsi="Times New Roman" w:eastAsia="宋体"/>
          <w:b w:val="0"/>
          <w:color w:val="000000"/>
          <w:sz w:val="24"/>
        </w:rPr>
        <w:t>（1）支付环节接入合规支付渠道，交易资金流与信息流分离，全程采用加密传输。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（2）用户隐私数据加密存储，敏感信息脱敏展示，支持账号注销与数据删除。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（3）平台后台权限分级管理，佣金规则、仲裁、风控等敏感操作全程留痕。</w:t>
      </w:r>
    </w:p>
    <w:p>
      <w:pPr>
        <w:pStyle w:val="Heading2"/>
      </w:pPr>
      <w:bookmarkStart w:id="34" w:name="_LarkToc00034"/>
      <w:r>
        <w:rPr>
          <w:rFonts w:ascii="Times New Roman" w:hAnsi="Times New Roman" w:eastAsia="黑体"/>
          <w:color w:val="000000"/>
        </w:rPr>
        <w:t>9.3 兼容性需求</w:t>
      </w:r>
      <w:bookmarkEnd w:id="34"/>
    </w:p>
    <w:p>
      <w:r>
        <w:rPr>
          <w:rFonts w:ascii="Times New Roman" w:hAnsi="Times New Roman" w:eastAsia="宋体"/>
          <w:b w:val="0"/>
          <w:color w:val="000000"/>
          <w:sz w:val="24"/>
        </w:rPr>
        <w:t>消费者端与商家端支持主流移动端浏览器与微信内 H5；骑手端优先适配 Android/iOS 主流机型；平台后台支持 Chrome、Edge 等主流浏览器最新两个大版本。</w:t>
      </w:r>
    </w:p>
    <w:p>
      <w:pPr>
        <w:pStyle w:val="Heading1"/>
      </w:pPr>
      <w:bookmarkStart w:id="35" w:name="_LarkToc00035"/>
      <w:r>
        <w:rPr>
          <w:rFonts w:ascii="Times New Roman" w:hAnsi="Times New Roman" w:eastAsia="黑体"/>
          <w:color w:val="000000"/>
        </w:rPr>
        <w:t>10 合规与风险管理</w:t>
      </w:r>
      <w:bookmarkEnd w:id="35"/>
    </w:p>
    <w:p>
      <w:pPr>
        <w:pStyle w:val="Heading2"/>
      </w:pPr>
      <w:bookmarkStart w:id="36" w:name="_LarkToc00036"/>
      <w:r>
        <w:rPr>
          <w:rFonts w:ascii="Times New Roman" w:hAnsi="Times New Roman" w:eastAsia="黑体"/>
          <w:color w:val="000000"/>
        </w:rPr>
        <w:t>10.1 合规要求</w:t>
      </w:r>
      <w:bookmarkEnd w:id="36"/>
    </w:p>
    <w:p>
      <w:r>
        <w:rPr>
          <w:rFonts w:ascii="Times New Roman" w:hAnsi="Times New Roman" w:eastAsia="宋体"/>
          <w:b w:val="0"/>
          <w:color w:val="000000"/>
          <w:sz w:val="24"/>
        </w:rPr>
        <w:t>本产品作为电子商务平台，需落实以下合规要求：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（1）依据《中华人民共和国电子商务法》（2018 年 8 月 31 日通过，自 2019 年 1 月 1 日起施行），履行平台经营者核验登记、信息公示、交易规则公开、争议解决等义务。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（2）依据《网络交易监督管理办法》（2021 年 3 月 15 日国家市场监督管理总局令第 37 号公布，自 2021 年 5 月 1 日起施行，2025 年修正），落实平台内经营者信息报送、规则公示等要求。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（3）遵守支付结算、个人信息保护、食品安全、劳动权益保障等现行法律法规要求。</w:t>
      </w:r>
    </w:p>
    <w:p>
      <w:pPr>
        <w:pStyle w:val="Heading2"/>
      </w:pPr>
      <w:bookmarkStart w:id="37" w:name="_LarkToc00037"/>
      <w:r>
        <w:rPr>
          <w:rFonts w:ascii="Times New Roman" w:hAnsi="Times New Roman" w:eastAsia="黑体"/>
          <w:color w:val="000000"/>
        </w:rPr>
        <w:t>10.2 风险清单及应对</w:t>
      </w:r>
      <w:bookmarkEnd w:id="37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风险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概率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影响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应对措施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佣金规则调整引发商家迁移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规则公示前置、档位渐进调整、商家反馈机制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仲裁规则误判引发舆情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复杂纠纷人工兜底、判定依据透明、申诉通道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风控误伤正常用户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风险阈值灰度迭代、人工复核兜底、申诉恢复机制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骑手考核争议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异常免责、申诉复核、考核规则透明化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合规风险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法务前置评审、留痕审计、资质核验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冷启动供给不足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中小商家扶持政策、区域化启动、运力补贴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10-1 风险清单及应对</w:t>
      </w:r>
    </w:p>
    <w:p>
      <w:pPr>
        <w:pStyle w:val="Heading1"/>
      </w:pPr>
      <w:bookmarkStart w:id="38" w:name="_LarkToc00038"/>
      <w:r>
        <w:rPr>
          <w:rFonts w:ascii="Times New Roman" w:hAnsi="Times New Roman" w:eastAsia="黑体"/>
          <w:color w:val="000000"/>
        </w:rPr>
        <w:t>11 版本规划</w:t>
      </w:r>
      <w:bookmarkEnd w:id="38"/>
    </w:p>
    <w:p>
      <w:pPr>
        <w:pStyle w:val="Heading2"/>
      </w:pPr>
      <w:bookmarkStart w:id="39" w:name="_LarkToc00039"/>
      <w:r>
        <w:rPr>
          <w:rFonts w:ascii="Times New Roman" w:hAnsi="Times New Roman" w:eastAsia="黑体"/>
          <w:color w:val="000000"/>
        </w:rPr>
        <w:t>11.1 MVP 范围（P0）</w:t>
      </w:r>
      <w:bookmarkEnd w:id="39"/>
    </w:p>
    <w:p>
      <w:r>
        <w:rPr>
          <w:rFonts w:ascii="Times New Roman" w:hAnsi="Times New Roman" w:eastAsia="宋体"/>
          <w:b w:val="0"/>
          <w:color w:val="000000"/>
          <w:sz w:val="24"/>
        </w:rPr>
        <w:t>MVP 阶段聚焦交易闭环与基础治理，包括：消费者端店铺浏览与搜索、下单与支付、订单追踪、基础售后；商家端门店与商品管理、订单管理与出餐、佣金账单与结算（阶梯佣金 V1）、基础售后处理、商家入驻审核；骑手端接单与配送；平台后台佣金规则配置、基础数据统计。</w:t>
      </w:r>
    </w:p>
    <w:p>
      <w:pPr>
        <w:pStyle w:val="Heading2"/>
      </w:pPr>
      <w:bookmarkStart w:id="40" w:name="_LarkToc00040"/>
      <w:r>
        <w:rPr>
          <w:rFonts w:ascii="Times New Roman" w:hAnsi="Times New Roman" w:eastAsia="黑体"/>
          <w:color w:val="000000"/>
        </w:rPr>
        <w:t>11.2 P1 范围</w:t>
      </w:r>
      <w:bookmarkEnd w:id="40"/>
    </w:p>
    <w:p>
      <w:r>
        <w:rPr>
          <w:rFonts w:ascii="Times New Roman" w:hAnsi="Times New Roman" w:eastAsia="宋体"/>
          <w:b w:val="0"/>
          <w:color w:val="000000"/>
          <w:sz w:val="24"/>
        </w:rPr>
        <w:t>包括：评价体系、骑手配送考核机制、骑手异常上报、骑手收入明细、平台配送考核配置。</w:t>
      </w:r>
    </w:p>
    <w:p>
      <w:pPr>
        <w:pStyle w:val="Heading2"/>
      </w:pPr>
      <w:bookmarkStart w:id="41" w:name="_LarkToc00041"/>
      <w:r>
        <w:rPr>
          <w:rFonts w:ascii="Times New Roman" w:hAnsi="Times New Roman" w:eastAsia="黑体"/>
          <w:color w:val="000000"/>
        </w:rPr>
        <w:t>11.3 P2 范围</w:t>
      </w:r>
      <w:bookmarkEnd w:id="41"/>
    </w:p>
    <w:p>
      <w:r>
        <w:rPr>
          <w:rFonts w:ascii="Times New Roman" w:hAnsi="Times New Roman" w:eastAsia="宋体"/>
          <w:b w:val="0"/>
          <w:color w:val="000000"/>
          <w:sz w:val="24"/>
        </w:rPr>
        <w:t>包括：完整智能售后仲裁体系、风控中心、商家经营数据看板、平台数据看板、精细化运营能力。</w:t>
      </w:r>
    </w:p>
    <w:p>
      <w:pPr>
        <w:pStyle w:val="Heading2"/>
      </w:pPr>
      <w:bookmarkStart w:id="42" w:name="_LarkToc00042"/>
      <w:r>
        <w:rPr>
          <w:rFonts w:ascii="Times New Roman" w:hAnsi="Times New Roman" w:eastAsia="黑体"/>
          <w:color w:val="000000"/>
        </w:rPr>
        <w:t>11.4 里程碑排期</w:t>
      </w:r>
      <w:bookmarkEnd w:id="42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交付内容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需求评审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1-2 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PRD 评审、UI 设计、技术方案评审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MVP 开发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3-8 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核心交易闭环、阶梯佣金结算 V1、基础售后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内测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9 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内部测试、缺陷修复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灰度上线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10-11 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区域小范围灰度、收集反馈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 发布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12 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正式发布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 迭代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13-16 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评价、配送考核、异常上报、收入明细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P2 迭代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17-24 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智能仲裁、风控中心、数据看板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11-1 里程碑排期</w:t>
      </w:r>
    </w:p>
    <w:p>
      <w:pPr>
        <w:pStyle w:val="Heading1"/>
      </w:pPr>
      <w:bookmarkStart w:id="43" w:name="_LarkToc00043"/>
      <w:r>
        <w:rPr>
          <w:rFonts w:ascii="Times New Roman" w:hAnsi="Times New Roman" w:eastAsia="黑体"/>
          <w:color w:val="000000"/>
        </w:rPr>
        <w:t>12 附录</w:t>
      </w:r>
      <w:bookmarkEnd w:id="43"/>
    </w:p>
    <w:p>
      <w:pPr>
        <w:pStyle w:val="Heading2"/>
      </w:pPr>
      <w:bookmarkStart w:id="44" w:name="_LarkToc00044"/>
      <w:r>
        <w:rPr>
          <w:rFonts w:ascii="Times New Roman" w:hAnsi="Times New Roman" w:eastAsia="黑体"/>
          <w:color w:val="000000"/>
        </w:rPr>
        <w:t>12.1 术语表</w:t>
      </w:r>
      <w:bookmarkEnd w:id="44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术语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P0/P1/P2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需求优先级，P0 为 MVP 必须实现，P1 为一期迭代，P2 为后续迭代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MVP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Minimum Viable Product，最小可行产品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佣金扣点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平台按订单金额向商家收取的佣金比例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保底佣金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单笔订单平台收取的最低佣金金额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NPS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Net Promoter Score，净推荐值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GMV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Gross Merchandise Volume，商品交易总额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12-1 术语表</w:t>
      </w:r>
    </w:p>
    <w:p>
      <w:pPr>
        <w:pStyle w:val="Heading2"/>
      </w:pPr>
      <w:bookmarkStart w:id="45" w:name="_LarkToc00045"/>
      <w:r>
        <w:rPr>
          <w:rFonts w:ascii="Times New Roman" w:hAnsi="Times New Roman" w:eastAsia="黑体"/>
          <w:color w:val="000000"/>
        </w:rPr>
        <w:t>12.2 待确认问题</w:t>
      </w:r>
      <w:bookmarkEnd w:id="45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问题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阶梯佣金档位与扣点比例需结合财务测算校准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产品/财务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保底佣金金额需结合成本模型确定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产品/财务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配送考核权重需结合试点数据调整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产品/运营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仲裁责任判定规则需法务评审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产品/法务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目标城市与区域化启动策略待确认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运营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12-2 待确认问题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3c118c8bb36b17e6f96b2dbd55e680e43b422902a537642adc094f3172387b1f:564fea3890d6b1c280bd1d8ae74eed1a031b748f1280bd524934a0005994978b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