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Heiti SC" w:hAnsi="Heiti SC" w:eastAsia="Heiti SC" w:cs="Heiti SC"/>
          <w:b/>
          <w:color w:val="000000"/>
          <w:sz w:val="40"/>
        </w:rPr>
        <w:t>问卷系统第二阶段测试用例与结果</w:t>
      </w:r>
    </w:p>
    <w:p>
      <w:pPr>
        <w:spacing w:after="320"/>
        <w:jc w:val="center"/>
      </w:pPr>
      <w:r>
        <w:rPr>
          <w:rFonts w:ascii="Songti SC" w:hAnsi="Songti SC" w:eastAsia="Songti SC" w:cs="Songti SC"/>
          <w:color w:val="000000"/>
          <w:sz w:val="20"/>
        </w:rPr>
        <w:t>当代数据管理系统课程项目  |  版本2.0.0  |  2026年10月28日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更新日期：2026年10月28日。第二阶段最新完整回归为309通过、0失败、0跳过；隔离浏览器复查为33个场景单元，其中32个真实UI场景和1组显式API权限负例。10月26日至28日另完成固定样本真实操作，记录至HM2-72。本次提交整理未重跑上述309项完整回归与33个浏览器场景，原有结果保留实际执行时间；提交包另做独立冒烟，详见</w:t>
      </w:r>
      <w:hyperlink r:id="rId10">
        <w:r>
          <w:rPr>
            <w:rFonts w:ascii="Songti SC" w:hAnsi="Songti SC" w:eastAsia="Songti SC"/>
            <w:color w:val="000000"/>
            <w:u w:val="single"/>
          </w:rPr>
          <w:t>提交索引</w:t>
        </w:r>
      </w:hyperlink>
      <w:r>
        <w:rPr>
          <w:rFonts w:ascii="Songti SC" w:hAnsi="Songti SC" w:eastAsia="Songti SC" w:cs="Songti SC"/>
          <w:color w:val="000000"/>
        </w:rPr>
        <w:t>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本文件按实验要求集中给出测试步骤、输入、预期输出、实际结果和证据。逐步反馈、截图与未成功尝试保留在</w:t>
      </w:r>
      <w:hyperlink r:id="rId11">
        <w:r>
          <w:rPr>
            <w:rFonts w:ascii="Songti SC" w:hAnsi="Songti SC" w:eastAsia="Songti SC"/>
            <w:color w:val="000000"/>
            <w:u w:val="single"/>
          </w:rPr>
          <w:t>真实操作记录</w:t>
        </w:r>
      </w:hyperlink>
      <w:r>
        <w:rPr>
          <w:rFonts w:ascii="Songti SC" w:hAnsi="Songti SC" w:eastAsia="Songti SC" w:cs="Songti SC"/>
          <w:color w:val="000000"/>
        </w:rPr>
        <w:t>，76个计划场景及具体覆盖边界见</w:t>
      </w:r>
      <w:hyperlink r:id="rId12">
        <w:r>
          <w:rPr>
            <w:rFonts w:ascii="Songti SC" w:hAnsi="Songti SC" w:eastAsia="Songti SC"/>
            <w:color w:val="000000"/>
            <w:u w:val="single"/>
          </w:rPr>
          <w:t>验收矩阵</w:t>
        </w:r>
      </w:hyperlink>
      <w:r>
        <w:rPr>
          <w:rFonts w:ascii="Songti SC" w:hAnsi="Songti SC" w:eastAsia="Songti SC" w:cs="Songti SC"/>
          <w:color w:val="000000"/>
        </w:rPr>
        <w:t>。S2场景、HM2步骤和pytest节点是不同索引，不能相加为测试总数。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color w:val="000000"/>
        </w:rPr>
        <w:t>提交版结果总览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098"/>
        <w:gridCol w:w="3402"/>
        <w:gridCol w:w="4025"/>
      </w:tblGrid>
      <w:tr>
        <w:trPr>
          <w:tblHeader/>
          <w:cantSplit/>
        </w:trPr>
        <w:tc>
          <w:tcPr>
            <w:tcW w:type="dxa" w:w="2098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验证阶段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025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证据及范围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10月26日初次交付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完整260项通过，pytest53.42秒；15个浏览器流程、16张截图通过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83" w:lineRule="auto"/>
            </w:pPr>
            <w:hyperlink r:id="rId13">
              <w:r>
                <w:rPr>
                  <w:rFonts w:ascii="Songti SC" w:hAnsi="Songti SC" w:eastAsia="Songti SC"/>
                  <w:color w:val="000000"/>
                  <w:u w:val="single"/>
                </w:rPr>
                <w:t>260项逐例结果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14">
              <w:r>
                <w:rPr>
                  <w:rFonts w:ascii="Songti SC" w:hAnsi="Songti SC" w:eastAsia="Songti SC"/>
                  <w:color w:val="000000"/>
                  <w:u w:val="single"/>
                </w:rPr>
                <w:t>初次浏览器结果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；作为历史交付节点保留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初次全新环境验证</w:t>
            </w:r>
          </w:p>
        </w:tc>
        <w:tc>
          <w:tcPr>
            <w:tcW w:type="dxa" w:w="3402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Python3.12.6、锁定依赖、260项通过，临时库和venv已清理</w:t>
            </w:r>
          </w:p>
        </w:tc>
        <w:tc>
          <w:tcPr>
            <w:tcW w:type="dxa" w:w="4025"/>
            <w:vAlign w:val="center"/>
            <w:shd w:fill="F7F8FA"/>
          </w:tcPr>
          <w:p>
            <w:pPr>
              <w:spacing w:after="20" w:before="20" w:line="283" w:lineRule="auto"/>
            </w:pPr>
            <w:hyperlink r:id="rId15">
              <w:r>
                <w:rPr>
                  <w:rFonts w:ascii="Songti SC" w:hAnsi="Songti SC" w:eastAsia="Songti SC"/>
                  <w:color w:val="000000"/>
                  <w:u w:val="single"/>
                </w:rPr>
                <w:t>全新环境记录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；不改称309项全新环境验证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10月26日功能复查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完整309项通过、0失败、0跳过，退出码0；运行器87.427秒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83" w:lineRule="auto"/>
            </w:pPr>
            <w:hyperlink r:id="rId16">
              <w:r>
                <w:rPr>
                  <w:rFonts w:ascii="Songti SC" w:hAnsi="Songti SC" w:eastAsia="Songti SC"/>
                  <w:color w:val="000000"/>
                  <w:u w:val="single"/>
                </w:rPr>
                <w:t>309项逐例结果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17">
              <w:r>
                <w:rPr>
                  <w:rFonts w:ascii="Songti SC" w:hAnsi="Songti SC" w:eastAsia="Songti SC"/>
                  <w:color w:val="000000"/>
                  <w:u w:val="single"/>
                </w:rPr>
                <w:t>原始输出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18">
              <w:r>
                <w:rPr>
                  <w:rFonts w:ascii="Songti SC" w:hAnsi="Songti SC" w:eastAsia="Songti SC"/>
                  <w:color w:val="000000"/>
                  <w:u w:val="single"/>
                </w:rPr>
                <w:t>JUnit</w:t>
              </w:r>
            </w:hyperlink>
          </w:p>
        </w:tc>
      </w:tr>
      <w:tr>
        <w:trPr>
          <w:cantSplit/>
        </w:trPr>
        <w:tc>
          <w:tcPr>
            <w:tcW w:type="dxa" w:w="209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功能复查浏览器</w:t>
            </w:r>
          </w:p>
        </w:tc>
        <w:tc>
          <w:tcPr>
            <w:tcW w:type="dxa" w:w="3402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33场景单元通过：32真实UI、1组API负例；35图；JS异常、非预期HTTP及控制台错误均0</w:t>
            </w:r>
          </w:p>
        </w:tc>
        <w:tc>
          <w:tcPr>
            <w:tcW w:type="dxa" w:w="4025"/>
            <w:vAlign w:val="center"/>
            <w:shd w:fill="F7F8FA"/>
          </w:tcPr>
          <w:p>
            <w:pPr>
              <w:spacing w:after="20" w:before="20" w:line="283" w:lineRule="auto"/>
            </w:pPr>
            <w:hyperlink r:id="rId19">
              <w:r>
                <w:rPr>
                  <w:rFonts w:ascii="Songti SC" w:hAnsi="Songti SC" w:eastAsia="Songti SC"/>
                  <w:color w:val="000000"/>
                  <w:u w:val="single"/>
                </w:rPr>
                <w:t>浏览器总览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；包括公共维护权限、标签、升级、归档、保存期间输入保护和真实409冲突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10月26日至28日真实固定样本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前段用户操作，后段经授权由AI接手；双实例和过期表单等补测至HM2-72，按各自服务/页面边界通过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83" w:lineRule="auto"/>
            </w:pPr>
            <w:hyperlink r:id="rId11">
              <w:r>
                <w:rPr>
                  <w:rFonts w:ascii="Songti SC" w:hAnsi="Songti SC" w:eastAsia="Songti SC"/>
                  <w:color w:val="000000"/>
                  <w:u w:val="single"/>
                </w:rPr>
                <w:t>完整过程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20">
              <w:r>
                <w:rPr>
                  <w:rFonts w:ascii="Songti SC" w:hAnsi="Songti SC" w:eastAsia="Songti SC"/>
                  <w:color w:val="000000"/>
                  <w:u w:val="single"/>
                </w:rPr>
                <w:t>补测清单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；不把每个HM2编号当独立pytest节点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旧数据迁移及恢复</w:t>
            </w:r>
          </w:p>
        </w:tc>
        <w:tc>
          <w:tcPr>
            <w:tcW w:type="dxa" w:w="3402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8份旧定义25实例登记；旧9用户、33答卷及8份统计保持；迁移重复新增0；12业务集合恢复、10定义统计核对通过</w:t>
            </w:r>
          </w:p>
        </w:tc>
        <w:tc>
          <w:tcPr>
            <w:tcW w:type="dxa" w:w="4025"/>
            <w:vAlign w:val="center"/>
            <w:shd w:fill="F7F8FA"/>
          </w:tcPr>
          <w:p>
            <w:pPr>
              <w:spacing w:after="20" w:before="20" w:line="283" w:lineRule="auto"/>
            </w:pPr>
            <w:hyperlink r:id="rId21">
              <w:r>
                <w:rPr>
                  <w:rFonts w:ascii="Songti SC" w:hAnsi="Songti SC" w:eastAsia="Songti SC"/>
                  <w:color w:val="000000"/>
                  <w:u w:val="single"/>
                </w:rPr>
                <w:t>正式迁移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22">
              <w:r>
                <w:rPr>
                  <w:rFonts w:ascii="Songti SC" w:hAnsi="Songti SC" w:eastAsia="Songti SC"/>
                  <w:color w:val="000000"/>
                  <w:u w:val="single"/>
                </w:rPr>
                <w:t>重复迁移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23">
              <w:r>
                <w:rPr>
                  <w:rFonts w:ascii="Songti SC" w:hAnsi="Songti SC" w:eastAsia="Songti SC"/>
                  <w:color w:val="000000"/>
                  <w:u w:val="single"/>
                </w:rPr>
                <w:t>旧数据核对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24">
              <w:r>
                <w:rPr>
                  <w:rFonts w:ascii="Songti SC" w:hAnsi="Songti SC" w:eastAsia="Songti SC"/>
                  <w:color w:val="000000"/>
                  <w:u w:val="single"/>
                </w:rPr>
                <w:t>恢复清单</w:t>
              </w:r>
            </w:hyperlink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固定样本完成后的数据保护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测试前12集合的原始文档子集指纹及10份原统计保持；服务2.0.0、事务可用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83" w:lineRule="auto"/>
            </w:pPr>
            <w:hyperlink r:id="rId25">
              <w:r>
                <w:rPr>
                  <w:rFonts w:ascii="Songti SC" w:hAnsi="Songti SC" w:eastAsia="Songti SC"/>
                  <w:color w:val="000000"/>
                  <w:u w:val="single"/>
                </w:rPr>
                <w:t>补测后完整性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；当前15用户/15问卷/42答卷包含后来新增样本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Songti SC" w:hAnsi="Songti SC" w:eastAsia="Songti SC" w:cs="Songti SC"/>
          <w:color w:val="000000"/>
        </w:rPr>
        <w:t>260项构成为原200项、M1工具4项和第二阶段56项；功能复查另补49项，合计309项。浏览器、迁移演练和固定样本属于另外的验证方式，不与309相加。原始失败、脚本等待问题和修复记录保留，详见</w:t>
      </w:r>
      <w:hyperlink r:id="rId26">
        <w:r>
          <w:rPr>
            <w:rFonts w:ascii="Songti SC" w:hAnsi="Songti SC" w:eastAsia="Songti SC"/>
            <w:color w:val="000000"/>
            <w:u w:val="single"/>
          </w:rPr>
          <w:t>复查说明</w:t>
        </w:r>
      </w:hyperlink>
      <w:r>
        <w:rPr>
          <w:rFonts w:ascii="Songti SC" w:hAnsi="Songti SC" w:eastAsia="Songti SC" w:cs="Songti SC"/>
          <w:color w:val="000000"/>
        </w:rPr>
        <w:t>与</w:t>
      </w:r>
      <w:hyperlink r:id="rId27">
        <w:r>
          <w:rPr>
            <w:rFonts w:ascii="Songti SC" w:hAnsi="Songti SC" w:eastAsia="Songti SC"/>
            <w:color w:val="000000"/>
            <w:u w:val="single"/>
          </w:rPr>
          <w:t>AI日志</w:t>
        </w:r>
      </w:hyperlink>
      <w:r>
        <w:rPr>
          <w:rFonts w:ascii="Songti SC" w:hAnsi="Songti SC" w:eastAsia="Songti SC" w:cs="Songti SC"/>
          <w:color w:val="000000"/>
        </w:rPr>
        <w:t>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color w:val="000000"/>
        </w:rPr>
        <w:t>环境与执行方法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65"/>
        <w:gridCol w:w="6860"/>
      </w:tblGrid>
      <w:tr>
        <w:trPr>
          <w:tblHeader/>
          <w:cantSplit/>
        </w:trPr>
        <w:tc>
          <w:tcPr>
            <w:tcW w:type="dxa" w:w="2665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验证方式</w:t>
            </w:r>
          </w:p>
        </w:tc>
        <w:tc>
          <w:tcPr>
            <w:tcW w:type="dxa" w:w="6860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实际环境与写入边界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pytest单元及集成测试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真实MongoDB副本集27018；fixture使用随机survey_project1_test_前缀数据库，结束只清理自己创建的库。事务、索引和聚合行为不以mock替代。此范围不向8000正式业务库写样本。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自动浏览器复查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8001及从备份恢复的独立预览库；33场景最终库名为survey_project1_recheck_363f82。浏览器写入只在这个隔离环境，完成后预览服务和库清理。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用户与AI固定样本真实操作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8000正式服务的新增虚构测试账号和A至E问卷。这里确有新增业务写入，与“自动测试使用隔离库”是不同范围；测试前旧数据和统计有独立基线保护。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独立只读核对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读取指定样本、版本、引用和统计，保存安全投影与指纹；不修改题目、问卷或答卷。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Songti SC" w:hAnsi="Songti SC" w:eastAsia="Songti SC" w:cs="Songti SC"/>
          <w:color w:val="000000"/>
        </w:rPr>
        <w:t>代码及Python依赖安装见</w:t>
      </w:r>
      <w:hyperlink r:id="rId28">
        <w:r>
          <w:rPr>
            <w:rFonts w:ascii="Songti SC" w:hAnsi="Songti SC" w:eastAsia="Songti SC"/>
            <w:color w:val="000000"/>
            <w:u w:val="single"/>
          </w:rPr>
          <w:t>项目启动说明</w:t>
        </w:r>
      </w:hyperlink>
      <w:r>
        <w:rPr>
          <w:rFonts w:ascii="Songti SC" w:hAnsi="Songti SC" w:eastAsia="Songti SC" w:cs="Songti SC"/>
          <w:color w:val="000000"/>
        </w:rPr>
        <w:t>。重跑应选择新的输出目录，不覆盖已提交证据：</w:t>
      </w:r>
    </w:p>
    <w:p>
      <w:pPr>
        <w:spacing w:after="40" w:line="252" w:lineRule="auto"/>
        <w:ind w:left="142"/>
      </w:pPr>
      <w:r>
        <w:rPr>
          <w:rFonts w:ascii="Courier New" w:hAnsi="Courier New" w:eastAsia="Songti SC" w:cs="Courier New"/>
          <w:color w:val="000000"/>
          <w:sz w:val="16"/>
        </w:rPr>
        <w:t>TEST_MONGODB_URI='mongodb://localhost:27018/?replicaSet=survey-rs' .venv/bin/python scripts/run_tests.py --output-dir docs/evidence/stage2/YOUR_NEW_RUN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浏览器重跑属于可选的补充复现，依赖Node.js、Playwright和隔离预览数据，执行顺序及变量见</w:t>
      </w:r>
      <w:hyperlink r:id="rId29">
        <w:r>
          <w:rPr>
            <w:rFonts w:ascii="Songti SC" w:hAnsi="Songti SC" w:eastAsia="Songti SC"/>
            <w:color w:val="000000"/>
            <w:u w:val="single"/>
          </w:rPr>
          <w:t>浏览器复现说明</w:t>
        </w:r>
      </w:hyperlink>
      <w:r>
        <w:rPr>
          <w:rFonts w:ascii="Songti SC" w:hAnsi="Songti SC" w:eastAsia="Songti SC" w:cs="Songti SC"/>
          <w:color w:val="000000"/>
        </w:rPr>
        <w:t>。不能把仅修改STAGE2_BROWSER_DATABASE报告标签当作已切换实际数据库；实际8001服务必须使用独立库。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color w:val="000000"/>
        </w:rPr>
        <w:t>固定样本与手算基准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样本名称采用第二阶段手测前缀。A为基础流程，B为复用问卷，C为版本问卷，D为共享问卷，E为双实例问卷；不要与初次演示seed中的“问卷甲/乙”混用。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098"/>
        <w:gridCol w:w="3402"/>
        <w:gridCol w:w="4025"/>
      </w:tblGrid>
      <w:tr>
        <w:trPr>
          <w:tblHeader/>
          <w:cantSplit/>
        </w:trPr>
        <w:tc>
          <w:tcPr>
            <w:tcW w:type="dxa" w:w="2098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样本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实际定义与输入</w:t>
            </w:r>
          </w:p>
        </w:tc>
        <w:tc>
          <w:tcPr>
            <w:tcW w:type="dxa" w:w="4025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已确认结果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A 基础流程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四题型；年龄0～120整数。两份正式答卷分别完整路径年龄0、跳转路径年龄20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2答卷、同一填写账号；年龄均值10，中间被跳过题不按0计入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B 复用问卷</w:t>
            </w:r>
          </w:p>
        </w:tc>
        <w:tc>
          <w:tcPr>
            <w:tcW w:type="dxa" w:w="3402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年龄原v1回答40；学习时长原v1上限24回答4</w:t>
            </w:r>
          </w:p>
        </w:tc>
        <w:tc>
          <w:tcPr>
            <w:tcW w:type="dxa" w:w="402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与A合并年龄原v1：3回答、3答卷、2问卷、均值20；学时v1只计B的4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C 版本问卷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同一实例由学习时长v1显式升级v2，上限12；正式回答8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20被校验拦截，8通过；学时v2均值8，不纳入v1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D 共享问卷</w:t>
            </w:r>
          </w:p>
        </w:tc>
        <w:tc>
          <w:tcPr>
            <w:tcW w:type="dxa" w:w="3402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接收者选用原学时v1，上限24；已有唯一正式答案6</w:t>
            </w:r>
          </w:p>
        </w:tc>
        <w:tc>
          <w:tcPr>
            <w:tcW w:type="dxa" w:w="402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作者原v1均值仍4、接收者本人原v1均值6；撤回后D快照和答案保持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E 双实例问卷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从D快照派生的私有副本v1选入同卷两次，一份正式答卷分别填6和10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2回答、1答卷、1问卷、均值8、最小6/最大10、本卷去重账号1；不同实例ID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副本后续v2</w:t>
            </w:r>
          </w:p>
        </w:tc>
        <w:tc>
          <w:tcPr>
            <w:tcW w:type="dxa" w:w="3402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两个编辑页先载入同一旧修订；A改上限16先保存，B改8后提交</w:t>
            </w:r>
          </w:p>
        </w:tc>
        <w:tc>
          <w:tcPr>
            <w:tcW w:type="dxa" w:w="402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只生成副本v2，上限16；B提示冲突并保留8及说明，无v3；E仍两个v1上限24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Songti SC" w:hAnsi="Songti SC" w:eastAsia="Songti SC" w:cs="Songti SC"/>
          <w:color w:val="000000"/>
        </w:rPr>
        <w:t>A至D主要由用户完成前段操作；D正式答案6在AI接手时已经存在，未重复提交，也不补写其此前点击提交的观察过程。E、后段副本和双页冲突由AI执行。撤回授权经用户明确同意后通过现有业务服务调用；标签保存和重命名也采用服务调用，筛选及移除收藏为真实页面操作。原生确认框或prompt的受阻交互没有被记为本轮完整UI通过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color w:val="000000"/>
        </w:rPr>
        <w:t>代表用例的步骤 输入 输出与结果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65"/>
        <w:gridCol w:w="1757"/>
        <w:gridCol w:w="2268"/>
        <w:gridCol w:w="2835"/>
      </w:tblGrid>
      <w:tr>
        <w:trPr>
          <w:tblHeader/>
          <w:cantSplit/>
        </w:trPr>
        <w:tc>
          <w:tcPr>
            <w:tcW w:type="dxa" w:w="2665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用例与主要步骤</w:t>
            </w:r>
          </w:p>
        </w:tc>
        <w:tc>
          <w:tcPr>
            <w:tcW w:type="dxa" w:w="1757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输入</w:t>
            </w:r>
          </w:p>
        </w:tc>
        <w:tc>
          <w:tcPr>
            <w:tcW w:type="dxa" w:w="2268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预期输出</w:t>
            </w:r>
          </w:p>
        </w:tc>
        <w:tc>
          <w:tcPr>
            <w:tcW w:type="dxa" w:w="2835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实际结果与证据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创建与持久保存 HM2-03：创建A并刷新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基础流程标题、说明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草稿保留标题/说明，初始0题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通过，用户反馈及</w:t>
            </w:r>
            <w:hyperlink r:id="rId30">
              <w:r>
                <w:rPr>
                  <w:rFonts w:ascii="Songti SC" w:hAnsi="Songti SC" w:eastAsia="Songti SC"/>
                  <w:color w:val="000000"/>
                  <w:u w:val="single"/>
                </w:rPr>
                <w:t>草稿核对</w:t>
              </w:r>
            </w:hyperlink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四题型配置 HM2-05：按顺序添加题目并保存</w:t>
            </w:r>
          </w:p>
        </w:tc>
        <w:tc>
          <w:tcPr>
            <w:tcW w:type="dxa" w:w="1757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单选2选项；多选3选项恰好选2；文本2～6字；数字0～120整数，均必答</w:t>
            </w:r>
          </w:p>
        </w:tc>
        <w:tc>
          <w:tcPr>
            <w:tcW w:type="dxa" w:w="226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4题顺序、类型和约束保持</w:t>
            </w:r>
          </w:p>
        </w:tc>
        <w:tc>
          <w:tcPr>
            <w:tcW w:type="dxa" w:w="283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通过，用户配置截图与</w:t>
            </w:r>
            <w:hyperlink r:id="rId31">
              <w:r>
                <w:rPr>
                  <w:rFonts w:ascii="Songti SC" w:hAnsi="Songti SC" w:eastAsia="Songti SC"/>
                  <w:color w:val="000000"/>
                  <w:u w:val="single"/>
                </w:rPr>
                <w:t>四题保存核对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；当时逐题刷新动作的独立证据边界保留在原记录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跳转与必答 HM2-07～08：预览Q1空答，再选直接填写年龄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空答；Q1选“直接填写年龄”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空答拒绝；直接到Q4，被跳过的Q2/Q3不阻止提交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通过，用户明确反馈及</w:t>
            </w:r>
            <w:hyperlink r:id="rId32">
              <w:r>
                <w:rPr>
                  <w:rFonts w:ascii="Songti SC" w:hAnsi="Songti SC" w:eastAsia="Songti SC"/>
                  <w:color w:val="000000"/>
                  <w:u w:val="single"/>
                </w:rPr>
                <w:t>跳转核对</w:t>
              </w:r>
            </w:hyperlink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数字校验 HM2-09～10：逐个输入后尝试前进</w:t>
            </w:r>
          </w:p>
        </w:tc>
        <w:tc>
          <w:tcPr>
            <w:tcW w:type="dxa" w:w="1757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空、-1、121、18.5、abc；边界0与120</w:t>
            </w:r>
          </w:p>
        </w:tc>
        <w:tc>
          <w:tcPr>
            <w:tcW w:type="dxa" w:w="226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前五类拒绝，0和120通过</w:t>
            </w:r>
          </w:p>
        </w:tc>
        <w:tc>
          <w:tcPr>
            <w:tcW w:type="dxa" w:w="283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通过，用户实际预览反馈；</w:t>
            </w:r>
            <w:hyperlink r:id="rId33">
              <w:r>
                <w:rPr>
                  <w:rFonts w:ascii="Songti SC" w:hAnsi="Songti SC" w:eastAsia="Songti SC"/>
                  <w:color w:val="000000"/>
                  <w:u w:val="single"/>
                </w:rPr>
                <w:t>校验记录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，预览不写正式答卷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多选与文本校验 HM2-12～14：走完整路径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多选0/1/3项与2项；文本0/1/7字与6字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仅2项、合法长度通过，完成4题预览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通过，用户反馈和</w:t>
            </w:r>
            <w:hyperlink r:id="rId34">
              <w:r>
                <w:rPr>
                  <w:rFonts w:ascii="Songti SC" w:hAnsi="Songti SC" w:eastAsia="Songti SC"/>
                  <w:color w:val="000000"/>
                  <w:u w:val="single"/>
                </w:rPr>
                <w:t>预览记录</w:t>
              </w:r>
            </w:hyperlink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正式提交与单卷统计 HM2-15～18：发布A并提交完整/跳转两份</w:t>
            </w:r>
          </w:p>
        </w:tc>
        <w:tc>
          <w:tcPr>
            <w:tcW w:type="dxa" w:w="1757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首份：完整填写、课程内容与课程互动、文本“测试”、年龄0；次份：直接填写年龄、20；同一账号</w:t>
            </w:r>
          </w:p>
        </w:tc>
        <w:tc>
          <w:tcPr>
            <w:tcW w:type="dxa" w:w="226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唯一两份答卷，本卷1账号，年龄均值10；跳题答案不保存</w:t>
            </w:r>
          </w:p>
        </w:tc>
        <w:tc>
          <w:tcPr>
            <w:tcW w:type="dxa" w:w="283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通过，</w:t>
            </w:r>
            <w:hyperlink r:id="rId35">
              <w:r>
                <w:rPr>
                  <w:rFonts w:ascii="Songti SC" w:hAnsi="Songti SC" w:eastAsia="Songti SC"/>
                  <w:color w:val="000000"/>
                  <w:u w:val="single"/>
                </w:rPr>
                <w:t>两份答卷及统计</w:t>
              </w:r>
            </w:hyperlink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保存复用与跨卷统计 HM2-19～29：正式v1供B选用并回答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B年龄40、学时4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B快照精确；年龄0/20/40合并为3/3/2、均值20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通过，</w:t>
            </w:r>
            <w:hyperlink r:id="rId36">
              <w:r>
                <w:rPr>
                  <w:rFonts w:ascii="Songti SC" w:hAnsi="Songti SC" w:eastAsia="Songti SC"/>
                  <w:color w:val="000000"/>
                  <w:u w:val="single"/>
                </w:rPr>
                <w:t>B正式样本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及</w:t>
            </w:r>
            <w:hyperlink r:id="rId37">
              <w:r>
                <w:rPr>
                  <w:rFonts w:ascii="Songti SC" w:hAnsi="Songti SC" w:eastAsia="Songti SC"/>
                  <w:color w:val="000000"/>
                  <w:u w:val="single"/>
                </w:rPr>
                <w:t>跨卷截图</w:t>
              </w:r>
            </w:hyperlink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多版共存与恢复 HM2-30～44：保存v2、C手动升级、从v1恢复v3</w:t>
            </w:r>
          </w:p>
        </w:tc>
        <w:tc>
          <w:tcPr>
            <w:tcW w:type="dxa" w:w="1757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v1最大24，v2最大12；C填8</w:t>
            </w:r>
          </w:p>
        </w:tc>
        <w:tc>
          <w:tcPr>
            <w:tcW w:type="dxa" w:w="226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B仍v1；C仅1实例且为v2；三版保留；v1均4/v2均8/v3空</w:t>
            </w:r>
          </w:p>
        </w:tc>
        <w:tc>
          <w:tcPr>
            <w:tcW w:type="dxa" w:w="283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通过，</w:t>
            </w:r>
            <w:hyperlink r:id="rId38">
              <w:r>
                <w:rPr>
                  <w:rFonts w:ascii="Songti SC" w:hAnsi="Songti SC" w:eastAsia="Songti SC"/>
                  <w:color w:val="000000"/>
                  <w:u w:val="single"/>
                </w:rPr>
                <w:t>版本隔离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39">
              <w:r>
                <w:rPr>
                  <w:rFonts w:ascii="Songti SC" w:hAnsi="Songti SC" w:eastAsia="Songti SC"/>
                  <w:color w:val="000000"/>
                  <w:u w:val="single"/>
                </w:rPr>
                <w:t>恢复核对</w:t>
              </w:r>
            </w:hyperlink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授权与统计隔离 HM2-45～56：作者授权接收者，对照第三账号和双方汇总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接收者、未授权者；D原v1答案6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仅接收者可读；源题只读；作者统计4仅B、接收者6仅D；作者仅N1他人累计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通过，前段用户操作、后段AI页面核验及</w:t>
            </w:r>
            <w:hyperlink r:id="rId40">
              <w:r>
                <w:rPr>
                  <w:rFonts w:ascii="Songti SC" w:hAnsi="Songti SC" w:eastAsia="Songti SC"/>
                  <w:color w:val="000000"/>
                  <w:u w:val="single"/>
                </w:rPr>
                <w:t>观察记录</w:t>
              </w:r>
            </w:hyperlink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撤回与既有快照 HM2-57～58：服务撤回后打开源题及D</w:t>
            </w:r>
          </w:p>
        </w:tc>
        <w:tc>
          <w:tcPr>
            <w:tcW w:type="dxa" w:w="1757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原学时对接收者的指定授权</w:t>
            </w:r>
          </w:p>
        </w:tc>
        <w:tc>
          <w:tcPr>
            <w:tcW w:type="dxa" w:w="226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源题不可读；D仍v1/24、唯一6</w:t>
            </w:r>
          </w:p>
        </w:tc>
        <w:tc>
          <w:tcPr>
            <w:tcW w:type="dxa" w:w="283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通过，</w:t>
            </w:r>
            <w:hyperlink r:id="rId41">
              <w:r>
                <w:rPr>
                  <w:rFonts w:ascii="Songti SC" w:hAnsi="Songti SC" w:eastAsia="Songti SC"/>
                  <w:color w:val="000000"/>
                  <w:u w:val="single"/>
                </w:rPr>
                <w:t>服务结果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42">
              <w:r>
                <w:rPr>
                  <w:rFonts w:ascii="Songti SC" w:hAnsi="Songti SC" w:eastAsia="Songti SC"/>
                  <w:color w:val="000000"/>
                  <w:u w:val="single"/>
                </w:rPr>
                <w:t>D保留截图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；不算原生确认框全流程UI通过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独立副本 HM2-59～60：从D快照创建一次副本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本人已持有的原v1快照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新私有题和v1完整独立，root保留；原作者无访问权；D不替换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通过，AI实际页面操作及</w:t>
            </w:r>
            <w:hyperlink r:id="rId43">
              <w:r>
                <w:rPr>
                  <w:rFonts w:ascii="Songti SC" w:hAnsi="Songti SC" w:eastAsia="Songti SC"/>
                  <w:color w:val="000000"/>
                  <w:u w:val="single"/>
                </w:rPr>
                <w:t>20项核对</w:t>
              </w:r>
            </w:hyperlink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收藏与标签 HM2-61～64：服务设标签及重命名，页面筛选并移除收藏</w:t>
            </w:r>
          </w:p>
        </w:tc>
        <w:tc>
          <w:tcPr>
            <w:tcW w:type="dxa" w:w="1757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手测1028/派生题；改名验收1028</w:t>
            </w:r>
          </w:p>
        </w:tc>
        <w:tc>
          <w:tcPr>
            <w:tcW w:type="dxa" w:w="226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旧标签0、新标签1；移除后收藏0，自己的题目仍1，版本不变</w:t>
            </w:r>
          </w:p>
        </w:tc>
        <w:tc>
          <w:tcPr>
            <w:tcW w:type="dxa" w:w="283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通过，</w:t>
            </w:r>
            <w:hyperlink r:id="rId44">
              <w:r>
                <w:rPr>
                  <w:rFonts w:ascii="Songti SC" w:hAnsi="Songti SC" w:eastAsia="Songti SC"/>
                  <w:color w:val="000000"/>
                  <w:u w:val="single"/>
                </w:rPr>
                <w:t>标签服务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45">
              <w:r>
                <w:rPr>
                  <w:rFonts w:ascii="Songti SC" w:hAnsi="Songti SC" w:eastAsia="Songti SC"/>
                  <w:color w:val="000000"/>
                  <w:u w:val="single"/>
                </w:rPr>
                <w:t>重命名服务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46">
              <w:r>
                <w:rPr>
                  <w:rFonts w:ascii="Songti SC" w:hAnsi="Songti SC" w:eastAsia="Songti SC"/>
                  <w:color w:val="000000"/>
                  <w:u w:val="single"/>
                </w:rPr>
                <w:t>题目保留图</w:t>
              </w:r>
            </w:hyperlink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同题双实例 HM2-65～68：副本v1选入E两次，发布并提交一次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第一实例6、第二实例10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2回答、1答卷、1问卷、均8；逐卷账号1，同root原题不混入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通过，AI页面发布/填写及</w:t>
            </w:r>
            <w:hyperlink r:id="rId47">
              <w:r>
                <w:rPr>
                  <w:rFonts w:ascii="Songti SC" w:hAnsi="Songti SC" w:eastAsia="Songti SC"/>
                  <w:color w:val="000000"/>
                  <w:u w:val="single"/>
                </w:rPr>
                <w:t>正式核对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48">
              <w:r>
                <w:rPr>
                  <w:rFonts w:ascii="Songti SC" w:hAnsi="Songti SC" w:eastAsia="Songti SC"/>
                  <w:color w:val="000000"/>
                  <w:u w:val="single"/>
                </w:rPr>
                <w:t>结果截图</w:t>
              </w:r>
            </w:hyperlink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旧修订冲突 HM2-69～72：两个页面载入v1，A先保存、B后提交</w:t>
            </w:r>
          </w:p>
        </w:tc>
        <w:tc>
          <w:tcPr>
            <w:tcW w:type="dxa" w:w="1757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A上限16、B上限8及各自说明</w:t>
            </w:r>
          </w:p>
        </w:tc>
        <w:tc>
          <w:tcPr>
            <w:tcW w:type="dxa" w:w="226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B冲突且保留8；只产生上限16的v2，无v3；E仍v1</w:t>
            </w:r>
          </w:p>
        </w:tc>
        <w:tc>
          <w:tcPr>
            <w:tcW w:type="dxa" w:w="283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通过，</w:t>
            </w:r>
            <w:hyperlink r:id="rId49">
              <w:r>
                <w:rPr>
                  <w:rFonts w:ascii="Songti SC" w:hAnsi="Songti SC" w:eastAsia="Songti SC"/>
                  <w:color w:val="000000"/>
                  <w:u w:val="single"/>
                </w:rPr>
                <w:t>页面观察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50">
              <w:r>
                <w:rPr>
                  <w:rFonts w:ascii="Songti SC" w:hAnsi="Songti SC" w:eastAsia="Songti SC"/>
                  <w:color w:val="000000"/>
                  <w:u w:val="single"/>
                </w:rPr>
                <w:t>19项最终核对</w:t>
              </w:r>
            </w:hyperlink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旧数据保护：比对固定样本前后原始文档及统计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原12集合文档子集、10份问卷统计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原内容与统计不变，新样本独立增长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通过，</w:t>
            </w:r>
            <w:hyperlink r:id="rId25">
              <w:r>
                <w:rPr>
                  <w:rFonts w:ascii="Songti SC" w:hAnsi="Songti SC" w:eastAsia="Songti SC"/>
                  <w:color w:val="000000"/>
                  <w:u w:val="single"/>
                </w:rPr>
                <w:t>最终完整性</w:t>
              </w:r>
            </w:hyperlink>
          </w:p>
        </w:tc>
      </w:tr>
    </w:tbl>
    <w:p>
      <w:pPr>
        <w:spacing w:after="40"/>
      </w:pPr>
    </w:p>
    <w:p>
      <w:pPr>
        <w:widowControl/>
      </w:pPr>
      <w:r>
        <w:rPr>
          <w:rFonts w:ascii="Songti SC" w:hAnsi="Songti SC" w:eastAsia="Songti SC" w:cs="Songti SC"/>
          <w:color w:val="000000"/>
        </w:rPr>
        <w:t>以上是面向提交的代表用例总表，不替代原始全过程。HM2-71本轮浏览器记录没有直接捕获HTTP409，但冲突提示、输入8保留和不生成多余版本已确认；HTTP409及表单解锁另有33场景中的真实双页测试证据。两个预先打开的表单按先后保存属于旧修订冲突测试，不声称两个事务在同一时刻提交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color w:val="000000"/>
        </w:rPr>
        <w:t>自动统计专项的步骤 输入与结果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以下保留初次交付时已执行的统计专项。自动夹具中的数字题没有设置0～120上限，因此999、888等用于隔离的数值在这些夹具中合法；它们不能直接照搬到有年龄范围限制的手动演示题。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65"/>
        <w:gridCol w:w="1757"/>
        <w:gridCol w:w="2268"/>
        <w:gridCol w:w="2835"/>
      </w:tblGrid>
      <w:tr>
        <w:trPr>
          <w:tblHeader/>
          <w:cantSplit/>
        </w:trPr>
        <w:tc>
          <w:tcPr>
            <w:tcW w:type="dxa" w:w="2665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1757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主要步骤与输入</w:t>
            </w:r>
          </w:p>
        </w:tc>
        <w:tc>
          <w:tcPr>
            <w:tcW w:type="dxa" w:w="2268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预期输出</w:t>
            </w:r>
          </w:p>
        </w:tc>
        <w:tc>
          <w:tcPr>
            <w:tcW w:type="dxa" w:w="2835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实际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数字合并、0、重复填写与双实例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同一正式版本加入A一次、B两次；同一账号在A匿名0/实名20，B匿名回答40和60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回答4、答卷3、问卷2、均值30、范围0～60；每卷去重账号1，无跨卷总人数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他人回答和统一scope</w:t>
            </w:r>
          </w:p>
        </w:tc>
        <w:tc>
          <w:tcPr>
            <w:tcW w:type="dxa" w:w="1757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本人A=0、B=20，获共享者的问卷=999；再测试替换scope仅纳入A</w:t>
            </w:r>
          </w:p>
        </w:tc>
        <w:tc>
          <w:tcPr>
            <w:tcW w:type="dxa" w:w="226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初始均值10、只本人两卷；范围收窄后回答/答卷/问卷均1、均值0及分布仅0</w:t>
            </w:r>
          </w:p>
        </w:tc>
        <w:tc>
          <w:tcPr>
            <w:tcW w:type="dxa" w:w="283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版本、同源和同名隔离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A用v1回答10，B用v2回答80；另建同名题回答999、同root派生题回答888；最后归档原题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v1仍只有10，归档后本人旧结果保持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单选</w:t>
            </w:r>
          </w:p>
        </w:tc>
        <w:tc>
          <w:tcPr>
            <w:tcW w:type="dxa" w:w="1757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两份本人问卷分别回答X、Y</w:t>
            </w:r>
          </w:p>
        </w:tc>
        <w:tc>
          <w:tcPr>
            <w:tcW w:type="dxa" w:w="226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X=1、Y=1，回答2、答卷2，无原始答卷明细</w:t>
            </w:r>
          </w:p>
        </w:tc>
        <w:tc>
          <w:tcPr>
            <w:tcW w:type="dxa" w:w="283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多选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两份本人问卷分别回答[X,Y]、[Y]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X=1、Y=2，回答2；选项次数不当作人数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文本</w:t>
            </w:r>
          </w:p>
        </w:tc>
        <w:tc>
          <w:tcPr>
            <w:tcW w:type="dxa" w:w="1757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两份本人问卷分别回答不同敏感样例文本</w:t>
            </w:r>
          </w:p>
        </w:tc>
        <w:tc>
          <w:tcPr>
            <w:tcW w:type="dxa" w:w="226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回答2、不同内容2；结果不含任一原文、raw答案或values列表</w:t>
            </w:r>
          </w:p>
        </w:tc>
        <w:tc>
          <w:tcPr>
            <w:tcW w:type="dxa" w:w="283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缺映射与未答草稿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已答卷正常关联，另建未答空草稿；随后故意移除已答定义questionRefs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空草稿不阻塞；缺失已答关联返回409/MIGRATION_INCOMPLETE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极端精确数字</w:t>
            </w:r>
          </w:p>
        </w:tc>
        <w:tc>
          <w:tcPr>
            <w:tcW w:type="dxa" w:w="1757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同卷三次回答1e40、1、-1e40</w:t>
            </w:r>
          </w:p>
        </w:tc>
        <w:tc>
          <w:tcPr>
            <w:tcW w:type="dxa" w:w="226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均值保留34位有效数字的1/3残差，分布按准确数值排序</w:t>
            </w:r>
          </w:p>
        </w:tc>
        <w:tc>
          <w:tcPr>
            <w:tcW w:type="dxa" w:w="283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统计期间新增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固定成员后、第一次聚合前，用真实提交接口再插入30，原回答10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当次回答1/均值10/分布10；下一次回答2/均值20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查询资源上限</w:t>
            </w:r>
          </w:p>
        </w:tc>
        <w:tc>
          <w:tcPr>
            <w:tcW w:type="dxa" w:w="1757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测试将过滤条件上限缩小到1字节，查询真实已有回答</w:t>
            </w:r>
          </w:p>
        </w:tc>
        <w:tc>
          <w:tcPr>
            <w:tcW w:type="dxa" w:w="226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503/STATISTICS_TOO_LARGE，不静默截断</w:t>
            </w:r>
          </w:p>
        </w:tc>
        <w:tc>
          <w:tcPr>
            <w:tcW w:type="dxa" w:w="283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异常历史无身份键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只在隔离库构造缺respondentKey的历史坏样本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回答数仍正确，本卷去重账号数null，不伪造为1或用次数代替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共享撤回后本人历史</w:t>
            </w:r>
          </w:p>
        </w:tc>
        <w:tc>
          <w:tcPr>
            <w:tcW w:type="dxa" w:w="1757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甲共享给乙；乙问卷回答42；甲撤回，乙来源详情不可见</w:t>
            </w:r>
          </w:p>
        </w:tc>
        <w:tc>
          <w:tcPr>
            <w:tcW w:type="dxa" w:w="2268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乙仍可统计自己的42，甲的本人范围无回答，不因拥有源题获得乙答案</w:t>
            </w:r>
          </w:p>
        </w:tc>
        <w:tc>
          <w:tcPr>
            <w:tcW w:type="dxa" w:w="2835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Songti SC" w:hAnsi="Songti SC" w:eastAsia="Songti SC" w:cs="Songti SC"/>
          <w:color w:val="000000"/>
        </w:rPr>
        <w:t>统计期间新增用例在集合聚合入口插入真实成功答卷，用于准确控制“成员集合固定后”的时序；资源测试改变上限以验证明确拒绝路径；缺键样本绕过验证器只用于构造损坏历史，生产写入口不提供该能力。它们与真实事务或聚合结果验证分开说明，不声称是用户正常操作产生的坏数据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color w:val="000000"/>
        </w:rPr>
        <w:t>测试源码与验收职责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65"/>
        <w:gridCol w:w="6860"/>
      </w:tblGrid>
      <w:tr>
        <w:trPr>
          <w:tblHeader/>
          <w:cantSplit/>
        </w:trPr>
        <w:tc>
          <w:tcPr>
            <w:tcW w:type="dxa" w:w="2665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文件</w:t>
            </w:r>
          </w:p>
        </w:tc>
        <w:tc>
          <w:tcPr>
            <w:tcW w:type="dxa" w:w="6860"/>
            <w:vAlign w:val="center"/>
            <w:shd w:fill="E8EEF4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b/>
                <w:color w:val="000000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hyperlink r:id="rId51">
              <w:r>
                <w:rPr>
                  <w:rFonts w:ascii="Songti SC" w:hAnsi="Songti SC" w:eastAsia="Songti SC"/>
                  <w:color w:val="000000"/>
                  <w:u w:val="single"/>
                </w:rPr>
                <w:t>题目核心</w:t>
              </w:r>
            </w:hyperlink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编辑稿与正式版本、历史恢复、共享稿隔离、root不授权、公共维护、下架、CAS、幂等及回滚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hyperlink r:id="rId52">
              <w:r>
                <w:rPr>
                  <w:rFonts w:ascii="Songti SC" w:hAnsi="Songti SC" w:eastAsia="Songti SC"/>
                  <w:color w:val="000000"/>
                  <w:u w:val="single"/>
                </w:rPr>
                <w:t>引用绑定</w:t>
              </w:r>
            </w:hyperlink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同卷重复实例、发布冻结、旧答案不变、原PATCH防伪造、显式升级、历史usage和撤权快照派生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hyperlink r:id="rId53">
              <w:r>
                <w:rPr>
                  <w:rFonts w:ascii="Songti SC" w:hAnsi="Songti SC" w:eastAsia="Songti SC"/>
                  <w:color w:val="000000"/>
                  <w:u w:val="single"/>
                </w:rPr>
                <w:t>跨卷统计</w:t>
              </w:r>
            </w:hyperlink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四题型、精确身份、权限、双实例、匿名及极端数字等专项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hyperlink r:id="rId54">
              <w:r>
                <w:rPr>
                  <w:rFonts w:ascii="Songti SC" w:hAnsi="Songti SC" w:eastAsia="Songti SC"/>
                  <w:color w:val="000000"/>
                  <w:u w:val="single"/>
                </w:rPr>
                <w:t>交错并发</w:t>
              </w:r>
            </w:hyperlink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撤权/归档/下架与选用、发布与普通稿竞争的真实WriteConflict重试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hyperlink r:id="rId55">
              <w:r>
                <w:rPr>
                  <w:rFonts w:ascii="Songti SC" w:hAnsi="Songti SC" w:eastAsia="Songti SC"/>
                  <w:color w:val="000000"/>
                  <w:u w:val="single"/>
                </w:rPr>
                <w:t>迁移</w:t>
              </w:r>
            </w:hyperlink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dry-run、重跑、中断续跑、旧key重放、历史定义与假映射拒绝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hyperlink r:id="rId56">
              <w:r>
                <w:rPr>
                  <w:rFonts w:ascii="Songti SC" w:hAnsi="Songti SC" w:eastAsia="Songti SC"/>
                  <w:color w:val="000000"/>
                  <w:u w:val="single"/>
                </w:rPr>
                <w:t>验收边界</w:t>
              </w:r>
            </w:hyperlink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无效升级、分页、空统计、插入后回滚、standalone拒绝等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20" w:before="20" w:line="283" w:lineRule="auto"/>
            </w:pPr>
            <w:hyperlink r:id="rId57">
              <w:r>
                <w:rPr>
                  <w:rFonts w:ascii="Songti SC" w:hAnsi="Songti SC" w:eastAsia="Songti SC"/>
                  <w:color w:val="000000"/>
                  <w:u w:val="single"/>
                </w:rPr>
                <w:t>功能复查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58">
              <w:r>
                <w:rPr>
                  <w:rFonts w:ascii="Songti SC" w:hAnsi="Songti SC" w:eastAsia="Songti SC"/>
                  <w:color w:val="000000"/>
                  <w:u w:val="single"/>
                </w:rPr>
                <w:t>输入与权限复查</w:t>
              </w:r>
            </w:hyperlink>
          </w:p>
        </w:tc>
        <w:tc>
          <w:tcPr>
            <w:tcW w:type="dxa" w:w="6860"/>
            <w:vAlign w:val="center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两跳派生、重排、发布回滚、身份注入、历史N、五实例、关闭冻结、三用户标签、异常输入与停用权限等补强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</w:tcPr>
          <w:p>
            <w:pPr>
              <w:spacing w:after="20" w:before="20" w:line="283" w:lineRule="auto"/>
            </w:pPr>
            <w:hyperlink r:id="rId59">
              <w:r>
                <w:rPr>
                  <w:rFonts w:ascii="Songti SC" w:hAnsi="Songti SC" w:eastAsia="Songti SC"/>
                  <w:color w:val="000000"/>
                  <w:u w:val="single"/>
                </w:rPr>
                <w:t>第一阶段测试</w:t>
              </w:r>
            </w:hyperlink>
            <w:r>
              <w:rPr>
                <w:rFonts w:ascii="Songti SC" w:hAnsi="Songti SC" w:eastAsia="Songti SC" w:cs="Songti SC"/>
                <w:color w:val="000000"/>
                <w:sz w:val="18"/>
              </w:rPr>
              <w:t>、</w:t>
            </w:r>
            <w:hyperlink r:id="rId60">
              <w:r>
                <w:rPr>
                  <w:rFonts w:ascii="Songti SC" w:hAnsi="Songti SC" w:eastAsia="Songti SC"/>
                  <w:color w:val="000000"/>
                  <w:u w:val="single"/>
                </w:rPr>
                <w:t>工具保护</w:t>
              </w:r>
            </w:hyperlink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20" w:before="20" w:line="283" w:lineRule="auto"/>
            </w:pPr>
            <w:r>
              <w:rPr>
                <w:rFonts w:ascii="Songti SC" w:hAnsi="Songti SC" w:eastAsia="Songti SC" w:cs="Songti SC"/>
                <w:color w:val="000000"/>
                <w:sz w:val="18"/>
              </w:rPr>
              <w:t>原注册、创建、题型、跳转、校验、提交、统计与初始化/备份保护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Heiti SC" w:hAnsi="Heiti SC" w:eastAsia="Heiti SC" w:cs="Heiti SC"/>
          <w:b/>
          <w:color w:val="000000"/>
        </w:rPr>
        <w:t>结果判定与保留的边界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原文八项需求均有核心运行证据。公共管理员维护、归档或停止新选用、异常输入、失败回滚等组合已有自动或隔离浏览器结果，本轮固定样本没有再次把所有组合人工重做。</w:t>
      </w:r>
      <w:hyperlink r:id="rId12">
        <w:r>
          <w:rPr>
            <w:rFonts w:ascii="Songti SC" w:hAnsi="Songti SC" w:eastAsia="Songti SC"/>
            <w:color w:val="000000"/>
            <w:u w:val="single"/>
          </w:rPr>
          <w:t>验收矩阵</w:t>
        </w:r>
      </w:hyperlink>
      <w:r>
        <w:rPr>
          <w:rFonts w:ascii="Songti SC" w:hAnsi="Songti SC" w:eastAsia="Songti SC" w:cs="Songti SC"/>
          <w:color w:val="000000"/>
        </w:rPr>
        <w:t>中8行“部分验证”明确的是更细的组合边界，不代表必交材料缺失，也不改写为全部变体通过。</w:t>
      </w:r>
    </w:p>
    <w:p>
      <w:pPr>
        <w:widowControl/>
      </w:pPr>
      <w:r>
        <w:rPr>
          <w:rFonts w:ascii="Songti SC" w:hAnsi="Songti SC" w:eastAsia="Songti SC" w:cs="Songti SC"/>
          <w:color w:val="000000"/>
        </w:rPr>
        <w:t>失败及修复历史继续保留：初次223通过1失败为备份测试夹具误用严格集合；243通过1失败为错误码断言过窄；临时库名超长与浏览器异步等待也分别记录。后续复查发现的真实业务缺陷及修复前证据见</w:t>
      </w:r>
      <w:hyperlink r:id="rId26">
        <w:r>
          <w:rPr>
            <w:rFonts w:ascii="Songti SC" w:hAnsi="Songti SC" w:eastAsia="Songti SC"/>
            <w:color w:val="000000"/>
            <w:u w:val="single"/>
          </w:rPr>
          <w:t>复查记录</w:t>
        </w:r>
      </w:hyperlink>
      <w:r>
        <w:rPr>
          <w:rFonts w:ascii="Songti SC" w:hAnsi="Songti SC" w:eastAsia="Songti SC" w:cs="Songti SC"/>
          <w:color w:val="000000"/>
        </w:rPr>
        <w:t>。正式版本正文、旧问卷及答卷指纹是保护依据，成功页面和用例数量不能代替数据一致性核对。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 w:cs="Songti SC"/>
        <w:color w:val="000000"/>
        <w:sz w:val="18"/>
      </w:rPr>
      <w:t xml:space="preserve">第 </w:t>
    </w:r>
    <w:fldSimple w:instr="PAGE"/>
    <w:r>
      <w:rPr>
        <w:rFonts w:ascii="Songti SC" w:hAnsi="Songti SC" w:eastAsia="Songti SC" w:cs="Songti SC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Heiti SC" w:hAnsi="Heiti SC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="Heiti SC" w:hAnsi="Heiti SC" w:eastAsia="Hei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40"/>
      <w:outlineLvl w:val="3"/>
    </w:pPr>
    <w:rPr>
      <w:rFonts w:ascii="Heiti SC" w:hAnsi="Heiti SC" w:eastAsia="Heiti SC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Heiti SC" w:hAnsi="Heiti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docs/submissions/stage2/README.md" TargetMode="External"/><Relationship Id="rId11" Type="http://schemas.openxmlformats.org/officeDocument/2006/relationships/hyperlink" Target="../../docs/stage2/manual-acceptance.md" TargetMode="External"/><Relationship Id="rId12" Type="http://schemas.openxmlformats.org/officeDocument/2006/relationships/hyperlink" Target="../../docs/stage2/acceptance.md" TargetMode="External"/><Relationship Id="rId13" Type="http://schemas.openxmlformats.org/officeDocument/2006/relationships/hyperlink" Target="../../docs/evidence/stage2/final-2026-10-26/regression/test-results.json" TargetMode="External"/><Relationship Id="rId14" Type="http://schemas.openxmlformats.org/officeDocument/2006/relationships/hyperlink" Target="../../docs/evidence/stage2/browser-2026-10-26/attempt-4/browser-results.json" TargetMode="External"/><Relationship Id="rId15" Type="http://schemas.openxmlformats.org/officeDocument/2006/relationships/hyperlink" Target="../../docs/evidence/stage2/final-2026-10-26/clean-environment/reproduction.json" TargetMode="External"/><Relationship Id="rId16" Type="http://schemas.openxmlformats.org/officeDocument/2006/relationships/hyperlink" Target="../../docs/evidence/stage2/recheck-2026-10-26-363f82/regression-final/test-results.json" TargetMode="External"/><Relationship Id="rId17" Type="http://schemas.openxmlformats.org/officeDocument/2006/relationships/hyperlink" Target="../../docs/evidence/stage2/recheck-2026-10-26-363f82/regression-final/pytest-output.txt" TargetMode="External"/><Relationship Id="rId18" Type="http://schemas.openxmlformats.org/officeDocument/2006/relationships/hyperlink" Target="../../docs/evidence/stage2/recheck-2026-10-26-363f82/regression-final/pytest.xml" TargetMode="External"/><Relationship Id="rId19" Type="http://schemas.openxmlformats.org/officeDocument/2006/relationships/hyperlink" Target="../../docs/evidence/stage2/recheck-2026-10-26-363f82/browser/final-summary.json" TargetMode="External"/><Relationship Id="rId20" Type="http://schemas.openxmlformats.org/officeDocument/2006/relationships/hyperlink" Target="../../docs/evidence/stage2/manual-acceptance-2026-10-26/hm2-ai-takeover-completion-2026-10-28.json" TargetMode="External"/><Relationship Id="rId21" Type="http://schemas.openxmlformats.org/officeDocument/2006/relationships/hyperlink" Target="../../docs/evidence/stage2/development-2026-10-26/final-migration-apply.json" TargetMode="External"/><Relationship Id="rId22" Type="http://schemas.openxmlformats.org/officeDocument/2006/relationships/hyperlink" Target="../../docs/evidence/stage2/development-2026-10-26/final-migration-repeat.json" TargetMode="External"/><Relationship Id="rId23" Type="http://schemas.openxmlformats.org/officeDocument/2006/relationships/hyperlink" Target="../../docs/evidence/stage2/final-2026-10-26/data-and-demo.json" TargetMode="External"/><Relationship Id="rId24" Type="http://schemas.openxmlformats.org/officeDocument/2006/relationships/hyperlink" Target="../../artifacts/stage2/stage2-v2.0.0.archive.gz.manifest.json" TargetMode="External"/><Relationship Id="rId25" Type="http://schemas.openxmlformats.org/officeDocument/2006/relationships/hyperlink" Target="../../docs/evidence/stage2/manual-acceptance-2026-10-26/hm2-post-cas-original-data-integrity-2026-10-28.json" TargetMode="External"/><Relationship Id="rId26" Type="http://schemas.openxmlformats.org/officeDocument/2006/relationships/hyperlink" Target="../../docs/stage2/recheck-2026-10-26.md" TargetMode="External"/><Relationship Id="rId27" Type="http://schemas.openxmlformats.org/officeDocument/2006/relationships/hyperlink" Target="../../docs/stage2/ai-log.md" TargetMode="External"/><Relationship Id="rId28" Type="http://schemas.openxmlformats.org/officeDocument/2006/relationships/hyperlink" Target="../../README.md" TargetMode="External"/><Relationship Id="rId29" Type="http://schemas.openxmlformats.org/officeDocument/2006/relationships/hyperlink" Target="../../docs/stage2/browser-reproduction.md" TargetMode="External"/><Relationship Id="rId30" Type="http://schemas.openxmlformats.org/officeDocument/2006/relationships/hyperlink" Target="../../docs/evidence/stage2/manual-acceptance-2026-10-26/hm2-02-03-feedback.json" TargetMode="External"/><Relationship Id="rId31" Type="http://schemas.openxmlformats.org/officeDocument/2006/relationships/hyperlink" Target="../../docs/evidence/stage2/manual-acceptance-2026-10-26/hm2-05d-save-check-2026-10-27.json" TargetMode="External"/><Relationship Id="rId32" Type="http://schemas.openxmlformats.org/officeDocument/2006/relationships/hyperlink" Target="../../docs/evidence/stage2/manual-acceptance-2026-10-26/hm2-07-08-jump-feedback-2026-10-27.json" TargetMode="External"/><Relationship Id="rId33" Type="http://schemas.openxmlformats.org/officeDocument/2006/relationships/hyperlink" Target="../../docs/evidence/stage2/manual-acceptance-2026-10-26/hm2-09-10-numeric-preview-feedback-2026-10-27.json" TargetMode="External"/><Relationship Id="rId34" Type="http://schemas.openxmlformats.org/officeDocument/2006/relationships/hyperlink" Target="../../docs/evidence/stage2/manual-acceptance-2026-10-26/hm2-12-14-preview-feedback-2026-10-27.json" TargetMode="External"/><Relationship Id="rId35" Type="http://schemas.openxmlformats.org/officeDocument/2006/relationships/hyperlink" Target="../../docs/evidence/stage2/manual-acceptance-2026-10-26/hm2-17-18-two-responses-statistics-feedback-2026-10-27.json" TargetMode="External"/><Relationship Id="rId36" Type="http://schemas.openxmlformats.org/officeDocument/2006/relationships/hyperlink" Target="../../docs/evidence/stage2/manual-acceptance-2026-10-26/hm2-27-29-B-formal-cross-check-2026-10-27.json" TargetMode="External"/><Relationship Id="rId37" Type="http://schemas.openxmlformats.org/officeDocument/2006/relationships/hyperlink" Target="../../docs/evidence/stage2/manual-acceptance-2026-10-26/hm2-29-age-v1-cross-summary-2026-10-27.png" TargetMode="External"/><Relationship Id="rId38" Type="http://schemas.openxmlformats.org/officeDocument/2006/relationships/hyperlink" Target="../../docs/evidence/stage2/manual-acceptance-2026-10-26/hm2-39-40-C-formal-version-statistics-feedback-2026-10-27.json" TargetMode="External"/><Relationship Id="rId39" Type="http://schemas.openxmlformats.org/officeDocument/2006/relationships/hyperlink" Target="../../docs/evidence/stage2/manual-acceptance-2026-10-26/hm2-41-44-restore-v3-feedback-2026-10-27.json" TargetMode="External"/><Relationship Id="rId40" Type="http://schemas.openxmlformats.org/officeDocument/2006/relationships/hyperlink" Target="../../docs/evidence/stage2/manual-acceptance-2026-10-26/hm2-52-56-ai-browser-observations-2026-10-27.json" TargetMode="External"/><Relationship Id="rId41" Type="http://schemas.openxmlformats.org/officeDocument/2006/relationships/hyperlink" Target="../../docs/evidence/stage2/manual-acceptance-2026-10-26/hm2-57-service-revoke-result-2026-10-28.json" TargetMode="External"/><Relationship Id="rId42" Type="http://schemas.openxmlformats.org/officeDocument/2006/relationships/hyperlink" Target="../../docs/evidence/stage2/manual-acceptance-2026-10-26/hm2-58-D-statistics-after-revoke-2026-10-28.jpg" TargetMode="External"/><Relationship Id="rId43" Type="http://schemas.openxmlformats.org/officeDocument/2006/relationships/hyperlink" Target="../../docs/evidence/stage2/manual-acceptance-2026-10-26/hm2-58-60-derived-copy-check-2026-10-28.json" TargetMode="External"/><Relationship Id="rId44" Type="http://schemas.openxmlformats.org/officeDocument/2006/relationships/hyperlink" Target="../../docs/evidence/stage2/manual-acceptance-2026-10-26/hm2-61-tags-added-service-2026-10-28.json" TargetMode="External"/><Relationship Id="rId45" Type="http://schemas.openxmlformats.org/officeDocument/2006/relationships/hyperlink" Target="../../docs/evidence/stage2/manual-acceptance-2026-10-26/hm2-62-tag-renamed-service-2026-10-28.json" TargetMode="External"/><Relationship Id="rId46" Type="http://schemas.openxmlformats.org/officeDocument/2006/relationships/hyperlink" Target="../../docs/evidence/stage2/manual-acceptance-2026-10-26/hm2-63-owned-question-preserved-2026-10-28.jpg" TargetMode="External"/><Relationship Id="rId47" Type="http://schemas.openxmlformats.org/officeDocument/2006/relationships/hyperlink" Target="../../docs/evidence/stage2/manual-acceptance-2026-10-26/hm2-65-68-E-formal-double-instance-check-2026-10-28.json" TargetMode="External"/><Relationship Id="rId48" Type="http://schemas.openxmlformats.org/officeDocument/2006/relationships/hyperlink" Target="../../docs/evidence/stage2/manual-acceptance-2026-10-26/hm2-67-E-double-instance-summary-2026-10-28.jpg" TargetMode="External"/><Relationship Id="rId49" Type="http://schemas.openxmlformats.org/officeDocument/2006/relationships/hyperlink" Target="../../docs/evidence/stage2/manual-acceptance-2026-10-26/hm2-69-71-two-tab-ui-conflict-2026-10-28.json" TargetMode="External"/><Relationship Id="rId50" Type="http://schemas.openxmlformats.org/officeDocument/2006/relationships/hyperlink" Target="../../docs/evidence/stage2/manual-acceptance-2026-10-26/hm2-69-72-two-tab-conflict-final-check-2026-10-28.json" TargetMode="External"/><Relationship Id="rId51" Type="http://schemas.openxmlformats.org/officeDocument/2006/relationships/hyperlink" Target="../../tests/integration/test_library_core.py" TargetMode="External"/><Relationship Id="rId52" Type="http://schemas.openxmlformats.org/officeDocument/2006/relationships/hyperlink" Target="../../tests/integration/test_library_bindings.py" TargetMode="External"/><Relationship Id="rId53" Type="http://schemas.openxmlformats.org/officeDocument/2006/relationships/hyperlink" Target="../../tests/integration/test_cross_library_statistics.py" TargetMode="External"/><Relationship Id="rId54" Type="http://schemas.openxmlformats.org/officeDocument/2006/relationships/hyperlink" Target="../../tests/integration/test_library_concurrency.py" TargetMode="External"/><Relationship Id="rId55" Type="http://schemas.openxmlformats.org/officeDocument/2006/relationships/hyperlink" Target="../../tests/integration/test_library_migration.py" TargetMode="External"/><Relationship Id="rId56" Type="http://schemas.openxmlformats.org/officeDocument/2006/relationships/hyperlink" Target="../../tests/integration/test_stage2_acceptance_edges.py" TargetMode="External"/><Relationship Id="rId57" Type="http://schemas.openxmlformats.org/officeDocument/2006/relationships/hyperlink" Target="../../tests/integration/test_stage2_recheck.py" TargetMode="External"/><Relationship Id="rId58" Type="http://schemas.openxmlformats.org/officeDocument/2006/relationships/hyperlink" Target="../../tests/integration/test_stage2_review_permissions.py" TargetMode="External"/><Relationship Id="rId59" Type="http://schemas.openxmlformats.org/officeDocument/2006/relationships/hyperlink" Target="../../tests" TargetMode="External"/><Relationship Id="rId60" Type="http://schemas.openxmlformats.org/officeDocument/2006/relationships/hyperlink" Target="../../tests/integration/test_baseline_tool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问卷系统第二阶段测试用例与结果</dc:title>
  <dc:subject>MongoDB问卷系统第二阶段需求变更实现与验证</dc:subject>
  <dc:creator>课程项目材料</dc:creator>
  <cp:keywords/>
  <dc:description>generated by python-docx</dc:description>
  <cp:lastModifiedBy>课程项目材料</cp:lastModifiedBy>
  <cp:revision>1</cp:revision>
  <dcterms:created xsi:type="dcterms:W3CDTF">2026-10-27T17:19:37Z</dcterms:created>
  <dcterms:modified xsi:type="dcterms:W3CDTF">2026-10-27T17:19:37Z</dcterms:modified>
  <cp:category/>
</cp:coreProperties>
</file>