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员工出差申请</w:t>
      </w:r>
    </w:p>
    <w:p>
      <w:pPr>
        <w:jc w:val="right"/>
      </w:pPr>
      <w:r>
        <w:t>申请编号：TR-2026-0601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员工姓名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张三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部门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市场部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出差地点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上海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出差时间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2026-06-01 至 2026-06-03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出差事由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参加客户交流会议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审批状态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已批准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备注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宋体" w:hAnsi="宋体"/>
                <w:sz w:val="22"/>
              </w:rPr>
              <w:t>需报销往返交通、住宿、餐饮和市内交通费用</w:t>
            </w:r>
          </w:p>
        </w:tc>
      </w:tr>
    </w:tbl>
    <w:p/>
    <w:p>
      <w:r>
        <w:t>审批意见：同意本次出差安排，请按公司差旅报销制度提交相关票据。</w:t>
      </w:r>
    </w:p>
    <w:p>
      <w:r>
        <w:t>申请人：张三</w:t>
      </w:r>
    </w:p>
    <w:p>
      <w:r>
        <w:t>部门负责人：李经理</w:t>
      </w:r>
    </w:p>
    <w:p>
      <w:r>
        <w:t>申请日期：2026-05-28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