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86D92" w14:textId="77777777" w:rsidR="001B646B" w:rsidRDefault="001B646B">
      <w:pPr>
        <w:pStyle w:val="kicker"/>
        <w:rPr>
          <w:rFonts w:ascii="Calibri" w:hAnsi="Calibri" w:cs="Calibri"/>
        </w:rPr>
      </w:pPr>
      <w:r>
        <w:rPr>
          <w:rFonts w:ascii="Calibri" w:hAnsi="Calibri" w:cs="Calibri"/>
        </w:rPr>
        <w:t>Annex 2a to the Reseller Agreement · confidential (clause 11)</w:t>
      </w:r>
    </w:p>
    <w:p w14:paraId="19B0500F" w14:textId="77777777" w:rsidR="001B646B" w:rsidRDefault="001B646B">
      <w:pPr>
        <w:pStyle w:val="berschrift1"/>
        <w:rPr>
          <w:rFonts w:eastAsia="Times New Roman"/>
        </w:rPr>
      </w:pPr>
      <w:r>
        <w:rPr>
          <w:rFonts w:eastAsia="Times New Roman"/>
        </w:rPr>
        <w:t>Price list — procurement costs per case</w:t>
      </w:r>
    </w:p>
    <w:p w14:paraId="1BFC1702" w14:textId="77777777" w:rsidR="001B646B" w:rsidRDefault="001B646B">
      <w:pPr>
        <w:pStyle w:val="meta"/>
        <w:rPr>
          <w:rFonts w:ascii="Calibri" w:hAnsi="Calibri" w:cs="Calibri"/>
        </w:rPr>
      </w:pPr>
      <w:r>
        <w:rPr>
          <w:rFonts w:ascii="Calibri" w:hAnsi="Calibri" w:cs="Calibri"/>
        </w:rPr>
        <w:t>Founders1 GmbH — STP Business Information GmbH · version of 2026-09-14</w:t>
      </w:r>
    </w:p>
    <w:p w14:paraId="310B6D1D" w14:textId="77777777" w:rsidR="001B646B" w:rsidRDefault="001B646B">
      <w:pPr>
        <w:pStyle w:val="berschrift2"/>
        <w:rPr>
          <w:rFonts w:eastAsia="Times New Roman"/>
        </w:rPr>
      </w:pPr>
      <w:r>
        <w:rPr>
          <w:rFonts w:eastAsia="Times New Roman"/>
        </w:rPr>
        <w:t>1 Cost per tier</w:t>
      </w:r>
    </w:p>
    <w:p w14:paraId="1E65ACA8" w14:textId="77777777" w:rsidR="001B646B" w:rsidRDefault="001B646B">
      <w:pPr>
        <w:pStyle w:val="StandardWeb"/>
        <w:rPr>
          <w:rFonts w:ascii="Calibri" w:hAnsi="Calibri" w:cs="Calibri"/>
          <w:color w:val="222233"/>
          <w:sz w:val="21"/>
          <w:szCs w:val="21"/>
        </w:rPr>
      </w:pPr>
      <w:r>
        <w:rPr>
          <w:rFonts w:ascii="Calibri" w:hAnsi="Calibri" w:cs="Calibri"/>
          <w:color w:val="222233"/>
          <w:sz w:val="21"/>
          <w:szCs w:val="21"/>
        </w:rPr>
        <w:t xml:space="preserve">These are the amounts Annex 2.1 refers to as „the procurement cost for that jurisdiction“. They are the </w:t>
      </w:r>
      <w:r>
        <w:rPr>
          <w:rStyle w:val="Fett"/>
          <w:rFonts w:ascii="Calibri" w:hAnsi="Calibri" w:cs="Calibri"/>
          <w:color w:val="222233"/>
          <w:sz w:val="21"/>
          <w:szCs w:val="21"/>
        </w:rPr>
        <w:t>procurement cost per case</w:t>
      </w:r>
      <w:r>
        <w:rPr>
          <w:rFonts w:ascii="Calibri" w:hAnsi="Calibri" w:cs="Calibri"/>
          <w:color w:val="222233"/>
          <w:sz w:val="21"/>
          <w:szCs w:val="21"/>
        </w:rPr>
        <w:t xml:space="preserve"> for a jurisdiction in that tier. The list price column is shown for orientation only and is not the basis of any settlement.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3506"/>
        <w:gridCol w:w="2056"/>
        <w:gridCol w:w="2624"/>
      </w:tblGrid>
      <w:tr w:rsidR="00000000" w14:paraId="6A6C953D" w14:textId="77777777">
        <w:trPr>
          <w:tblHeader/>
        </w:trPr>
        <w:tc>
          <w:tcPr>
            <w:tcW w:w="0" w:type="auto"/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9D6892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Tier</w:t>
            </w:r>
          </w:p>
        </w:tc>
        <w:tc>
          <w:tcPr>
            <w:tcW w:w="0" w:type="auto"/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C18413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Procurement cost</w:t>
            </w:r>
          </w:p>
        </w:tc>
        <w:tc>
          <w:tcPr>
            <w:tcW w:w="0" w:type="auto"/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F4C157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List price</w:t>
            </w:r>
          </w:p>
        </w:tc>
        <w:tc>
          <w:tcPr>
            <w:tcW w:w="0" w:type="auto"/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AA0AC8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Jurisdictions</w:t>
            </w:r>
          </w:p>
        </w:tc>
      </w:tr>
      <w:tr w:rsidR="00000000" w14:paraId="0D3348B2" w14:textId="77777777"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A6254B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A</w:t>
            </w:r>
          </w:p>
        </w:tc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189D0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10,80 €</w:t>
            </w:r>
          </w:p>
        </w:tc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40A2B1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15,00 €</w:t>
            </w:r>
          </w:p>
        </w:tc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AE27A2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104</w:t>
            </w:r>
          </w:p>
        </w:tc>
      </w:tr>
      <w:tr w:rsidR="00000000" w14:paraId="54C28F9C" w14:textId="77777777"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789C26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B</w:t>
            </w:r>
          </w:p>
        </w:tc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0B1C38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26,70 €</w:t>
            </w:r>
          </w:p>
        </w:tc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4675F2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35,00 €</w:t>
            </w:r>
          </w:p>
        </w:tc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27AA71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35</w:t>
            </w:r>
          </w:p>
        </w:tc>
      </w:tr>
      <w:tr w:rsidR="00000000" w14:paraId="4F987156" w14:textId="77777777"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0C365A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C</w:t>
            </w:r>
          </w:p>
        </w:tc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8DFD00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54,50 €</w:t>
            </w:r>
          </w:p>
        </w:tc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FCED3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70,00 €</w:t>
            </w:r>
          </w:p>
        </w:tc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1E6F15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12</w:t>
            </w:r>
          </w:p>
        </w:tc>
      </w:tr>
      <w:tr w:rsidR="00000000" w14:paraId="74141B8D" w14:textId="77777777"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40E1FC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D</w:t>
            </w:r>
          </w:p>
        </w:tc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2A500C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70,50 €</w:t>
            </w:r>
          </w:p>
        </w:tc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4DAB7C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90,00 €</w:t>
            </w:r>
          </w:p>
        </w:tc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886B1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1</w:t>
            </w:r>
          </w:p>
        </w:tc>
      </w:tr>
    </w:tbl>
    <w:p w14:paraId="4271D59A" w14:textId="77777777" w:rsidR="001B646B" w:rsidRDefault="001B646B">
      <w:pPr>
        <w:pStyle w:val="berschrift2"/>
        <w:rPr>
          <w:rFonts w:eastAsia="Times New Roman"/>
        </w:rPr>
      </w:pPr>
      <w:r>
        <w:rPr>
          <w:rFonts w:eastAsia="Times New Roman"/>
        </w:rPr>
        <w:t>2 Individually priced jurisdictions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2845"/>
        <w:gridCol w:w="3579"/>
      </w:tblGrid>
      <w:tr w:rsidR="00000000" w14:paraId="719494DC" w14:textId="77777777">
        <w:trPr>
          <w:tblHeader/>
        </w:trPr>
        <w:tc>
          <w:tcPr>
            <w:tcW w:w="0" w:type="auto"/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1C45A5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Jurisdiction</w:t>
            </w:r>
          </w:p>
        </w:tc>
        <w:tc>
          <w:tcPr>
            <w:tcW w:w="0" w:type="auto"/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A89677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Procurement cost</w:t>
            </w:r>
          </w:p>
        </w:tc>
        <w:tc>
          <w:tcPr>
            <w:tcW w:w="0" w:type="auto"/>
            <w:shd w:val="clear" w:color="auto" w:fill="1A23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A15708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Sourced via</w:t>
            </w:r>
          </w:p>
        </w:tc>
      </w:tr>
      <w:tr w:rsidR="00000000" w14:paraId="3FCACD4C" w14:textId="77777777"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1FBCA5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United Kingdom</w:t>
            </w:r>
          </w:p>
        </w:tc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95088B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1,70 €</w:t>
            </w:r>
          </w:p>
        </w:tc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75870D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supplier home band</w:t>
            </w:r>
          </w:p>
        </w:tc>
      </w:tr>
      <w:tr w:rsidR="00000000" w14:paraId="7F95F9B4" w14:textId="77777777"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32B2B3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Germany</w:t>
            </w:r>
          </w:p>
        </w:tc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FE71EA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6,30 €</w:t>
            </w:r>
          </w:p>
        </w:tc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6505A2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own direct route</w:t>
            </w:r>
          </w:p>
        </w:tc>
      </w:tr>
      <w:tr w:rsidR="00000000" w14:paraId="781D4592" w14:textId="77777777"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997723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United States</w:t>
            </w:r>
          </w:p>
        </w:tc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7C403A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17,35 €</w:t>
            </w:r>
          </w:p>
        </w:tc>
        <w:tc>
          <w:tcPr>
            <w:tcW w:w="0" w:type="auto"/>
            <w:tcBorders>
              <w:bottom w:val="single" w:sz="4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8A19F" w14:textId="77777777" w:rsidR="001B646B" w:rsidRDefault="001B646B">
            <w:pPr>
              <w:spacing w:before="120" w:after="200"/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22233"/>
                <w:sz w:val="19"/>
                <w:szCs w:val="19"/>
              </w:rPr>
              <w:t>supplier home band</w:t>
            </w:r>
          </w:p>
        </w:tc>
      </w:tr>
    </w:tbl>
    <w:p w14:paraId="1602F910" w14:textId="77777777" w:rsidR="001B646B" w:rsidRDefault="001B646B">
      <w:pPr>
        <w:pStyle w:val="StandardWeb"/>
        <w:rPr>
          <w:rFonts w:ascii="Calibri" w:hAnsi="Calibri" w:cs="Calibri"/>
          <w:color w:val="222233"/>
          <w:sz w:val="21"/>
          <w:szCs w:val="21"/>
        </w:rPr>
      </w:pPr>
      <w:r>
        <w:rPr>
          <w:rFonts w:ascii="Calibri" w:hAnsi="Calibri" w:cs="Calibri"/>
          <w:color w:val="222233"/>
          <w:sz w:val="21"/>
          <w:szCs w:val="21"/>
        </w:rPr>
        <w:t xml:space="preserve">Founders1 procures Germany, France, Denmark through its </w:t>
      </w:r>
      <w:r>
        <w:rPr>
          <w:rStyle w:val="Fett"/>
          <w:rFonts w:ascii="Calibri" w:hAnsi="Calibri" w:cs="Calibri"/>
          <w:color w:val="222233"/>
          <w:sz w:val="21"/>
          <w:szCs w:val="21"/>
        </w:rPr>
        <w:t>own routes</w:t>
      </w:r>
      <w:r>
        <w:rPr>
          <w:rFonts w:ascii="Calibri" w:hAnsi="Calibri" w:cs="Calibri"/>
          <w:color w:val="222233"/>
          <w:sz w:val="21"/>
          <w:szCs w:val="21"/>
        </w:rPr>
        <w:t>. The remaining jurisdictions in the table above are individually priced but not own-sourced; the distinction matters for Annex 2.5 and is recorded here rather than in the Agreement.</w:t>
      </w:r>
    </w:p>
    <w:p w14:paraId="0B199A94" w14:textId="77777777" w:rsidR="001B646B" w:rsidRDefault="001B646B">
      <w:pPr>
        <w:pStyle w:val="StandardWeb"/>
        <w:rPr>
          <w:rFonts w:ascii="Calibri" w:hAnsi="Calibri" w:cs="Calibri"/>
          <w:color w:val="222233"/>
          <w:sz w:val="21"/>
          <w:szCs w:val="21"/>
        </w:rPr>
      </w:pPr>
      <w:r>
        <w:rPr>
          <w:rStyle w:val="Fett"/>
          <w:rFonts w:ascii="Calibri" w:hAnsi="Calibri" w:cs="Calibri"/>
          <w:color w:val="222233"/>
          <w:sz w:val="21"/>
          <w:szCs w:val="21"/>
        </w:rPr>
        <w:t>United States:</w:t>
      </w:r>
      <w:r>
        <w:rPr>
          <w:rFonts w:ascii="Calibri" w:hAnsi="Calibri" w:cs="Calibri"/>
          <w:color w:val="222233"/>
          <w:sz w:val="21"/>
          <w:szCs w:val="21"/>
        </w:rPr>
        <w:t xml:space="preserve"> the register is per state and availability is determined per state. The amount above is the contracted case fee and does not warrant that every state resolves.</w:t>
      </w:r>
    </w:p>
    <w:p w14:paraId="704BE958" w14:textId="77777777" w:rsidR="001B646B" w:rsidRDefault="001B646B">
      <w:pPr>
        <w:pStyle w:val="berschrift2"/>
        <w:rPr>
          <w:rFonts w:eastAsia="Times New Roman"/>
        </w:rPr>
      </w:pPr>
      <w:r>
        <w:rPr>
          <w:rFonts w:eastAsia="Times New Roman"/>
        </w:rPr>
        <w:t>3 Surcharges</w:t>
      </w:r>
    </w:p>
    <w:p w14:paraId="2B43BD0C" w14:textId="77777777" w:rsidR="001B646B" w:rsidRDefault="001B646B">
      <w:pPr>
        <w:pStyle w:val="StandardWeb"/>
        <w:rPr>
          <w:rFonts w:ascii="Calibri" w:hAnsi="Calibri" w:cs="Calibri"/>
          <w:color w:val="222233"/>
          <w:sz w:val="21"/>
          <w:szCs w:val="21"/>
        </w:rPr>
      </w:pPr>
      <w:r>
        <w:rPr>
          <w:rFonts w:ascii="Calibri" w:hAnsi="Calibri" w:cs="Calibri"/>
          <w:color w:val="222233"/>
          <w:sz w:val="21"/>
          <w:szCs w:val="21"/>
        </w:rPr>
        <w:t xml:space="preserve">A case that has to be worked manually carries </w:t>
      </w:r>
      <w:r>
        <w:rPr>
          <w:rStyle w:val="Fett"/>
          <w:rFonts w:ascii="Calibri" w:hAnsi="Calibri" w:cs="Calibri"/>
          <w:color w:val="222233"/>
          <w:sz w:val="21"/>
          <w:szCs w:val="21"/>
        </w:rPr>
        <w:t>3,50 €</w:t>
      </w:r>
      <w:r>
        <w:rPr>
          <w:rFonts w:ascii="Calibri" w:hAnsi="Calibri" w:cs="Calibri"/>
          <w:color w:val="222233"/>
          <w:sz w:val="21"/>
          <w:szCs w:val="21"/>
        </w:rPr>
        <w:t xml:space="preserve"> </w:t>
      </w:r>
      <w:r>
        <w:rPr>
          <w:rFonts w:ascii="Calibri" w:hAnsi="Calibri" w:cs="Calibri"/>
          <w:color w:val="222233"/>
          <w:sz w:val="21"/>
          <w:szCs w:val="21"/>
        </w:rPr>
        <w:t>in addition. Surcharges for additional documents (Annex 2.3) are per jurisdiction and per document kind and are added to this list as they are agreed; an amount not stated here is not charged.</w:t>
      </w:r>
    </w:p>
    <w:sectPr w:rsidR="001B646B" w:rsidSect="00130BF8">
      <w:pgSz w:w="11906" w:h="16838"/>
      <w:pgMar w:top="1134" w:right="1247" w:bottom="1134" w:left="124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trackRevisions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F8"/>
    <w:rsid w:val="00130BF8"/>
    <w:rsid w:val="001B646B"/>
    <w:rsid w:val="009D74B2"/>
    <w:rsid w:val="00AE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CF2AB7"/>
  <w15:chartTrackingRefBased/>
  <w15:docId w15:val="{6666D7B7-16E6-4B6A-8CDC-49DD15A7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4"/>
      <w:szCs w:val="24"/>
    </w:rPr>
  </w:style>
  <w:style w:type="paragraph" w:styleId="berschrift1">
    <w:name w:val="heading 1"/>
    <w:basedOn w:val="Standard"/>
    <w:link w:val="berschrift1Zchn"/>
    <w:uiPriority w:val="9"/>
    <w:qFormat/>
    <w:pPr>
      <w:spacing w:after="80"/>
      <w:outlineLvl w:val="0"/>
    </w:pPr>
    <w:rPr>
      <w:rFonts w:ascii="Calibri" w:hAnsi="Calibri" w:cs="Calibri"/>
      <w:b/>
      <w:bCs/>
      <w:color w:val="1A2340"/>
      <w:kern w:val="36"/>
      <w:sz w:val="38"/>
      <w:szCs w:val="38"/>
    </w:rPr>
  </w:style>
  <w:style w:type="paragraph" w:styleId="berschrift2">
    <w:name w:val="heading 2"/>
    <w:basedOn w:val="Standard"/>
    <w:link w:val="berschrift2Zchn"/>
    <w:uiPriority w:val="9"/>
    <w:qFormat/>
    <w:pPr>
      <w:pBdr>
        <w:bottom w:val="single" w:sz="8" w:space="2" w:color="6895FF"/>
      </w:pBdr>
      <w:spacing w:before="320" w:after="120"/>
      <w:outlineLvl w:val="1"/>
    </w:pPr>
    <w:rPr>
      <w:rFonts w:ascii="Calibri" w:hAnsi="Calibri" w:cs="Calibri"/>
      <w:b/>
      <w:bCs/>
      <w:color w:val="1A2340"/>
    </w:rPr>
  </w:style>
  <w:style w:type="paragraph" w:styleId="berschrift3">
    <w:name w:val="heading 3"/>
    <w:basedOn w:val="Standard"/>
    <w:link w:val="berschrift3Zchn"/>
    <w:uiPriority w:val="9"/>
    <w:qFormat/>
    <w:pPr>
      <w:spacing w:before="240" w:after="80"/>
      <w:outlineLvl w:val="2"/>
    </w:pPr>
    <w:rPr>
      <w:b/>
      <w:bCs/>
      <w:color w:val="1A2340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Standard"/>
    <w:pPr>
      <w:spacing w:after="120"/>
    </w:pPr>
  </w:style>
  <w:style w:type="paragraph" w:styleId="StandardWeb">
    <w:name w:val="Normal (Web)"/>
    <w:basedOn w:val="Standard"/>
    <w:uiPriority w:val="99"/>
    <w:semiHidden/>
    <w:unhideWhenUsed/>
    <w:pPr>
      <w:spacing w:after="120"/>
    </w:pPr>
  </w:style>
  <w:style w:type="paragraph" w:customStyle="1" w:styleId="cl">
    <w:name w:val="cl"/>
    <w:basedOn w:val="Standard"/>
    <w:pPr>
      <w:spacing w:after="120"/>
    </w:pPr>
  </w:style>
  <w:style w:type="paragraph" w:customStyle="1" w:styleId="kicker">
    <w:name w:val="kicker"/>
    <w:basedOn w:val="Standard"/>
    <w:pPr>
      <w:spacing w:after="40"/>
    </w:pPr>
    <w:rPr>
      <w:color w:val="6895FF"/>
      <w:spacing w:val="20"/>
      <w:sz w:val="16"/>
      <w:szCs w:val="16"/>
    </w:rPr>
  </w:style>
  <w:style w:type="paragraph" w:customStyle="1" w:styleId="meta">
    <w:name w:val="meta"/>
    <w:basedOn w:val="Standard"/>
    <w:pPr>
      <w:spacing w:after="60"/>
    </w:pPr>
    <w:rPr>
      <w:color w:val="6B7280"/>
      <w:sz w:val="18"/>
      <w:szCs w:val="18"/>
    </w:rPr>
  </w:style>
  <w:style w:type="paragraph" w:customStyle="1" w:styleId="pagebreak">
    <w:name w:val="pagebreak"/>
    <w:basedOn w:val="Standard"/>
    <w:pPr>
      <w:pageBreakBefore/>
      <w:spacing w:after="80"/>
    </w:pPr>
  </w:style>
  <w:style w:type="character" w:styleId="Fett">
    <w:name w:val="Strong"/>
    <w:basedOn w:val="Absatz-Standardschriftart"/>
    <w:uiPriority w:val="22"/>
    <w:qFormat/>
    <w:rPr>
      <w:b/>
      <w:bCs/>
    </w:rPr>
  </w:style>
  <w:style w:type="paragraph" w:styleId="berarbeitung">
    <w:name w:val="Revision"/>
    <w:hidden/>
    <w:uiPriority w:val="99"/>
    <w:semiHidden/>
    <w:rsid w:val="00AE517F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1202</Characters>
  <Application>Microsoft Office Word</Application>
  <DocSecurity>0</DocSecurity>
  <Lines>49</Lines>
  <Paragraphs>42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2a - Price List</dc:title>
  <dc:subject/>
  <dc:creator>Eckhard Ortwein</dc:creator>
  <cp:keywords/>
  <dc:description/>
  <cp:lastModifiedBy>Eckhard Ortwein</cp:lastModifiedBy>
  <cp:revision>3</cp:revision>
  <dcterms:created xsi:type="dcterms:W3CDTF">2026-09-15T10:56:00Z</dcterms:created>
  <dcterms:modified xsi:type="dcterms:W3CDTF">2026-09-15T10:56:00Z</dcterms:modified>
</cp:coreProperties>
</file>