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F55E5" w14:textId="0A6F0FC8" w:rsidR="00FA3EEF" w:rsidRDefault="00FA3EEF" w:rsidP="00FA3EEF">
      <w:pPr>
        <w:pStyle w:val="berschrift1"/>
      </w:pPr>
      <w:bookmarkStart w:id="0" w:name="_Toc240373514"/>
      <w:r>
        <w:t>Contents</w:t>
      </w:r>
      <w:bookmarkEnd w:id="0"/>
    </w:p>
    <w:p w14:paraId="73947449" w14:textId="0633D9D3" w:rsidR="00FA3EEF" w:rsidRDefault="00FA3EEF" w:rsidP="00FA3EEF">
      <w:pPr>
        <w:pStyle w:val="Verzeichnis1"/>
        <w:tabs>
          <w:tab w:val="right" w:leader="dot" w:pos="9402"/>
        </w:tabs>
        <w:rPr>
          <w:rFonts w:asciiTheme="minorHAnsi" w:hAnsiTheme="minorHAnsi" w:cstheme="minorBidi"/>
          <w:noProof/>
          <w:kern w:val="2"/>
          <w14:ligatures w14:val="standardContextual"/>
        </w:rPr>
      </w:pPr>
      <w:r>
        <w:rPr>
          <w:b/>
          <w:bCs/>
          <w:color w:val="6895FF"/>
          <w:spacing w:val="20"/>
          <w:sz w:val="16"/>
          <w:szCs w:val="16"/>
        </w:rPr>
        <w:fldChar w:fldCharType="begin"/>
      </w:r>
      <w:r>
        <w:rPr>
          <w:b/>
          <w:bCs/>
          <w:color w:val="6895FF"/>
          <w:spacing w:val="20"/>
          <w:sz w:val="16"/>
          <w:szCs w:val="16"/>
        </w:rPr>
        <w:instrText xml:space="preserve"> TOC \o "1-2" </w:instrText>
      </w:r>
      <w:r>
        <w:rPr>
          <w:b/>
          <w:bCs/>
          <w:color w:val="6895FF"/>
          <w:spacing w:val="20"/>
          <w:sz w:val="16"/>
          <w:szCs w:val="16"/>
        </w:rPr>
        <w:fldChar w:fldCharType="separate"/>
      </w:r>
      <w:r>
        <w:rPr>
          <w:noProof/>
        </w:rPr>
        <w:t>Contents</w:t>
      </w:r>
      <w:r>
        <w:rPr>
          <w:noProof/>
        </w:rPr>
        <w:tab/>
      </w:r>
      <w:r>
        <w:rPr>
          <w:noProof/>
        </w:rPr>
        <w:fldChar w:fldCharType="begin"/>
      </w:r>
      <w:r>
        <w:rPr>
          <w:noProof/>
        </w:rPr>
        <w:instrText xml:space="preserve"> PAGEREF _Toc240373514 \h </w:instrText>
      </w:r>
      <w:r>
        <w:rPr>
          <w:noProof/>
        </w:rPr>
      </w:r>
      <w:r>
        <w:rPr>
          <w:noProof/>
        </w:rPr>
        <w:fldChar w:fldCharType="separate"/>
      </w:r>
      <w:r>
        <w:rPr>
          <w:noProof/>
        </w:rPr>
        <w:t>1</w:t>
      </w:r>
      <w:r>
        <w:rPr>
          <w:noProof/>
        </w:rPr>
        <w:fldChar w:fldCharType="end"/>
      </w:r>
    </w:p>
    <w:p w14:paraId="213E0823" w14:textId="1DBA5236"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Reselling of company registry documents and registry data</w:t>
      </w:r>
      <w:r>
        <w:rPr>
          <w:noProof/>
        </w:rPr>
        <w:tab/>
      </w:r>
      <w:r>
        <w:rPr>
          <w:noProof/>
        </w:rPr>
        <w:fldChar w:fldCharType="begin"/>
      </w:r>
      <w:r>
        <w:rPr>
          <w:noProof/>
        </w:rPr>
        <w:instrText xml:space="preserve"> PAGEREF _Toc240373515 \h </w:instrText>
      </w:r>
      <w:r>
        <w:rPr>
          <w:noProof/>
        </w:rPr>
      </w:r>
      <w:r>
        <w:rPr>
          <w:noProof/>
        </w:rPr>
        <w:fldChar w:fldCharType="separate"/>
      </w:r>
      <w:r>
        <w:rPr>
          <w:noProof/>
        </w:rPr>
        <w:t>2</w:t>
      </w:r>
      <w:r>
        <w:rPr>
          <w:noProof/>
        </w:rPr>
        <w:fldChar w:fldCharType="end"/>
      </w:r>
    </w:p>
    <w:p w14:paraId="63CAE4AE" w14:textId="1D9FB3DB"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 Definitions</w:t>
      </w:r>
      <w:r>
        <w:rPr>
          <w:noProof/>
        </w:rPr>
        <w:tab/>
      </w:r>
      <w:r>
        <w:rPr>
          <w:noProof/>
        </w:rPr>
        <w:fldChar w:fldCharType="begin"/>
      </w:r>
      <w:r>
        <w:rPr>
          <w:noProof/>
        </w:rPr>
        <w:instrText xml:space="preserve"> PAGEREF _Toc240373516 \h </w:instrText>
      </w:r>
      <w:r>
        <w:rPr>
          <w:noProof/>
        </w:rPr>
      </w:r>
      <w:r>
        <w:rPr>
          <w:noProof/>
        </w:rPr>
        <w:fldChar w:fldCharType="separate"/>
      </w:r>
      <w:r>
        <w:rPr>
          <w:noProof/>
        </w:rPr>
        <w:t>2</w:t>
      </w:r>
      <w:r>
        <w:rPr>
          <w:noProof/>
        </w:rPr>
        <w:fldChar w:fldCharType="end"/>
      </w:r>
    </w:p>
    <w:p w14:paraId="79B3C95D" w14:textId="7563E9F8"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 Subject matter</w:t>
      </w:r>
      <w:r>
        <w:rPr>
          <w:noProof/>
        </w:rPr>
        <w:tab/>
      </w:r>
      <w:r>
        <w:rPr>
          <w:noProof/>
        </w:rPr>
        <w:fldChar w:fldCharType="begin"/>
      </w:r>
      <w:r>
        <w:rPr>
          <w:noProof/>
        </w:rPr>
        <w:instrText xml:space="preserve"> PAGEREF _Toc240373517 \h </w:instrText>
      </w:r>
      <w:r>
        <w:rPr>
          <w:noProof/>
        </w:rPr>
      </w:r>
      <w:r>
        <w:rPr>
          <w:noProof/>
        </w:rPr>
        <w:fldChar w:fldCharType="separate"/>
      </w:r>
      <w:r>
        <w:rPr>
          <w:noProof/>
        </w:rPr>
        <w:t>2</w:t>
      </w:r>
      <w:r>
        <w:rPr>
          <w:noProof/>
        </w:rPr>
        <w:fldChar w:fldCharType="end"/>
      </w:r>
    </w:p>
    <w:p w14:paraId="0140F30B" w14:textId="33972D46"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 Grant of rights</w:t>
      </w:r>
      <w:r>
        <w:rPr>
          <w:noProof/>
        </w:rPr>
        <w:tab/>
      </w:r>
      <w:r>
        <w:rPr>
          <w:noProof/>
        </w:rPr>
        <w:fldChar w:fldCharType="begin"/>
      </w:r>
      <w:r>
        <w:rPr>
          <w:noProof/>
        </w:rPr>
        <w:instrText xml:space="preserve"> PAGEREF _Toc240373518 \h </w:instrText>
      </w:r>
      <w:r>
        <w:rPr>
          <w:noProof/>
        </w:rPr>
      </w:r>
      <w:r>
        <w:rPr>
          <w:noProof/>
        </w:rPr>
        <w:fldChar w:fldCharType="separate"/>
      </w:r>
      <w:r>
        <w:rPr>
          <w:noProof/>
        </w:rPr>
        <w:t>3</w:t>
      </w:r>
      <w:r>
        <w:rPr>
          <w:noProof/>
        </w:rPr>
        <w:fldChar w:fldCharType="end"/>
      </w:r>
    </w:p>
    <w:p w14:paraId="33B8A305" w14:textId="161A2A46"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4 Septeo Group scope</w:t>
      </w:r>
      <w:r>
        <w:rPr>
          <w:noProof/>
        </w:rPr>
        <w:tab/>
      </w:r>
      <w:r>
        <w:rPr>
          <w:noProof/>
        </w:rPr>
        <w:fldChar w:fldCharType="begin"/>
      </w:r>
      <w:r>
        <w:rPr>
          <w:noProof/>
        </w:rPr>
        <w:instrText xml:space="preserve"> PAGEREF _Toc240373519 \h </w:instrText>
      </w:r>
      <w:r>
        <w:rPr>
          <w:noProof/>
        </w:rPr>
      </w:r>
      <w:r>
        <w:rPr>
          <w:noProof/>
        </w:rPr>
        <w:fldChar w:fldCharType="separate"/>
      </w:r>
      <w:r>
        <w:rPr>
          <w:noProof/>
        </w:rPr>
        <w:t>3</w:t>
      </w:r>
      <w:r>
        <w:rPr>
          <w:noProof/>
        </w:rPr>
        <w:fldChar w:fldCharType="end"/>
      </w:r>
    </w:p>
    <w:p w14:paraId="4D52CF3C" w14:textId="66099749"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5 Restrictions</w:t>
      </w:r>
      <w:r>
        <w:rPr>
          <w:noProof/>
        </w:rPr>
        <w:tab/>
      </w:r>
      <w:r>
        <w:rPr>
          <w:noProof/>
        </w:rPr>
        <w:fldChar w:fldCharType="begin"/>
      </w:r>
      <w:r>
        <w:rPr>
          <w:noProof/>
        </w:rPr>
        <w:instrText xml:space="preserve"> PAGEREF _Toc240373520 \h </w:instrText>
      </w:r>
      <w:r>
        <w:rPr>
          <w:noProof/>
        </w:rPr>
      </w:r>
      <w:r>
        <w:rPr>
          <w:noProof/>
        </w:rPr>
        <w:fldChar w:fldCharType="separate"/>
      </w:r>
      <w:r>
        <w:rPr>
          <w:noProof/>
        </w:rPr>
        <w:t>4</w:t>
      </w:r>
      <w:r>
        <w:rPr>
          <w:noProof/>
        </w:rPr>
        <w:fldChar w:fldCharType="end"/>
      </w:r>
    </w:p>
    <w:p w14:paraId="7CE4FCA9" w14:textId="5A49B7B7"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6 Procurement routes and non-circumvention</w:t>
      </w:r>
      <w:r>
        <w:rPr>
          <w:noProof/>
        </w:rPr>
        <w:tab/>
      </w:r>
      <w:r>
        <w:rPr>
          <w:noProof/>
        </w:rPr>
        <w:fldChar w:fldCharType="begin"/>
      </w:r>
      <w:r>
        <w:rPr>
          <w:noProof/>
        </w:rPr>
        <w:instrText xml:space="preserve"> PAGEREF _Toc240373521 \h </w:instrText>
      </w:r>
      <w:r>
        <w:rPr>
          <w:noProof/>
        </w:rPr>
      </w:r>
      <w:r>
        <w:rPr>
          <w:noProof/>
        </w:rPr>
        <w:fldChar w:fldCharType="separate"/>
      </w:r>
      <w:r>
        <w:rPr>
          <w:noProof/>
        </w:rPr>
        <w:t>4</w:t>
      </w:r>
      <w:r>
        <w:rPr>
          <w:noProof/>
        </w:rPr>
        <w:fldChar w:fldCharType="end"/>
      </w:r>
    </w:p>
    <w:p w14:paraId="77BDC90A" w14:textId="4EE03884"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7 Ordering and performance</w:t>
      </w:r>
      <w:r>
        <w:rPr>
          <w:noProof/>
        </w:rPr>
        <w:tab/>
      </w:r>
      <w:r>
        <w:rPr>
          <w:noProof/>
        </w:rPr>
        <w:fldChar w:fldCharType="begin"/>
      </w:r>
      <w:r>
        <w:rPr>
          <w:noProof/>
        </w:rPr>
        <w:instrText xml:space="preserve"> PAGEREF _Toc240373522 \h </w:instrText>
      </w:r>
      <w:r>
        <w:rPr>
          <w:noProof/>
        </w:rPr>
      </w:r>
      <w:r>
        <w:rPr>
          <w:noProof/>
        </w:rPr>
        <w:fldChar w:fldCharType="separate"/>
      </w:r>
      <w:r>
        <w:rPr>
          <w:noProof/>
        </w:rPr>
        <w:t>5</w:t>
      </w:r>
      <w:r>
        <w:rPr>
          <w:noProof/>
        </w:rPr>
        <w:fldChar w:fldCharType="end"/>
      </w:r>
    </w:p>
    <w:p w14:paraId="46D68955" w14:textId="0FED744A"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8 Revenue share, invoicing, price changes</w:t>
      </w:r>
      <w:r>
        <w:rPr>
          <w:noProof/>
        </w:rPr>
        <w:tab/>
      </w:r>
      <w:r>
        <w:rPr>
          <w:noProof/>
        </w:rPr>
        <w:fldChar w:fldCharType="begin"/>
      </w:r>
      <w:r>
        <w:rPr>
          <w:noProof/>
        </w:rPr>
        <w:instrText xml:space="preserve"> PAGEREF _Toc240373523 \h </w:instrText>
      </w:r>
      <w:r>
        <w:rPr>
          <w:noProof/>
        </w:rPr>
      </w:r>
      <w:r>
        <w:rPr>
          <w:noProof/>
        </w:rPr>
        <w:fldChar w:fldCharType="separate"/>
      </w:r>
      <w:r>
        <w:rPr>
          <w:noProof/>
        </w:rPr>
        <w:t>5</w:t>
      </w:r>
      <w:r>
        <w:rPr>
          <w:noProof/>
        </w:rPr>
        <w:fldChar w:fldCharType="end"/>
      </w:r>
    </w:p>
    <w:p w14:paraId="2F5F4FBB" w14:textId="5692B3CF"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9 STP's obligations</w:t>
      </w:r>
      <w:r>
        <w:rPr>
          <w:noProof/>
        </w:rPr>
        <w:tab/>
      </w:r>
      <w:r>
        <w:rPr>
          <w:noProof/>
        </w:rPr>
        <w:fldChar w:fldCharType="begin"/>
      </w:r>
      <w:r>
        <w:rPr>
          <w:noProof/>
        </w:rPr>
        <w:instrText xml:space="preserve"> PAGEREF _Toc240373524 \h </w:instrText>
      </w:r>
      <w:r>
        <w:rPr>
          <w:noProof/>
        </w:rPr>
      </w:r>
      <w:r>
        <w:rPr>
          <w:noProof/>
        </w:rPr>
        <w:fldChar w:fldCharType="separate"/>
      </w:r>
      <w:r>
        <w:rPr>
          <w:noProof/>
        </w:rPr>
        <w:t>6</w:t>
      </w:r>
      <w:r>
        <w:rPr>
          <w:noProof/>
        </w:rPr>
        <w:fldChar w:fldCharType="end"/>
      </w:r>
    </w:p>
    <w:p w14:paraId="76828834" w14:textId="52D52F23"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10 Data protection</w:t>
      </w:r>
      <w:r>
        <w:rPr>
          <w:noProof/>
        </w:rPr>
        <w:tab/>
      </w:r>
      <w:r>
        <w:rPr>
          <w:noProof/>
        </w:rPr>
        <w:fldChar w:fldCharType="begin"/>
      </w:r>
      <w:r>
        <w:rPr>
          <w:noProof/>
        </w:rPr>
        <w:instrText xml:space="preserve"> PAGEREF _Toc240373525 \h </w:instrText>
      </w:r>
      <w:r>
        <w:rPr>
          <w:noProof/>
        </w:rPr>
      </w:r>
      <w:r>
        <w:rPr>
          <w:noProof/>
        </w:rPr>
        <w:fldChar w:fldCharType="separate"/>
      </w:r>
      <w:r>
        <w:rPr>
          <w:noProof/>
        </w:rPr>
        <w:t>7</w:t>
      </w:r>
      <w:r>
        <w:rPr>
          <w:noProof/>
        </w:rPr>
        <w:fldChar w:fldCharType="end"/>
      </w:r>
    </w:p>
    <w:p w14:paraId="08B039D7" w14:textId="2192B325"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11 Confidentiality</w:t>
      </w:r>
      <w:r>
        <w:rPr>
          <w:noProof/>
        </w:rPr>
        <w:tab/>
      </w:r>
      <w:r>
        <w:rPr>
          <w:noProof/>
        </w:rPr>
        <w:fldChar w:fldCharType="begin"/>
      </w:r>
      <w:r>
        <w:rPr>
          <w:noProof/>
        </w:rPr>
        <w:instrText xml:space="preserve"> PAGEREF _Toc240373526 \h </w:instrText>
      </w:r>
      <w:r>
        <w:rPr>
          <w:noProof/>
        </w:rPr>
      </w:r>
      <w:r>
        <w:rPr>
          <w:noProof/>
        </w:rPr>
        <w:fldChar w:fldCharType="separate"/>
      </w:r>
      <w:r>
        <w:rPr>
          <w:noProof/>
        </w:rPr>
        <w:t>7</w:t>
      </w:r>
      <w:r>
        <w:rPr>
          <w:noProof/>
        </w:rPr>
        <w:fldChar w:fldCharType="end"/>
      </w:r>
    </w:p>
    <w:p w14:paraId="6BA7A5D3" w14:textId="5E42EF91"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12 Warranty</w:t>
      </w:r>
      <w:r>
        <w:rPr>
          <w:noProof/>
        </w:rPr>
        <w:tab/>
      </w:r>
      <w:r>
        <w:rPr>
          <w:noProof/>
        </w:rPr>
        <w:fldChar w:fldCharType="begin"/>
      </w:r>
      <w:r>
        <w:rPr>
          <w:noProof/>
        </w:rPr>
        <w:instrText xml:space="preserve"> PAGEREF _Toc240373527 \h </w:instrText>
      </w:r>
      <w:r>
        <w:rPr>
          <w:noProof/>
        </w:rPr>
      </w:r>
      <w:r>
        <w:rPr>
          <w:noProof/>
        </w:rPr>
        <w:fldChar w:fldCharType="separate"/>
      </w:r>
      <w:r>
        <w:rPr>
          <w:noProof/>
        </w:rPr>
        <w:t>7</w:t>
      </w:r>
      <w:r>
        <w:rPr>
          <w:noProof/>
        </w:rPr>
        <w:fldChar w:fldCharType="end"/>
      </w:r>
    </w:p>
    <w:p w14:paraId="19917CC0" w14:textId="584F919D"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13 Liability</w:t>
      </w:r>
      <w:r>
        <w:rPr>
          <w:noProof/>
        </w:rPr>
        <w:tab/>
      </w:r>
      <w:r>
        <w:rPr>
          <w:noProof/>
        </w:rPr>
        <w:fldChar w:fldCharType="begin"/>
      </w:r>
      <w:r>
        <w:rPr>
          <w:noProof/>
        </w:rPr>
        <w:instrText xml:space="preserve"> PAGEREF _Toc240373528 \h </w:instrText>
      </w:r>
      <w:r>
        <w:rPr>
          <w:noProof/>
        </w:rPr>
      </w:r>
      <w:r>
        <w:rPr>
          <w:noProof/>
        </w:rPr>
        <w:fldChar w:fldCharType="separate"/>
      </w:r>
      <w:r>
        <w:rPr>
          <w:noProof/>
        </w:rPr>
        <w:t>7</w:t>
      </w:r>
      <w:r>
        <w:rPr>
          <w:noProof/>
        </w:rPr>
        <w:fldChar w:fldCharType="end"/>
      </w:r>
    </w:p>
    <w:p w14:paraId="7D6B9735" w14:textId="224D6EFD"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14 Term and termination</w:t>
      </w:r>
      <w:r>
        <w:rPr>
          <w:noProof/>
        </w:rPr>
        <w:tab/>
      </w:r>
      <w:r>
        <w:rPr>
          <w:noProof/>
        </w:rPr>
        <w:fldChar w:fldCharType="begin"/>
      </w:r>
      <w:r>
        <w:rPr>
          <w:noProof/>
        </w:rPr>
        <w:instrText xml:space="preserve"> PAGEREF _Toc240373529 \h </w:instrText>
      </w:r>
      <w:r>
        <w:rPr>
          <w:noProof/>
        </w:rPr>
      </w:r>
      <w:r>
        <w:rPr>
          <w:noProof/>
        </w:rPr>
        <w:fldChar w:fldCharType="separate"/>
      </w:r>
      <w:r>
        <w:rPr>
          <w:noProof/>
        </w:rPr>
        <w:t>8</w:t>
      </w:r>
      <w:r>
        <w:rPr>
          <w:noProof/>
        </w:rPr>
        <w:fldChar w:fldCharType="end"/>
      </w:r>
    </w:p>
    <w:p w14:paraId="2394B4B5" w14:textId="2B9D0554"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15 Final provisions</w:t>
      </w:r>
      <w:r>
        <w:rPr>
          <w:noProof/>
        </w:rPr>
        <w:tab/>
      </w:r>
      <w:r>
        <w:rPr>
          <w:noProof/>
        </w:rPr>
        <w:fldChar w:fldCharType="begin"/>
      </w:r>
      <w:r>
        <w:rPr>
          <w:noProof/>
        </w:rPr>
        <w:instrText xml:space="preserve"> PAGEREF _Toc240373530 \h </w:instrText>
      </w:r>
      <w:r>
        <w:rPr>
          <w:noProof/>
        </w:rPr>
      </w:r>
      <w:r>
        <w:rPr>
          <w:noProof/>
        </w:rPr>
        <w:fldChar w:fldCharType="separate"/>
      </w:r>
      <w:r>
        <w:rPr>
          <w:noProof/>
        </w:rPr>
        <w:t>8</w:t>
      </w:r>
      <w:r>
        <w:rPr>
          <w:noProof/>
        </w:rPr>
        <w:fldChar w:fldCharType="end"/>
      </w:r>
    </w:p>
    <w:p w14:paraId="1AE53F53" w14:textId="1BA80323"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Signatures</w:t>
      </w:r>
      <w:r>
        <w:rPr>
          <w:noProof/>
        </w:rPr>
        <w:tab/>
      </w:r>
      <w:r>
        <w:rPr>
          <w:noProof/>
        </w:rPr>
        <w:fldChar w:fldCharType="begin"/>
      </w:r>
      <w:r>
        <w:rPr>
          <w:noProof/>
        </w:rPr>
        <w:instrText xml:space="preserve"> PAGEREF _Toc240373531 \h </w:instrText>
      </w:r>
      <w:r>
        <w:rPr>
          <w:noProof/>
        </w:rPr>
      </w:r>
      <w:r>
        <w:rPr>
          <w:noProof/>
        </w:rPr>
        <w:fldChar w:fldCharType="separate"/>
      </w:r>
      <w:r>
        <w:rPr>
          <w:noProof/>
        </w:rPr>
        <w:t>9</w:t>
      </w:r>
      <w:r>
        <w:rPr>
          <w:noProof/>
        </w:rPr>
        <w:fldChar w:fldCharType="end"/>
      </w:r>
    </w:p>
    <w:p w14:paraId="67BB1623" w14:textId="18C8ECEC"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Service description and reseller use</w:t>
      </w:r>
      <w:r>
        <w:rPr>
          <w:noProof/>
        </w:rPr>
        <w:tab/>
      </w:r>
      <w:r>
        <w:rPr>
          <w:noProof/>
        </w:rPr>
        <w:fldChar w:fldCharType="begin"/>
      </w:r>
      <w:r>
        <w:rPr>
          <w:noProof/>
        </w:rPr>
        <w:instrText xml:space="preserve"> PAGEREF _Toc240373532 \h </w:instrText>
      </w:r>
      <w:r>
        <w:rPr>
          <w:noProof/>
        </w:rPr>
      </w:r>
      <w:r>
        <w:rPr>
          <w:noProof/>
        </w:rPr>
        <w:fldChar w:fldCharType="separate"/>
      </w:r>
      <w:r>
        <w:rPr>
          <w:noProof/>
        </w:rPr>
        <w:t>10</w:t>
      </w:r>
      <w:r>
        <w:rPr>
          <w:noProof/>
        </w:rPr>
        <w:fldChar w:fldCharType="end"/>
      </w:r>
    </w:p>
    <w:p w14:paraId="0F4D2565" w14:textId="021373FF"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1.1 What the service provides</w:t>
      </w:r>
      <w:r>
        <w:rPr>
          <w:noProof/>
        </w:rPr>
        <w:tab/>
      </w:r>
      <w:r>
        <w:rPr>
          <w:noProof/>
        </w:rPr>
        <w:fldChar w:fldCharType="begin"/>
      </w:r>
      <w:r>
        <w:rPr>
          <w:noProof/>
        </w:rPr>
        <w:instrText xml:space="preserve"> PAGEREF _Toc240373533 \h </w:instrText>
      </w:r>
      <w:r>
        <w:rPr>
          <w:noProof/>
        </w:rPr>
      </w:r>
      <w:r>
        <w:rPr>
          <w:noProof/>
        </w:rPr>
        <w:fldChar w:fldCharType="separate"/>
      </w:r>
      <w:r>
        <w:rPr>
          <w:noProof/>
        </w:rPr>
        <w:t>10</w:t>
      </w:r>
      <w:r>
        <w:rPr>
          <w:noProof/>
        </w:rPr>
        <w:fldChar w:fldCharType="end"/>
      </w:r>
    </w:p>
    <w:p w14:paraId="1DA03DA7" w14:textId="52C6963F"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1.2 Evidence level</w:t>
      </w:r>
      <w:r>
        <w:rPr>
          <w:noProof/>
        </w:rPr>
        <w:tab/>
      </w:r>
      <w:r>
        <w:rPr>
          <w:noProof/>
        </w:rPr>
        <w:fldChar w:fldCharType="begin"/>
      </w:r>
      <w:r>
        <w:rPr>
          <w:noProof/>
        </w:rPr>
        <w:instrText xml:space="preserve"> PAGEREF _Toc240373534 \h </w:instrText>
      </w:r>
      <w:r>
        <w:rPr>
          <w:noProof/>
        </w:rPr>
      </w:r>
      <w:r>
        <w:rPr>
          <w:noProof/>
        </w:rPr>
        <w:fldChar w:fldCharType="separate"/>
      </w:r>
      <w:r>
        <w:rPr>
          <w:noProof/>
        </w:rPr>
        <w:t>10</w:t>
      </w:r>
      <w:r>
        <w:rPr>
          <w:noProof/>
        </w:rPr>
        <w:fldChar w:fldCharType="end"/>
      </w:r>
    </w:p>
    <w:p w14:paraId="2769FEB8" w14:textId="4806A0CD"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1.3 Availability</w:t>
      </w:r>
      <w:r>
        <w:rPr>
          <w:noProof/>
        </w:rPr>
        <w:tab/>
      </w:r>
      <w:r>
        <w:rPr>
          <w:noProof/>
        </w:rPr>
        <w:fldChar w:fldCharType="begin"/>
      </w:r>
      <w:r>
        <w:rPr>
          <w:noProof/>
        </w:rPr>
        <w:instrText xml:space="preserve"> PAGEREF _Toc240373535 \h </w:instrText>
      </w:r>
      <w:r>
        <w:rPr>
          <w:noProof/>
        </w:rPr>
      </w:r>
      <w:r>
        <w:rPr>
          <w:noProof/>
        </w:rPr>
        <w:fldChar w:fldCharType="separate"/>
      </w:r>
      <w:r>
        <w:rPr>
          <w:noProof/>
        </w:rPr>
        <w:t>10</w:t>
      </w:r>
      <w:r>
        <w:rPr>
          <w:noProof/>
        </w:rPr>
        <w:fldChar w:fldCharType="end"/>
      </w:r>
    </w:p>
    <w:p w14:paraId="285DA486" w14:textId="411DAD8E"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1.4 How STP uses the service with its clients</w:t>
      </w:r>
      <w:r>
        <w:rPr>
          <w:noProof/>
        </w:rPr>
        <w:tab/>
      </w:r>
      <w:r>
        <w:rPr>
          <w:noProof/>
        </w:rPr>
        <w:fldChar w:fldCharType="begin"/>
      </w:r>
      <w:r>
        <w:rPr>
          <w:noProof/>
        </w:rPr>
        <w:instrText xml:space="preserve"> PAGEREF _Toc240373536 \h </w:instrText>
      </w:r>
      <w:r>
        <w:rPr>
          <w:noProof/>
        </w:rPr>
      </w:r>
      <w:r>
        <w:rPr>
          <w:noProof/>
        </w:rPr>
        <w:fldChar w:fldCharType="separate"/>
      </w:r>
      <w:r>
        <w:rPr>
          <w:noProof/>
        </w:rPr>
        <w:t>11</w:t>
      </w:r>
      <w:r>
        <w:rPr>
          <w:noProof/>
        </w:rPr>
        <w:fldChar w:fldCharType="end"/>
      </w:r>
    </w:p>
    <w:p w14:paraId="2B7D6DB1" w14:textId="250FC685"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Jurisdictions, prices and end-client rights</w:t>
      </w:r>
      <w:r>
        <w:rPr>
          <w:noProof/>
        </w:rPr>
        <w:tab/>
      </w:r>
      <w:r>
        <w:rPr>
          <w:noProof/>
        </w:rPr>
        <w:fldChar w:fldCharType="begin"/>
      </w:r>
      <w:r>
        <w:rPr>
          <w:noProof/>
        </w:rPr>
        <w:instrText xml:space="preserve"> PAGEREF _Toc240373537 \h </w:instrText>
      </w:r>
      <w:r>
        <w:rPr>
          <w:noProof/>
        </w:rPr>
      </w:r>
      <w:r>
        <w:rPr>
          <w:noProof/>
        </w:rPr>
        <w:fldChar w:fldCharType="separate"/>
      </w:r>
      <w:r>
        <w:rPr>
          <w:noProof/>
        </w:rPr>
        <w:t>12</w:t>
      </w:r>
      <w:r>
        <w:rPr>
          <w:noProof/>
        </w:rPr>
        <w:fldChar w:fldCharType="end"/>
      </w:r>
    </w:p>
    <w:p w14:paraId="05E5DDF2" w14:textId="48DAB521"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2.1 Price tiers</w:t>
      </w:r>
      <w:r>
        <w:rPr>
          <w:noProof/>
        </w:rPr>
        <w:tab/>
      </w:r>
      <w:r>
        <w:rPr>
          <w:noProof/>
        </w:rPr>
        <w:fldChar w:fldCharType="begin"/>
      </w:r>
      <w:r>
        <w:rPr>
          <w:noProof/>
        </w:rPr>
        <w:instrText xml:space="preserve"> PAGEREF _Toc240373538 \h </w:instrText>
      </w:r>
      <w:r>
        <w:rPr>
          <w:noProof/>
        </w:rPr>
      </w:r>
      <w:r>
        <w:rPr>
          <w:noProof/>
        </w:rPr>
        <w:fldChar w:fldCharType="separate"/>
      </w:r>
      <w:r>
        <w:rPr>
          <w:noProof/>
        </w:rPr>
        <w:t>12</w:t>
      </w:r>
      <w:r>
        <w:rPr>
          <w:noProof/>
        </w:rPr>
        <w:fldChar w:fldCharType="end"/>
      </w:r>
    </w:p>
    <w:p w14:paraId="5E803AB2" w14:textId="4CF8BD59"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2.2 Covered jurisdictions</w:t>
      </w:r>
      <w:r>
        <w:rPr>
          <w:noProof/>
        </w:rPr>
        <w:tab/>
      </w:r>
      <w:r>
        <w:rPr>
          <w:noProof/>
        </w:rPr>
        <w:fldChar w:fldCharType="begin"/>
      </w:r>
      <w:r>
        <w:rPr>
          <w:noProof/>
        </w:rPr>
        <w:instrText xml:space="preserve"> PAGEREF _Toc240373539 \h </w:instrText>
      </w:r>
      <w:r>
        <w:rPr>
          <w:noProof/>
        </w:rPr>
      </w:r>
      <w:r>
        <w:rPr>
          <w:noProof/>
        </w:rPr>
        <w:fldChar w:fldCharType="separate"/>
      </w:r>
      <w:r>
        <w:rPr>
          <w:noProof/>
        </w:rPr>
        <w:t>12</w:t>
      </w:r>
      <w:r>
        <w:rPr>
          <w:noProof/>
        </w:rPr>
        <w:fldChar w:fldCharType="end"/>
      </w:r>
    </w:p>
    <w:p w14:paraId="785897D3" w14:textId="6E104D32"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Surcharges, turnaround and end-client rights</w:t>
      </w:r>
      <w:r>
        <w:rPr>
          <w:noProof/>
        </w:rPr>
        <w:tab/>
      </w:r>
      <w:r>
        <w:rPr>
          <w:noProof/>
        </w:rPr>
        <w:fldChar w:fldCharType="begin"/>
      </w:r>
      <w:r>
        <w:rPr>
          <w:noProof/>
        </w:rPr>
        <w:instrText xml:space="preserve"> PAGEREF _Toc240373540 \h </w:instrText>
      </w:r>
      <w:r>
        <w:rPr>
          <w:noProof/>
        </w:rPr>
      </w:r>
      <w:r>
        <w:rPr>
          <w:noProof/>
        </w:rPr>
        <w:fldChar w:fldCharType="separate"/>
      </w:r>
      <w:r>
        <w:rPr>
          <w:noProof/>
        </w:rPr>
        <w:t>13</w:t>
      </w:r>
      <w:r>
        <w:rPr>
          <w:noProof/>
        </w:rPr>
        <w:fldChar w:fldCharType="end"/>
      </w:r>
    </w:p>
    <w:p w14:paraId="79C57FB2" w14:textId="5FF504C7"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2.3 Surcharge for additional documents</w:t>
      </w:r>
      <w:r>
        <w:rPr>
          <w:noProof/>
        </w:rPr>
        <w:tab/>
      </w:r>
      <w:r>
        <w:rPr>
          <w:noProof/>
        </w:rPr>
        <w:fldChar w:fldCharType="begin"/>
      </w:r>
      <w:r>
        <w:rPr>
          <w:noProof/>
        </w:rPr>
        <w:instrText xml:space="preserve"> PAGEREF _Toc240373541 \h </w:instrText>
      </w:r>
      <w:r>
        <w:rPr>
          <w:noProof/>
        </w:rPr>
      </w:r>
      <w:r>
        <w:rPr>
          <w:noProof/>
        </w:rPr>
        <w:fldChar w:fldCharType="separate"/>
      </w:r>
      <w:r>
        <w:rPr>
          <w:noProof/>
        </w:rPr>
        <w:t>13</w:t>
      </w:r>
      <w:r>
        <w:rPr>
          <w:noProof/>
        </w:rPr>
        <w:fldChar w:fldCharType="end"/>
      </w:r>
    </w:p>
    <w:p w14:paraId="28C0CE38" w14:textId="083D6C35"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2.4 Turnaround</w:t>
      </w:r>
      <w:r>
        <w:rPr>
          <w:noProof/>
        </w:rPr>
        <w:tab/>
      </w:r>
      <w:r>
        <w:rPr>
          <w:noProof/>
        </w:rPr>
        <w:fldChar w:fldCharType="begin"/>
      </w:r>
      <w:r>
        <w:rPr>
          <w:noProof/>
        </w:rPr>
        <w:instrText xml:space="preserve"> PAGEREF _Toc240373542 \h </w:instrText>
      </w:r>
      <w:r>
        <w:rPr>
          <w:noProof/>
        </w:rPr>
      </w:r>
      <w:r>
        <w:rPr>
          <w:noProof/>
        </w:rPr>
        <w:fldChar w:fldCharType="separate"/>
      </w:r>
      <w:r>
        <w:rPr>
          <w:noProof/>
        </w:rPr>
        <w:t>13</w:t>
      </w:r>
      <w:r>
        <w:rPr>
          <w:noProof/>
        </w:rPr>
        <w:fldChar w:fldCharType="end"/>
      </w:r>
    </w:p>
    <w:p w14:paraId="07B40C3E" w14:textId="6996D957"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2.5 End-client rights</w:t>
      </w:r>
      <w:r>
        <w:rPr>
          <w:noProof/>
        </w:rPr>
        <w:tab/>
      </w:r>
      <w:r>
        <w:rPr>
          <w:noProof/>
        </w:rPr>
        <w:fldChar w:fldCharType="begin"/>
      </w:r>
      <w:r>
        <w:rPr>
          <w:noProof/>
        </w:rPr>
        <w:instrText xml:space="preserve"> PAGEREF _Toc240373543 \h </w:instrText>
      </w:r>
      <w:r>
        <w:rPr>
          <w:noProof/>
        </w:rPr>
      </w:r>
      <w:r>
        <w:rPr>
          <w:noProof/>
        </w:rPr>
        <w:fldChar w:fldCharType="separate"/>
      </w:r>
      <w:r>
        <w:rPr>
          <w:noProof/>
        </w:rPr>
        <w:t>13</w:t>
      </w:r>
      <w:r>
        <w:rPr>
          <w:noProof/>
        </w:rPr>
        <w:fldChar w:fldCharType="end"/>
      </w:r>
    </w:p>
    <w:p w14:paraId="21466E75" w14:textId="7CC206B2"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Data protection between independent controllers</w:t>
      </w:r>
      <w:r>
        <w:rPr>
          <w:noProof/>
        </w:rPr>
        <w:tab/>
      </w:r>
      <w:r>
        <w:rPr>
          <w:noProof/>
        </w:rPr>
        <w:fldChar w:fldCharType="begin"/>
      </w:r>
      <w:r>
        <w:rPr>
          <w:noProof/>
        </w:rPr>
        <w:instrText xml:space="preserve"> PAGEREF _Toc240373544 \h </w:instrText>
      </w:r>
      <w:r>
        <w:rPr>
          <w:noProof/>
        </w:rPr>
      </w:r>
      <w:r>
        <w:rPr>
          <w:noProof/>
        </w:rPr>
        <w:fldChar w:fldCharType="separate"/>
      </w:r>
      <w:r>
        <w:rPr>
          <w:noProof/>
        </w:rPr>
        <w:t>14</w:t>
      </w:r>
      <w:r>
        <w:rPr>
          <w:noProof/>
        </w:rPr>
        <w:fldChar w:fldCharType="end"/>
      </w:r>
    </w:p>
    <w:p w14:paraId="2608405E" w14:textId="09C47E50"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3.1 Roles</w:t>
      </w:r>
      <w:r>
        <w:rPr>
          <w:noProof/>
        </w:rPr>
        <w:tab/>
      </w:r>
      <w:r>
        <w:rPr>
          <w:noProof/>
        </w:rPr>
        <w:fldChar w:fldCharType="begin"/>
      </w:r>
      <w:r>
        <w:rPr>
          <w:noProof/>
        </w:rPr>
        <w:instrText xml:space="preserve"> PAGEREF _Toc240373545 \h </w:instrText>
      </w:r>
      <w:r>
        <w:rPr>
          <w:noProof/>
        </w:rPr>
      </w:r>
      <w:r>
        <w:rPr>
          <w:noProof/>
        </w:rPr>
        <w:fldChar w:fldCharType="separate"/>
      </w:r>
      <w:r>
        <w:rPr>
          <w:noProof/>
        </w:rPr>
        <w:t>14</w:t>
      </w:r>
      <w:r>
        <w:rPr>
          <w:noProof/>
        </w:rPr>
        <w:fldChar w:fldCharType="end"/>
      </w:r>
    </w:p>
    <w:p w14:paraId="259A2307" w14:textId="5A52CBA4"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3.2 What is processed</w:t>
      </w:r>
      <w:r>
        <w:rPr>
          <w:noProof/>
        </w:rPr>
        <w:tab/>
      </w:r>
      <w:r>
        <w:rPr>
          <w:noProof/>
        </w:rPr>
        <w:fldChar w:fldCharType="begin"/>
      </w:r>
      <w:r>
        <w:rPr>
          <w:noProof/>
        </w:rPr>
        <w:instrText xml:space="preserve"> PAGEREF _Toc240373546 \h </w:instrText>
      </w:r>
      <w:r>
        <w:rPr>
          <w:noProof/>
        </w:rPr>
      </w:r>
      <w:r>
        <w:rPr>
          <w:noProof/>
        </w:rPr>
        <w:fldChar w:fldCharType="separate"/>
      </w:r>
      <w:r>
        <w:rPr>
          <w:noProof/>
        </w:rPr>
        <w:t>14</w:t>
      </w:r>
      <w:r>
        <w:rPr>
          <w:noProof/>
        </w:rPr>
        <w:fldChar w:fldCharType="end"/>
      </w:r>
    </w:p>
    <w:p w14:paraId="253E84F5" w14:textId="0889D69A"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3.3 Purposes and legal basis</w:t>
      </w:r>
      <w:r>
        <w:rPr>
          <w:noProof/>
        </w:rPr>
        <w:tab/>
      </w:r>
      <w:r>
        <w:rPr>
          <w:noProof/>
        </w:rPr>
        <w:fldChar w:fldCharType="begin"/>
      </w:r>
      <w:r>
        <w:rPr>
          <w:noProof/>
        </w:rPr>
        <w:instrText xml:space="preserve"> PAGEREF _Toc240373547 \h </w:instrText>
      </w:r>
      <w:r>
        <w:rPr>
          <w:noProof/>
        </w:rPr>
      </w:r>
      <w:r>
        <w:rPr>
          <w:noProof/>
        </w:rPr>
        <w:fldChar w:fldCharType="separate"/>
      </w:r>
      <w:r>
        <w:rPr>
          <w:noProof/>
        </w:rPr>
        <w:t>14</w:t>
      </w:r>
      <w:r>
        <w:rPr>
          <w:noProof/>
        </w:rPr>
        <w:fldChar w:fldCharType="end"/>
      </w:r>
    </w:p>
    <w:p w14:paraId="6A7F746E" w14:textId="6A7B13C5"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3.4 Technical and organisational measures</w:t>
      </w:r>
      <w:r>
        <w:rPr>
          <w:noProof/>
        </w:rPr>
        <w:tab/>
      </w:r>
      <w:r>
        <w:rPr>
          <w:noProof/>
        </w:rPr>
        <w:fldChar w:fldCharType="begin"/>
      </w:r>
      <w:r>
        <w:rPr>
          <w:noProof/>
        </w:rPr>
        <w:instrText xml:space="preserve"> PAGEREF _Toc240373548 \h </w:instrText>
      </w:r>
      <w:r>
        <w:rPr>
          <w:noProof/>
        </w:rPr>
      </w:r>
      <w:r>
        <w:rPr>
          <w:noProof/>
        </w:rPr>
        <w:fldChar w:fldCharType="separate"/>
      </w:r>
      <w:r>
        <w:rPr>
          <w:noProof/>
        </w:rPr>
        <w:t>14</w:t>
      </w:r>
      <w:r>
        <w:rPr>
          <w:noProof/>
        </w:rPr>
        <w:fldChar w:fldCharType="end"/>
      </w:r>
    </w:p>
    <w:p w14:paraId="36A2A077" w14:textId="6DC735F4"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3.5 Transfers to third countries</w:t>
      </w:r>
      <w:r>
        <w:rPr>
          <w:noProof/>
        </w:rPr>
        <w:tab/>
      </w:r>
      <w:r>
        <w:rPr>
          <w:noProof/>
        </w:rPr>
        <w:fldChar w:fldCharType="begin"/>
      </w:r>
      <w:r>
        <w:rPr>
          <w:noProof/>
        </w:rPr>
        <w:instrText xml:space="preserve"> PAGEREF _Toc240373549 \h </w:instrText>
      </w:r>
      <w:r>
        <w:rPr>
          <w:noProof/>
        </w:rPr>
      </w:r>
      <w:r>
        <w:rPr>
          <w:noProof/>
        </w:rPr>
        <w:fldChar w:fldCharType="separate"/>
      </w:r>
      <w:r>
        <w:rPr>
          <w:noProof/>
        </w:rPr>
        <w:t>15</w:t>
      </w:r>
      <w:r>
        <w:rPr>
          <w:noProof/>
        </w:rPr>
        <w:fldChar w:fldCharType="end"/>
      </w:r>
    </w:p>
    <w:p w14:paraId="17F2BC6A" w14:textId="21BFAF31"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3.6 Cooperation</w:t>
      </w:r>
      <w:r>
        <w:rPr>
          <w:noProof/>
        </w:rPr>
        <w:tab/>
      </w:r>
      <w:r>
        <w:rPr>
          <w:noProof/>
        </w:rPr>
        <w:fldChar w:fldCharType="begin"/>
      </w:r>
      <w:r>
        <w:rPr>
          <w:noProof/>
        </w:rPr>
        <w:instrText xml:space="preserve"> PAGEREF _Toc240373550 \h </w:instrText>
      </w:r>
      <w:r>
        <w:rPr>
          <w:noProof/>
        </w:rPr>
      </w:r>
      <w:r>
        <w:rPr>
          <w:noProof/>
        </w:rPr>
        <w:fldChar w:fldCharType="separate"/>
      </w:r>
      <w:r>
        <w:rPr>
          <w:noProof/>
        </w:rPr>
        <w:t>15</w:t>
      </w:r>
      <w:r>
        <w:rPr>
          <w:noProof/>
        </w:rPr>
        <w:fldChar w:fldCharType="end"/>
      </w:r>
    </w:p>
    <w:p w14:paraId="5632F769" w14:textId="02EDD65A"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lastRenderedPageBreak/>
        <w:t>Permitted Affiliates</w:t>
      </w:r>
      <w:r>
        <w:rPr>
          <w:noProof/>
        </w:rPr>
        <w:tab/>
      </w:r>
      <w:r>
        <w:rPr>
          <w:noProof/>
        </w:rPr>
        <w:fldChar w:fldCharType="begin"/>
      </w:r>
      <w:r>
        <w:rPr>
          <w:noProof/>
        </w:rPr>
        <w:instrText xml:space="preserve"> PAGEREF _Toc240373551 \h </w:instrText>
      </w:r>
      <w:r>
        <w:rPr>
          <w:noProof/>
        </w:rPr>
      </w:r>
      <w:r>
        <w:rPr>
          <w:noProof/>
        </w:rPr>
        <w:fldChar w:fldCharType="separate"/>
      </w:r>
      <w:r>
        <w:rPr>
          <w:noProof/>
        </w:rPr>
        <w:t>16</w:t>
      </w:r>
      <w:r>
        <w:rPr>
          <w:noProof/>
        </w:rPr>
        <w:fldChar w:fldCharType="end"/>
      </w:r>
    </w:p>
    <w:p w14:paraId="7C4A6D3A" w14:textId="655AB52E"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4.1 Admitted affiliates</w:t>
      </w:r>
      <w:r>
        <w:rPr>
          <w:noProof/>
        </w:rPr>
        <w:tab/>
      </w:r>
      <w:r>
        <w:rPr>
          <w:noProof/>
        </w:rPr>
        <w:fldChar w:fldCharType="begin"/>
      </w:r>
      <w:r>
        <w:rPr>
          <w:noProof/>
        </w:rPr>
        <w:instrText xml:space="preserve"> PAGEREF _Toc240373552 \h </w:instrText>
      </w:r>
      <w:r>
        <w:rPr>
          <w:noProof/>
        </w:rPr>
      </w:r>
      <w:r>
        <w:rPr>
          <w:noProof/>
        </w:rPr>
        <w:fldChar w:fldCharType="separate"/>
      </w:r>
      <w:r>
        <w:rPr>
          <w:noProof/>
        </w:rPr>
        <w:t>16</w:t>
      </w:r>
      <w:r>
        <w:rPr>
          <w:noProof/>
        </w:rPr>
        <w:fldChar w:fldCharType="end"/>
      </w:r>
    </w:p>
    <w:p w14:paraId="4E4D5476" w14:textId="7B741B2D"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4.2 Leaving the group</w:t>
      </w:r>
      <w:r>
        <w:rPr>
          <w:noProof/>
        </w:rPr>
        <w:tab/>
      </w:r>
      <w:r>
        <w:rPr>
          <w:noProof/>
        </w:rPr>
        <w:fldChar w:fldCharType="begin"/>
      </w:r>
      <w:r>
        <w:rPr>
          <w:noProof/>
        </w:rPr>
        <w:instrText xml:space="preserve"> PAGEREF _Toc240373553 \h </w:instrText>
      </w:r>
      <w:r>
        <w:rPr>
          <w:noProof/>
        </w:rPr>
      </w:r>
      <w:r>
        <w:rPr>
          <w:noProof/>
        </w:rPr>
        <w:fldChar w:fldCharType="separate"/>
      </w:r>
      <w:r>
        <w:rPr>
          <w:noProof/>
        </w:rPr>
        <w:t>16</w:t>
      </w:r>
      <w:r>
        <w:rPr>
          <w:noProof/>
        </w:rPr>
        <w:fldChar w:fldCharType="end"/>
      </w:r>
    </w:p>
    <w:p w14:paraId="07AE1F98" w14:textId="2BDC1D7D" w:rsidR="00FA3EEF" w:rsidRDefault="00FA3EEF" w:rsidP="00FA3EEF">
      <w:pPr>
        <w:pStyle w:val="Verzeichnis1"/>
        <w:tabs>
          <w:tab w:val="right" w:leader="dot" w:pos="9402"/>
        </w:tabs>
        <w:rPr>
          <w:rFonts w:asciiTheme="minorHAnsi" w:hAnsiTheme="minorHAnsi" w:cstheme="minorBidi"/>
          <w:noProof/>
          <w:kern w:val="2"/>
          <w14:ligatures w14:val="standardContextual"/>
        </w:rPr>
      </w:pPr>
      <w:r w:rsidRPr="0023222F">
        <w:rPr>
          <w:rFonts w:eastAsia="Times New Roman"/>
          <w:noProof/>
        </w:rPr>
        <w:t>End-client terms to be passed through</w:t>
      </w:r>
      <w:r>
        <w:rPr>
          <w:noProof/>
        </w:rPr>
        <w:tab/>
      </w:r>
      <w:r>
        <w:rPr>
          <w:noProof/>
        </w:rPr>
        <w:fldChar w:fldCharType="begin"/>
      </w:r>
      <w:r>
        <w:rPr>
          <w:noProof/>
        </w:rPr>
        <w:instrText xml:space="preserve"> PAGEREF _Toc240373554 \h </w:instrText>
      </w:r>
      <w:r>
        <w:rPr>
          <w:noProof/>
        </w:rPr>
      </w:r>
      <w:r>
        <w:rPr>
          <w:noProof/>
        </w:rPr>
        <w:fldChar w:fldCharType="separate"/>
      </w:r>
      <w:r>
        <w:rPr>
          <w:noProof/>
        </w:rPr>
        <w:t>17</w:t>
      </w:r>
      <w:r>
        <w:rPr>
          <w:noProof/>
        </w:rPr>
        <w:fldChar w:fldCharType="end"/>
      </w:r>
    </w:p>
    <w:p w14:paraId="3DFEACD6" w14:textId="34F5A7F5"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5.1 How this Annex works</w:t>
      </w:r>
      <w:r>
        <w:rPr>
          <w:noProof/>
        </w:rPr>
        <w:tab/>
      </w:r>
      <w:r>
        <w:rPr>
          <w:noProof/>
        </w:rPr>
        <w:fldChar w:fldCharType="begin"/>
      </w:r>
      <w:r>
        <w:rPr>
          <w:noProof/>
        </w:rPr>
        <w:instrText xml:space="preserve"> PAGEREF _Toc240373555 \h </w:instrText>
      </w:r>
      <w:r>
        <w:rPr>
          <w:noProof/>
        </w:rPr>
      </w:r>
      <w:r>
        <w:rPr>
          <w:noProof/>
        </w:rPr>
        <w:fldChar w:fldCharType="separate"/>
      </w:r>
      <w:r>
        <w:rPr>
          <w:noProof/>
        </w:rPr>
        <w:t>17</w:t>
      </w:r>
      <w:r>
        <w:rPr>
          <w:noProof/>
        </w:rPr>
        <w:fldChar w:fldCharType="end"/>
      </w:r>
    </w:p>
    <w:p w14:paraId="6E39646F" w14:textId="5E0DA96E"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5.2 The terms</w:t>
      </w:r>
      <w:r>
        <w:rPr>
          <w:noProof/>
        </w:rPr>
        <w:tab/>
      </w:r>
      <w:r>
        <w:rPr>
          <w:noProof/>
        </w:rPr>
        <w:fldChar w:fldCharType="begin"/>
      </w:r>
      <w:r>
        <w:rPr>
          <w:noProof/>
        </w:rPr>
        <w:instrText xml:space="preserve"> PAGEREF _Toc240373556 \h </w:instrText>
      </w:r>
      <w:r>
        <w:rPr>
          <w:noProof/>
        </w:rPr>
      </w:r>
      <w:r>
        <w:rPr>
          <w:noProof/>
        </w:rPr>
        <w:fldChar w:fldCharType="separate"/>
      </w:r>
      <w:r>
        <w:rPr>
          <w:noProof/>
        </w:rPr>
        <w:t>17</w:t>
      </w:r>
      <w:r>
        <w:rPr>
          <w:noProof/>
        </w:rPr>
        <w:fldChar w:fldCharType="end"/>
      </w:r>
    </w:p>
    <w:p w14:paraId="2ACED63C" w14:textId="5599B483" w:rsidR="00FA3EEF" w:rsidRDefault="00FA3EEF" w:rsidP="00FA3EEF">
      <w:pPr>
        <w:pStyle w:val="Verzeichnis2"/>
        <w:tabs>
          <w:tab w:val="right" w:leader="dot" w:pos="9402"/>
        </w:tabs>
        <w:rPr>
          <w:rFonts w:asciiTheme="minorHAnsi" w:hAnsiTheme="minorHAnsi" w:cstheme="minorBidi"/>
          <w:noProof/>
          <w:kern w:val="2"/>
          <w14:ligatures w14:val="standardContextual"/>
        </w:rPr>
      </w:pPr>
      <w:r w:rsidRPr="0023222F">
        <w:rPr>
          <w:rFonts w:eastAsia="Times New Roman"/>
          <w:noProof/>
        </w:rPr>
        <w:t>5.3 Changes</w:t>
      </w:r>
      <w:r>
        <w:rPr>
          <w:noProof/>
        </w:rPr>
        <w:tab/>
      </w:r>
      <w:r>
        <w:rPr>
          <w:noProof/>
        </w:rPr>
        <w:fldChar w:fldCharType="begin"/>
      </w:r>
      <w:r>
        <w:rPr>
          <w:noProof/>
        </w:rPr>
        <w:instrText xml:space="preserve"> PAGEREF _Toc240373557 \h </w:instrText>
      </w:r>
      <w:r>
        <w:rPr>
          <w:noProof/>
        </w:rPr>
      </w:r>
      <w:r>
        <w:rPr>
          <w:noProof/>
        </w:rPr>
        <w:fldChar w:fldCharType="separate"/>
      </w:r>
      <w:r>
        <w:rPr>
          <w:noProof/>
        </w:rPr>
        <w:t>17</w:t>
      </w:r>
      <w:r>
        <w:rPr>
          <w:noProof/>
        </w:rPr>
        <w:fldChar w:fldCharType="end"/>
      </w:r>
    </w:p>
    <w:p w14:paraId="477B8591" w14:textId="77777777" w:rsidR="00FA3EEF" w:rsidRDefault="00FA3EEF" w:rsidP="00FA3EEF">
      <w:pPr>
        <w:pStyle w:val="berschrift1"/>
        <w:rPr>
          <w:b w:val="0"/>
          <w:bCs w:val="0"/>
          <w:color w:val="6895FF"/>
          <w:spacing w:val="20"/>
          <w:kern w:val="0"/>
          <w:sz w:val="16"/>
          <w:szCs w:val="16"/>
        </w:rPr>
      </w:pPr>
      <w:r>
        <w:rPr>
          <w:b w:val="0"/>
          <w:bCs w:val="0"/>
          <w:color w:val="6895FF"/>
          <w:spacing w:val="20"/>
          <w:kern w:val="0"/>
          <w:sz w:val="16"/>
          <w:szCs w:val="16"/>
        </w:rPr>
        <w:fldChar w:fldCharType="end"/>
      </w:r>
      <w:bookmarkStart w:id="1" w:name="_Toc240373515"/>
    </w:p>
    <w:bookmarkEnd w:id="1"/>
    <w:p w14:paraId="2613DC46" w14:textId="77777777" w:rsidR="00FA3EEF" w:rsidRDefault="00FA3EEF">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6AA2643C" w14:textId="68BFEDD4" w:rsidR="0002199C" w:rsidRDefault="0002199C">
      <w:pPr>
        <w:pStyle w:val="meta"/>
        <w:rPr>
          <w:rFonts w:ascii="Calibri" w:hAnsi="Calibri" w:cs="Calibri"/>
        </w:rPr>
      </w:pPr>
      <w:r>
        <w:rPr>
          <w:rFonts w:ascii="Calibri" w:hAnsi="Calibri" w:cs="Calibri"/>
        </w:rPr>
        <w:t>Reseller:</w:t>
      </w:r>
    </w:p>
    <w:p w14:paraId="72EC2FFB" w14:textId="77777777" w:rsidR="0002199C" w:rsidRDefault="0002199C">
      <w:pPr>
        <w:pStyle w:val="meta"/>
        <w:rPr>
          <w:rFonts w:ascii="Calibri" w:hAnsi="Calibri" w:cs="Calibri"/>
        </w:rPr>
      </w:pPr>
      <w:r>
        <w:rPr>
          <w:rFonts w:ascii="Calibri" w:hAnsi="Calibri" w:cs="Calibri"/>
        </w:rPr>
        <w:t>STP Business Information GmbH</w:t>
      </w:r>
    </w:p>
    <w:p w14:paraId="69F99662" w14:textId="77777777" w:rsidR="0002199C" w:rsidRDefault="0002199C">
      <w:pPr>
        <w:pStyle w:val="meta"/>
        <w:rPr>
          <w:rFonts w:ascii="Calibri" w:hAnsi="Calibri" w:cs="Calibri"/>
        </w:rPr>
      </w:pPr>
      <w:r>
        <w:rPr>
          <w:rFonts w:ascii="Calibri" w:hAnsi="Calibri" w:cs="Calibri"/>
        </w:rPr>
        <w:t>Brauerstraße 12, 76135 Karlsruhe</w:t>
      </w:r>
    </w:p>
    <w:p w14:paraId="270B2484" w14:textId="77777777" w:rsidR="0002199C" w:rsidRDefault="0002199C">
      <w:pPr>
        <w:pStyle w:val="meta"/>
        <w:rPr>
          <w:rFonts w:ascii="Calibri" w:hAnsi="Calibri" w:cs="Calibri"/>
        </w:rPr>
      </w:pPr>
      <w:r>
        <w:rPr>
          <w:rFonts w:ascii="Calibri" w:hAnsi="Calibri" w:cs="Calibri"/>
        </w:rPr>
        <w:t>AG Mannheim · HRB 110915 · VAT ID DE227238030</w:t>
      </w:r>
    </w:p>
    <w:p w14:paraId="7184998B" w14:textId="77777777" w:rsidR="0002199C" w:rsidRDefault="0002199C">
      <w:pPr>
        <w:pStyle w:val="meta"/>
        <w:rPr>
          <w:rFonts w:ascii="Calibri" w:hAnsi="Calibri" w:cs="Calibri"/>
        </w:rPr>
      </w:pPr>
      <w:r>
        <w:rPr>
          <w:rFonts w:ascii="Calibri" w:hAnsi="Calibri" w:cs="Calibri"/>
        </w:rPr>
        <w:t>Managing Directors: Fabian Padilla Crisol, Laurent Rueff, Martin Ripke</w:t>
      </w:r>
    </w:p>
    <w:p w14:paraId="07034F2D" w14:textId="77777777" w:rsidR="0002199C" w:rsidRDefault="0002199C">
      <w:pPr>
        <w:pStyle w:val="meta"/>
        <w:rPr>
          <w:rFonts w:ascii="Calibri" w:hAnsi="Calibri" w:cs="Calibri"/>
        </w:rPr>
      </w:pPr>
      <w:r>
        <w:rPr>
          <w:rFonts w:ascii="Calibri" w:hAnsi="Calibri" w:cs="Calibri"/>
        </w:rPr>
        <w:t>Supplier:</w:t>
      </w:r>
    </w:p>
    <w:p w14:paraId="2501378F" w14:textId="77777777" w:rsidR="0002199C" w:rsidRDefault="0002199C">
      <w:pPr>
        <w:pStyle w:val="meta"/>
        <w:rPr>
          <w:rFonts w:ascii="Calibri" w:hAnsi="Calibri" w:cs="Calibri"/>
        </w:rPr>
      </w:pPr>
      <w:r>
        <w:rPr>
          <w:rFonts w:ascii="Calibri" w:hAnsi="Calibri" w:cs="Calibri"/>
        </w:rPr>
        <w:t>Founders1 GmbH</w:t>
      </w:r>
    </w:p>
    <w:p w14:paraId="3ABD23FE" w14:textId="77777777" w:rsidR="0002199C" w:rsidRDefault="0002199C">
      <w:pPr>
        <w:pStyle w:val="meta"/>
        <w:rPr>
          <w:rFonts w:ascii="Calibri" w:hAnsi="Calibri" w:cs="Calibri"/>
        </w:rPr>
      </w:pPr>
      <w:r>
        <w:rPr>
          <w:rFonts w:ascii="Calibri" w:hAnsi="Calibri" w:cs="Calibri"/>
        </w:rPr>
        <w:t>Berger Str. 224, 60385 Frankfurt</w:t>
      </w:r>
    </w:p>
    <w:p w14:paraId="051AA636" w14:textId="77777777" w:rsidR="0002199C" w:rsidRDefault="0002199C">
      <w:pPr>
        <w:pStyle w:val="meta"/>
        <w:rPr>
          <w:rFonts w:ascii="Calibri" w:hAnsi="Calibri" w:cs="Calibri"/>
        </w:rPr>
      </w:pPr>
      <w:r>
        <w:rPr>
          <w:rFonts w:ascii="Calibri" w:hAnsi="Calibri" w:cs="Calibri"/>
        </w:rPr>
        <w:t>AG Charlottenburg (Berlin) · HRB 234373 B · VAT ID DE347408472</w:t>
      </w:r>
    </w:p>
    <w:p w14:paraId="6A671E69" w14:textId="77777777" w:rsidR="0002199C" w:rsidRDefault="0002199C">
      <w:pPr>
        <w:pStyle w:val="meta"/>
        <w:rPr>
          <w:rFonts w:ascii="Calibri" w:hAnsi="Calibri" w:cs="Calibri"/>
        </w:rPr>
      </w:pPr>
      <w:r>
        <w:rPr>
          <w:rFonts w:ascii="Calibri" w:hAnsi="Calibri" w:cs="Calibri"/>
        </w:rPr>
        <w:t>Managing Director: Eckhard Ortwein</w:t>
      </w:r>
    </w:p>
    <w:p w14:paraId="11069636" w14:textId="77777777" w:rsidR="0002199C" w:rsidRDefault="0002199C">
      <w:pPr>
        <w:pStyle w:val="meta"/>
        <w:rPr>
          <w:rFonts w:ascii="Calibri" w:hAnsi="Calibri" w:cs="Calibri"/>
        </w:rPr>
      </w:pPr>
      <w:r>
        <w:rPr>
          <w:rFonts w:ascii="Calibri" w:hAnsi="Calibri" w:cs="Calibri"/>
        </w:rPr>
        <w:t>hereinafter</w:t>
      </w:r>
    </w:p>
    <w:p w14:paraId="44BD56F4" w14:textId="77777777" w:rsidR="0002199C" w:rsidRDefault="0002199C">
      <w:pPr>
        <w:pStyle w:val="meta"/>
        <w:rPr>
          <w:rFonts w:ascii="Calibri" w:hAnsi="Calibri" w:cs="Calibri"/>
        </w:rPr>
      </w:pPr>
      <w:r>
        <w:rPr>
          <w:rFonts w:ascii="Calibri" w:hAnsi="Calibri" w:cs="Calibri"/>
        </w:rPr>
        <w:t>STP</w:t>
      </w:r>
    </w:p>
    <w:p w14:paraId="2EBDB777" w14:textId="77777777" w:rsidR="0002199C" w:rsidRDefault="0002199C">
      <w:pPr>
        <w:pStyle w:val="meta"/>
        <w:rPr>
          <w:rFonts w:ascii="Calibri" w:hAnsi="Calibri" w:cs="Calibri"/>
        </w:rPr>
      </w:pPr>
      <w:r>
        <w:rPr>
          <w:rFonts w:ascii="Calibri" w:hAnsi="Calibri" w:cs="Calibri"/>
        </w:rPr>
        <w:t>hereinafter</w:t>
      </w:r>
    </w:p>
    <w:p w14:paraId="3F342E7E" w14:textId="77777777" w:rsidR="0002199C" w:rsidRDefault="0002199C">
      <w:pPr>
        <w:pStyle w:val="meta"/>
        <w:rPr>
          <w:rFonts w:ascii="Calibri" w:hAnsi="Calibri" w:cs="Calibri"/>
        </w:rPr>
      </w:pPr>
      <w:r>
        <w:rPr>
          <w:rFonts w:ascii="Calibri" w:hAnsi="Calibri" w:cs="Calibri"/>
        </w:rPr>
        <w:t>Founders1</w:t>
      </w:r>
    </w:p>
    <w:p w14:paraId="4FE85E94" w14:textId="77777777" w:rsidR="0002199C" w:rsidRDefault="0002199C">
      <w:pPr>
        <w:pStyle w:val="meta"/>
        <w:rPr>
          <w:rFonts w:ascii="Calibri" w:hAnsi="Calibri" w:cs="Calibri"/>
        </w:rPr>
      </w:pPr>
      <w:r>
        <w:rPr>
          <w:rFonts w:ascii="Calibri" w:hAnsi="Calibri" w:cs="Calibri"/>
        </w:rPr>
        <w:t>Draft · 14 September 2026</w:t>
      </w:r>
    </w:p>
    <w:p w14:paraId="2081468F"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w:t>
      </w:r>
      <w:r>
        <w:rPr>
          <w:rFonts w:ascii="Calibri" w:eastAsia="Times New Roman" w:hAnsi="Calibri" w:cs="Calibri"/>
          <w:color w:val="222233"/>
          <w:sz w:val="21"/>
          <w:szCs w:val="21"/>
        </w:rPr>
        <w:t xml:space="preserve">offer that service to its clients in its own name. Annex 1 describes the service; this Agreement sets the terms on which STP resells it. </w:t>
      </w:r>
    </w:p>
    <w:p w14:paraId="1A7C99EB" w14:textId="77777777" w:rsidR="0002199C" w:rsidRDefault="0002199C">
      <w:pPr>
        <w:pStyle w:val="berschrift2"/>
        <w:rPr>
          <w:rFonts w:eastAsia="Times New Roman"/>
        </w:rPr>
      </w:pPr>
      <w:bookmarkStart w:id="2" w:name="_Toc240373516"/>
      <w:r>
        <w:rPr>
          <w:rFonts w:eastAsia="Times New Roman"/>
        </w:rPr>
        <w:t>1 Definitions</w:t>
      </w:r>
      <w:bookmarkEnd w:id="2"/>
    </w:p>
    <w:p w14:paraId="3929882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09598B27"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 </w:t>
      </w:r>
      <w:r>
        <w:rPr>
          <w:rStyle w:val="Fett"/>
          <w:rFonts w:ascii="Calibri" w:eastAsia="Times New Roman" w:hAnsi="Calibri" w:cs="Calibri"/>
          <w:color w:val="222233"/>
          <w:sz w:val="21"/>
          <w:szCs w:val="21"/>
        </w:rPr>
        <w:t>Septeo Group</w:t>
      </w:r>
      <w:r>
        <w:rPr>
          <w:rFonts w:ascii="Calibri" w:eastAsia="Times New Roman" w:hAnsi="Calibri" w:cs="Calibri"/>
          <w:color w:val="222233"/>
          <w:sz w:val="21"/>
          <w:szCs w:val="21"/>
        </w:rPr>
        <w:t xml:space="preserve"> — Septeo SAS and its Affiliates.</w:t>
      </w:r>
    </w:p>
    <w:p w14:paraId="4B3C0D1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59D00958"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1D035FD2"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257FAF84"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2E7D2595"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12179BAD"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 a client of STP or of a Permitted Affiliate to whom the service is resold.</w:t>
      </w:r>
    </w:p>
    <w:p w14:paraId="2EBBE775"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79AB4266"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3A1F4D86" w14:textId="77777777" w:rsidR="0002199C" w:rsidRDefault="0002199C">
      <w:pPr>
        <w:pStyle w:val="berschrift2"/>
        <w:rPr>
          <w:rFonts w:eastAsia="Times New Roman"/>
        </w:rPr>
      </w:pPr>
      <w:bookmarkStart w:id="3" w:name="_Toc240373517"/>
      <w:r>
        <w:rPr>
          <w:rFonts w:eastAsia="Times New Roman"/>
        </w:rPr>
        <w:t>2 Subject matter</w:t>
      </w:r>
      <w:bookmarkEnd w:id="3"/>
    </w:p>
    <w:p w14:paraId="5DEDDAE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08F4C0B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309207AB"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6D3D0721"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59477F4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26EB0EE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22A87A28" w14:textId="77777777" w:rsidR="0002199C" w:rsidRDefault="0002199C">
      <w:pPr>
        <w:pStyle w:val="berschrift2"/>
        <w:rPr>
          <w:rFonts w:eastAsia="Times New Roman"/>
        </w:rPr>
      </w:pPr>
      <w:bookmarkStart w:id="4" w:name="_Toc240373518"/>
      <w:r>
        <w:rPr>
          <w:rFonts w:eastAsia="Times New Roman"/>
        </w:rPr>
        <w:t>3 Grant of rights</w:t>
      </w:r>
      <w:bookmarkEnd w:id="4"/>
    </w:p>
    <w:p w14:paraId="3463252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5A94193C"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to market, sell, invoice and deliver the service to End Clients </w:t>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7E99001D"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4EA65943"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5EBB3B9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p>
    <w:p w14:paraId="4FE9673E"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482AA47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26F54FFD"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 Annex 5).</w:t>
      </w:r>
    </w:p>
    <w:p w14:paraId="2C0A6B1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26BA0999"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grant each End Client a non-exclusive right to use the Documents delivered for that End Client for its own KYC/AML, onboarding, advisory and record-retention purposes. </w:t>
      </w:r>
      <w:r>
        <w:rPr>
          <w:rStyle w:val="Fett"/>
          <w:rFonts w:ascii="Calibri" w:eastAsia="Times New Roman" w:hAnsi="Calibri" w:cs="Calibri"/>
          <w:color w:val="222233"/>
          <w:sz w:val="21"/>
          <w:szCs w:val="21"/>
        </w:rPr>
        <w:t>Each End Client may retain those Documents for as long as its statutory retention obligation requires, including after this Agreement ends</w:t>
      </w:r>
      <w:r>
        <w:rPr>
          <w:rFonts w:ascii="Calibri" w:eastAsia="Times New Roman" w:hAnsi="Calibri" w:cs="Calibri"/>
          <w:color w:val="222233"/>
          <w:sz w:val="21"/>
          <w:szCs w:val="21"/>
        </w:rPr>
        <w:t xml:space="preserve"> (Annex 5). Beyond that, the rights follow what Founders1 holds in the underlying content; Founders1 states the applicable scope with each Document.</w:t>
      </w:r>
    </w:p>
    <w:p w14:paraId="4A0F02A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3CE6ADB8"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remains free to provide the service directly and through other resellers, in any market, including to clients of the kind STP serves.</w:t>
      </w:r>
    </w:p>
    <w:p w14:paraId="78A343E2" w14:textId="77777777" w:rsidR="0002199C" w:rsidRDefault="0002199C">
      <w:pPr>
        <w:pStyle w:val="berschrift2"/>
        <w:rPr>
          <w:rFonts w:eastAsia="Times New Roman"/>
        </w:rPr>
      </w:pPr>
      <w:bookmarkStart w:id="5" w:name="_Toc240373519"/>
      <w:r>
        <w:rPr>
          <w:rFonts w:eastAsia="Times New Roman"/>
        </w:rPr>
        <w:t>4 Septeo Group scope</w:t>
      </w:r>
      <w:bookmarkEnd w:id="5"/>
    </w:p>
    <w:p w14:paraId="2A701F5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4.1</w:t>
      </w:r>
      <w:r>
        <w:rPr>
          <w:rFonts w:ascii="Calibri" w:hAnsi="Calibri" w:cs="Calibri"/>
          <w:b/>
          <w:bCs/>
          <w:color w:val="222233"/>
          <w:sz w:val="21"/>
          <w:szCs w:val="21"/>
        </w:rPr>
        <w:t> </w:t>
      </w:r>
    </w:p>
    <w:p w14:paraId="2A6F890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Members of the Septeo Group may exercise the rights under clauses 3.1 to 3.5 as </w:t>
      </w:r>
      <w:r>
        <w:rPr>
          <w:rStyle w:val="Fett"/>
          <w:rFonts w:ascii="Calibri" w:hAnsi="Calibri" w:cs="Calibri"/>
          <w:color w:val="222233"/>
          <w:sz w:val="21"/>
          <w:szCs w:val="21"/>
        </w:rPr>
        <w:t>Permitted Affiliates</w:t>
      </w:r>
      <w:r>
        <w:rPr>
          <w:rFonts w:ascii="Calibri" w:hAnsi="Calibri" w:cs="Calibri"/>
          <w:color w:val="222233"/>
          <w:sz w:val="21"/>
          <w:szCs w:val="21"/>
        </w:rPr>
        <w:t>. STP notifies Founders1 in text form of the affiliate to be admitted; it becomes a Permitted Affiliate upon confirmation by Founders1, which will not be unreasonably withheld. Admitted affiliates are listed in Annex 4.</w:t>
      </w:r>
    </w:p>
    <w:p w14:paraId="13E98AE5"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4.2</w:t>
      </w:r>
      <w:r>
        <w:rPr>
          <w:rFonts w:ascii="Calibri" w:hAnsi="Calibri" w:cs="Calibri"/>
          <w:b/>
          <w:bCs/>
          <w:color w:val="222233"/>
          <w:sz w:val="21"/>
          <w:szCs w:val="21"/>
        </w:rPr>
        <w:t> </w:t>
      </w:r>
    </w:p>
    <w:p w14:paraId="01823E8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STP remains the </w:t>
      </w:r>
      <w:r>
        <w:rPr>
          <w:rStyle w:val="Fett"/>
          <w:rFonts w:ascii="Calibri" w:hAnsi="Calibri" w:cs="Calibri"/>
          <w:color w:val="222233"/>
          <w:sz w:val="21"/>
          <w:szCs w:val="21"/>
        </w:rPr>
        <w:t>sole contracting and billing party</w:t>
      </w:r>
      <w:r>
        <w:rPr>
          <w:rFonts w:ascii="Calibri" w:hAnsi="Calibri" w:cs="Calibri"/>
          <w:color w:val="222233"/>
          <w:sz w:val="21"/>
          <w:szCs w:val="21"/>
        </w:rPr>
        <w:t>. All orders are placed through STP's account and all invoices are issued to STP. Founders1 enters into no contractual relationship with a Permitted Affiliate.</w:t>
      </w:r>
    </w:p>
    <w:p w14:paraId="7CA456A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4.3</w:t>
      </w:r>
      <w:r>
        <w:rPr>
          <w:rFonts w:ascii="Calibri" w:hAnsi="Calibri" w:cs="Calibri"/>
          <w:b/>
          <w:bCs/>
          <w:color w:val="222233"/>
          <w:sz w:val="21"/>
          <w:szCs w:val="21"/>
        </w:rPr>
        <w:t> </w:t>
      </w:r>
    </w:p>
    <w:p w14:paraId="479DB15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is liable for the acts and omissions of Permitted Affiliates under this Agreement as for its own.</w:t>
      </w:r>
    </w:p>
    <w:p w14:paraId="07AA410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4.4</w:t>
      </w:r>
      <w:r>
        <w:rPr>
          <w:rFonts w:ascii="Calibri" w:hAnsi="Calibri" w:cs="Calibri"/>
          <w:b/>
          <w:bCs/>
          <w:color w:val="222233"/>
          <w:sz w:val="21"/>
          <w:szCs w:val="21"/>
        </w:rPr>
        <w:t> </w:t>
      </w:r>
    </w:p>
    <w:p w14:paraId="298DC09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lastRenderedPageBreak/>
        <w:t>An entity leaving the Septeo Group ceases to be a Permitted Affiliate at that point. Clause 3.5 remains unaffected for Documents already delivered.</w:t>
      </w:r>
    </w:p>
    <w:p w14:paraId="3E228E9D" w14:textId="77777777" w:rsidR="0002199C" w:rsidRDefault="0002199C">
      <w:pPr>
        <w:pStyle w:val="berschrift2"/>
        <w:rPr>
          <w:rFonts w:eastAsia="Times New Roman"/>
        </w:rPr>
      </w:pPr>
      <w:bookmarkStart w:id="6" w:name="_Toc240373520"/>
      <w:r>
        <w:rPr>
          <w:rFonts w:eastAsia="Times New Roman"/>
        </w:rPr>
        <w:t>5 Restrictions</w:t>
      </w:r>
      <w:bookmarkEnd w:id="6"/>
    </w:p>
    <w:p w14:paraId="4EC5FF7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1CE7522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w:t>
      </w:r>
    </w:p>
    <w:p w14:paraId="7148542C"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7ED2154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w:t>
      </w:r>
      <w:r>
        <w:rPr>
          <w:rFonts w:ascii="Calibri" w:hAnsi="Calibri" w:cs="Calibri"/>
          <w:color w:val="222233"/>
          <w:sz w:val="21"/>
          <w:szCs w:val="21"/>
        </w:rPr>
        <w:t xml:space="preserve">to build, train, operate or supply a competing registry-aggregation, coverage or document-procurement product, whether itself or for a third party. This obligation binds STP and those Permitted Affiliates that receive such information,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w:t>
      </w:r>
    </w:p>
    <w:p w14:paraId="5C87BB15"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5E20F09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w:t>
      </w:r>
      <w:r>
        <w:rPr>
          <w:rFonts w:ascii="Calibri" w:hAnsi="Calibri" w:cs="Calibri"/>
          <w:color w:val="222233"/>
          <w:sz w:val="21"/>
          <w:szCs w:val="21"/>
        </w:rPr>
        <w:t>retained in the memory of individuals who have had access to it.</w:t>
      </w:r>
    </w:p>
    <w:p w14:paraId="30B9BFA5"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60F9F60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will not cache or store Documents in order to serve later orders of End Clients outside the re-use mechanism set out in Annex 1. Retention in the End Client's own file under clause 3.5 is unaffected.</w:t>
      </w:r>
    </w:p>
    <w:p w14:paraId="7060699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3DC0D50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Sub-distribution is permitted only under clause 4.</w:t>
      </w:r>
    </w:p>
    <w:p w14:paraId="29B82B8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196BB62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543818FC" w14:textId="77777777" w:rsidR="0002199C" w:rsidRDefault="0002199C">
      <w:pPr>
        <w:pStyle w:val="berschrift2"/>
        <w:rPr>
          <w:rFonts w:eastAsia="Times New Roman"/>
        </w:rPr>
      </w:pPr>
      <w:bookmarkStart w:id="7" w:name="_Toc240373521"/>
      <w:r>
        <w:rPr>
          <w:rFonts w:eastAsia="Times New Roman"/>
        </w:rPr>
        <w:t>6 Procurement routes and non-circumvention</w:t>
      </w:r>
      <w:bookmarkEnd w:id="7"/>
    </w:p>
    <w:p w14:paraId="0723707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759D39F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identity of the</w:t>
      </w:r>
      <w:r>
        <w:rPr>
          <w:rFonts w:ascii="Calibri" w:hAnsi="Calibri" w:cs="Calibri"/>
          <w:color w:val="222233"/>
          <w:sz w:val="21"/>
          <w:szCs w:val="21"/>
        </w:rPr>
        <w:t xml:space="preserv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 STP will not use that information to identify, approach or contract with those suppliers for services of the kind covered by this Agreement.</w:t>
      </w:r>
    </w:p>
    <w:p w14:paraId="2BC5012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3FC957E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2A3D4D79"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0CD1E2AB"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Under clause 8.5 STP reports by its own reference and Founders1 does not require End Client names for settlement. A non-solicitation obligation expressed by reference to identities disclosed through Cases would therefore have no subject matter, and this clause does not rely on one.</w:t>
      </w:r>
    </w:p>
    <w:p w14:paraId="6AF1671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4A0C4381"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w:t>
      </w:r>
      <w:r>
        <w:rPr>
          <w:rFonts w:ascii="Calibri" w:eastAsia="Times New Roman" w:hAnsi="Calibri" w:cs="Calibri"/>
          <w:color w:val="222233"/>
          <w:sz w:val="21"/>
          <w:szCs w:val="21"/>
        </w:rPr>
        <w:lastRenderedPageBreak/>
        <w:t>and it takes effect on receipt. Founders1's relationships existing at the date of notification, and clause 3.6, remain unaffected.</w:t>
      </w:r>
    </w:p>
    <w:p w14:paraId="5386929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6CB285D1"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17C49066" w14:textId="77777777" w:rsidR="0002199C" w:rsidRDefault="0002199C">
      <w:pPr>
        <w:pStyle w:val="berschrift2"/>
        <w:rPr>
          <w:rFonts w:eastAsia="Times New Roman"/>
        </w:rPr>
      </w:pPr>
      <w:bookmarkStart w:id="8" w:name="_Toc240373522"/>
      <w:r>
        <w:rPr>
          <w:rFonts w:eastAsia="Times New Roman"/>
        </w:rPr>
        <w:t>7 Ordering and performance</w:t>
      </w:r>
      <w:bookmarkEnd w:id="8"/>
    </w:p>
    <w:p w14:paraId="6AE45B1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558675F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22694A72"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3C59C19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5A64B75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64D962C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02AE9F7F"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002977A6"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51DFCABC" w14:textId="77777777" w:rsidR="0002199C" w:rsidRDefault="0002199C">
      <w:pPr>
        <w:pStyle w:val="berschrift2"/>
        <w:rPr>
          <w:rFonts w:eastAsia="Times New Roman"/>
        </w:rPr>
      </w:pPr>
      <w:bookmarkStart w:id="9" w:name="_Toc240373523"/>
      <w:r>
        <w:rPr>
          <w:rFonts w:eastAsia="Times New Roman"/>
        </w:rPr>
        <w:t>8 Revenue share, invoicing, price changes</w:t>
      </w:r>
      <w:bookmarkEnd w:id="9"/>
    </w:p>
    <w:p w14:paraId="11717E5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4A077B7C"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does not prescribe an end-client price and does not publish one.</w:t>
      </w:r>
    </w:p>
    <w:p w14:paraId="1C191546"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8.2</w:t>
      </w:r>
      <w:r>
        <w:rPr>
          <w:rFonts w:ascii="Calibri" w:hAnsi="Calibri" w:cs="Calibri"/>
          <w:b/>
          <w:bCs/>
          <w:color w:val="222233"/>
          <w:sz w:val="21"/>
          <w:szCs w:val="21"/>
        </w:rPr>
        <w:t> </w:t>
      </w:r>
    </w:p>
    <w:p w14:paraId="0951CE03"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Revenue share.</w:t>
      </w:r>
      <w:r>
        <w:rPr>
          <w:rFonts w:ascii="Calibri" w:eastAsia="Times New Roman" w:hAnsi="Calibri" w:cs="Calibri"/>
          <w:color w:val="222233"/>
          <w:sz w:val="21"/>
          <w:szCs w:val="21"/>
        </w:rPr>
        <w:t xml:space="preserve"> For every Case, the </w:t>
      </w:r>
      <w:r>
        <w:rPr>
          <w:rStyle w:val="Hervorhebung"/>
          <w:rFonts w:ascii="Calibri" w:eastAsia="Times New Roman" w:hAnsi="Calibri" w:cs="Calibri"/>
          <w:color w:val="222233"/>
          <w:sz w:val="21"/>
          <w:szCs w:val="21"/>
        </w:rPr>
        <w:t>Net Amount</w:t>
      </w:r>
      <w:r>
        <w:rPr>
          <w:rFonts w:ascii="Calibri" w:eastAsia="Times New Roman" w:hAnsi="Calibri" w:cs="Calibri"/>
          <w:color w:val="222233"/>
          <w:sz w:val="21"/>
          <w:szCs w:val="21"/>
        </w:rPr>
        <w:t xml:space="preserve"> is the amount STP invoices to the End Client for that Case — net of VAT and of documented credits and refunds — </w:t>
      </w:r>
      <w:r>
        <w:rPr>
          <w:rStyle w:val="Fett"/>
          <w:rFonts w:ascii="Calibri" w:eastAsia="Times New Roman" w:hAnsi="Calibri" w:cs="Calibri"/>
          <w:color w:val="222233"/>
          <w:sz w:val="21"/>
          <w:szCs w:val="21"/>
        </w:rPr>
        <w:t>less the procurement cost</w:t>
      </w:r>
      <w:r>
        <w:rPr>
          <w:rFonts w:ascii="Calibri" w:eastAsia="Times New Roman" w:hAnsi="Calibri" w:cs="Calibri"/>
          <w:color w:val="222233"/>
          <w:sz w:val="21"/>
          <w:szCs w:val="21"/>
        </w:rPr>
        <w:t xml:space="preserve"> for that jurisdiction under Annex 2.1. STP pays Founders1 that procurement cost </w:t>
      </w:r>
      <w:r>
        <w:rPr>
          <w:rStyle w:val="Fett"/>
          <w:rFonts w:ascii="Calibri" w:eastAsia="Times New Roman" w:hAnsi="Calibri" w:cs="Calibri"/>
          <w:color w:val="222233"/>
          <w:sz w:val="21"/>
          <w:szCs w:val="21"/>
        </w:rPr>
        <w:t>plus 50 % of the Net Amount</w:t>
      </w:r>
      <w:r>
        <w:rPr>
          <w:rFonts w:ascii="Calibri" w:eastAsia="Times New Roman" w:hAnsi="Calibri" w:cs="Calibri"/>
          <w:color w:val="222233"/>
          <w:sz w:val="21"/>
          <w:szCs w:val="21"/>
        </w:rPr>
        <w:t>, and retains the other 50 %. The procurement cost is thus borne by the Case before the parties share what it earns, and each party carries half of it.</w:t>
      </w:r>
    </w:p>
    <w:p w14:paraId="225909A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4CD521B7"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Floor.</w:t>
      </w:r>
      <w:r>
        <w:rPr>
          <w:rFonts w:ascii="Calibri" w:eastAsia="Times New Roman" w:hAnsi="Calibri" w:cs="Calibri"/>
          <w:color w:val="222233"/>
          <w:sz w:val="21"/>
          <w:szCs w:val="21"/>
        </w:rPr>
        <w:t xml:space="preserve"> Where the amount STP invoices to the End Client for a Case does not exceed the procurement cost for that jurisdiction, STP pays Founders1 that procurement cost and no share arises under clause 8.2. No Case is settled below cost, and in no event does Founders1 owe STP a share.</w:t>
      </w:r>
    </w:p>
    <w:p w14:paraId="277B4A9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3FE945EB"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Minimum.</w:t>
      </w:r>
      <w:r>
        <w:rPr>
          <w:rFonts w:ascii="Calibri" w:eastAsia="Times New Roman" w:hAnsi="Calibri" w:cs="Calibri"/>
          <w:color w:val="222233"/>
          <w:sz w:val="21"/>
          <w:szCs w:val="21"/>
        </w:rPr>
        <w:t xml:space="preserve"> Founders1's </w:t>
      </w:r>
      <w:r>
        <w:rPr>
          <w:rStyle w:val="Fett"/>
          <w:rFonts w:ascii="Calibri" w:eastAsia="Times New Roman" w:hAnsi="Calibri" w:cs="Calibri"/>
          <w:color w:val="222233"/>
          <w:sz w:val="21"/>
          <w:szCs w:val="21"/>
        </w:rPr>
        <w:t>share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 the amounts payable to it under clauses 8.2 and 8.3 less the procurement cost reimbursed in them — totals at least </w:t>
      </w:r>
      <w:r>
        <w:rPr>
          <w:rStyle w:val="Fett"/>
          <w:rFonts w:ascii="Calibri" w:eastAsia="Times New Roman" w:hAnsi="Calibri" w:cs="Calibri"/>
          <w:color w:val="222233"/>
          <w:sz w:val="21"/>
          <w:szCs w:val="21"/>
        </w:rPr>
        <w:t>EUR 750 per month for the first three full months</w:t>
      </w:r>
      <w:r>
        <w:rPr>
          <w:rFonts w:ascii="Calibri" w:eastAsia="Times New Roman" w:hAnsi="Calibri" w:cs="Calibri"/>
          <w:color w:val="222233"/>
          <w:sz w:val="21"/>
          <w:szCs w:val="21"/>
        </w:rPr>
        <w:t xml:space="preserve"> after the effective date, and </w:t>
      </w:r>
      <w:r>
        <w:rPr>
          <w:rStyle w:val="Fett"/>
          <w:rFonts w:ascii="Calibri" w:eastAsia="Times New Roman" w:hAnsi="Calibri" w:cs="Calibri"/>
          <w:color w:val="222233"/>
          <w:sz w:val="21"/>
          <w:szCs w:val="21"/>
        </w:rPr>
        <w:t>EUR 1.500 per month</w:t>
      </w:r>
      <w:r>
        <w:rPr>
          <w:rFonts w:ascii="Calibri" w:eastAsia="Times New Roman" w:hAnsi="Calibri" w:cs="Calibri"/>
          <w:color w:val="222233"/>
          <w:sz w:val="21"/>
          <w:szCs w:val="21"/>
        </w:rPr>
        <w:t xml:space="preserve"> thereafter. No minimum accrues for a partial first month. Any shortfall is invoiced with the following month.</w:t>
      </w:r>
    </w:p>
    <w:p w14:paraId="732C11A6"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7CADFFDE"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Reporting and invoicing.</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reports monthly, per Case, the amount invoiced to the End Client. STP may identify the End Client by its own reference rather than by name; Founders1 does not require End Client identities for settlement. Founders1 invoices monthly in arrears on that basis, itemised per Case. Payment is due </w:t>
      </w:r>
      <w:r>
        <w:rPr>
          <w:rStyle w:val="Fett"/>
          <w:rFonts w:ascii="Calibri" w:eastAsia="Times New Roman" w:hAnsi="Calibri" w:cs="Calibri"/>
          <w:color w:val="222233"/>
          <w:sz w:val="21"/>
          <w:szCs w:val="21"/>
        </w:rPr>
        <w:t>14 days</w:t>
      </w:r>
      <w:r>
        <w:rPr>
          <w:rFonts w:ascii="Calibri" w:eastAsia="Times New Roman" w:hAnsi="Calibri" w:cs="Calibri"/>
          <w:color w:val="222233"/>
          <w:sz w:val="21"/>
          <w:szCs w:val="21"/>
        </w:rPr>
        <w:t xml:space="preserve"> net; amounts are exclusive of VAT at the statutory rate. Once a year Founders1 may ask STP to reconcile the reported amounts against its billing records.</w:t>
      </w:r>
    </w:p>
    <w:p w14:paraId="3A3DDD8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7267B9C9"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Cost changes.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procurement costs in Annex 2.1 are fixed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from the effective date, </w:t>
      </w:r>
      <w:r>
        <w:rPr>
          <w:rStyle w:val="Fett"/>
          <w:rFonts w:ascii="Calibri" w:eastAsia="Times New Roman" w:hAnsi="Calibri" w:cs="Calibri"/>
          <w:color w:val="222233"/>
          <w:sz w:val="21"/>
          <w:szCs w:val="21"/>
        </w:rPr>
        <w:t>except for any jurisdiction that Annex 2.1 states is not on a tier</w:t>
      </w:r>
      <w:r>
        <w:rPr>
          <w:rFonts w:ascii="Calibri" w:eastAsia="Times New Roman" w:hAnsi="Calibri" w:cs="Calibri"/>
          <w:color w:val="222233"/>
          <w:sz w:val="21"/>
          <w:szCs w:val="21"/>
        </w:rPr>
        <w:t>, for which the cost is provisional until a schedule is agreed; thereafter Founders1 may change them on 60 days' notice. Where a register or route changes its own fees, Founders1 may adjust the affected jurisdiction on 30 days' notice, evidencing the change; STP may then terminate that jurisdiction within 14 days of the notice.</w:t>
      </w:r>
    </w:p>
    <w:p w14:paraId="104F540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4E5640C4"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Where Founders1 declines or aborts a Case under clause 7.4 before procurement, nothing is charged. Where a Case is procured and the register holds no such document, so that the answer is a definitive „not available“, STP pays the procurement cost for that jurisdiction; no share arises. Where a Case fails for reasons within Founders1's control, nothing is charged. Amounts payable under this clause are reimbursements and do not count towards the minimum in clause 8.4.</w:t>
      </w:r>
    </w:p>
    <w:p w14:paraId="5DFF84F4" w14:textId="77777777" w:rsidR="0002199C" w:rsidRDefault="0002199C">
      <w:pPr>
        <w:pStyle w:val="berschrift2"/>
        <w:rPr>
          <w:rFonts w:eastAsia="Times New Roman"/>
        </w:rPr>
      </w:pPr>
      <w:bookmarkStart w:id="10" w:name="_Toc240373524"/>
      <w:r>
        <w:rPr>
          <w:rFonts w:eastAsia="Times New Roman"/>
        </w:rPr>
        <w:t>9 STP's obligations</w:t>
      </w:r>
      <w:bookmarkEnd w:id="10"/>
    </w:p>
    <w:p w14:paraId="2E9C781B"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43B87A20"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Pass-through.</w:t>
      </w:r>
      <w:r>
        <w:rPr>
          <w:rFonts w:ascii="Calibri" w:eastAsia="Times New Roman" w:hAnsi="Calibri" w:cs="Calibri"/>
          <w:color w:val="222233"/>
          <w:sz w:val="21"/>
          <w:szCs w:val="21"/>
        </w:rPr>
        <w:t xml:space="preserve"> STP ensures that its terms with each End Client include, in substance, the terms set out in </w:t>
      </w:r>
      <w:r>
        <w:rPr>
          <w:rStyle w:val="Fett"/>
          <w:rFonts w:ascii="Calibri" w:eastAsia="Times New Roman" w:hAnsi="Calibri" w:cs="Calibri"/>
          <w:color w:val="222233"/>
          <w:sz w:val="21"/>
          <w:szCs w:val="21"/>
        </w:rPr>
        <w:t>Annex 5</w:t>
      </w:r>
      <w:r>
        <w:rPr>
          <w:rFonts w:ascii="Calibri" w:eastAsia="Times New Roman" w:hAnsi="Calibri" w:cs="Calibri"/>
          <w:color w:val="222233"/>
          <w:sz w:val="21"/>
          <w:szCs w:val="21"/>
        </w:rPr>
        <w:t>, and grants no End Client rights exceeding clause 3.5. STP is free to choose its own wording and to include those terms in its general terms of business; it does not have to reproduce Annex 5 verbatim or disclose this Agreement. Annex 5 obliges STP; it creates no direct contractual relationship between Founders1 and an End Client.</w:t>
      </w:r>
    </w:p>
    <w:p w14:paraId="1732010F"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745F5159"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07C0A651"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04B922F5"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4D7EC6F4"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13A35017"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7B4446D6"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055E80B3"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w:t>
      </w:r>
      <w:r>
        <w:rPr>
          <w:rFonts w:ascii="Calibri" w:eastAsia="Times New Roman" w:hAnsi="Calibri" w:cs="Calibri"/>
          <w:color w:val="222233"/>
          <w:sz w:val="21"/>
          <w:szCs w:val="21"/>
        </w:rPr>
        <w:t>s1 will consider such a request in good faith, and will not unreasonably refuse what the End Client's supervisory position genuinely requires. Towards the End Client,</w:t>
      </w:r>
      <w:r>
        <w:rPr>
          <w:rFonts w:ascii="Calibri" w:eastAsia="Times New Roman" w:hAnsi="Calibri" w:cs="Calibri"/>
          <w:color w:val="222233"/>
          <w:sz w:val="21"/>
          <w:szCs w:val="21"/>
        </w:rPr>
        <w:t xml:space="preserve">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157BF75F"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4FCDAEA9"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20B2573F" w14:textId="77777777" w:rsidR="0002199C" w:rsidRDefault="0002199C">
      <w:pPr>
        <w:pStyle w:val="berschrift2"/>
        <w:rPr>
          <w:rFonts w:eastAsia="Times New Roman"/>
        </w:rPr>
      </w:pPr>
      <w:bookmarkStart w:id="11" w:name="_Toc240373525"/>
      <w:r>
        <w:rPr>
          <w:rFonts w:eastAsia="Times New Roman"/>
        </w:rPr>
        <w:t>10 Data protection</w:t>
      </w:r>
      <w:bookmarkEnd w:id="11"/>
    </w:p>
    <w:p w14:paraId="74C9DB28"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7EE99479"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61F1EB6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18E0BB97"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00895C49"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30A61A7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6F52E934"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5AC9534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88CDC3A" w14:textId="77777777" w:rsidR="0002199C" w:rsidRDefault="0002199C">
      <w:pPr>
        <w:pStyle w:val="berschrift2"/>
        <w:rPr>
          <w:rFonts w:eastAsia="Times New Roman"/>
        </w:rPr>
      </w:pPr>
      <w:bookmarkStart w:id="12" w:name="_Toc240373526"/>
      <w:r>
        <w:rPr>
          <w:rFonts w:eastAsia="Times New Roman"/>
        </w:rPr>
        <w:t>11 Confidentiality</w:t>
      </w:r>
      <w:bookmarkEnd w:id="12"/>
    </w:p>
    <w:p w14:paraId="4EE98C9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70C254F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w:t>
      </w:r>
      <w:r>
        <w:rPr>
          <w:rFonts w:ascii="Calibri" w:hAnsi="Calibri" w:cs="Calibri"/>
          <w:color w:val="222233"/>
          <w:sz w:val="21"/>
          <w:szCs w:val="21"/>
        </w:rPr>
        <w:t>thereafter. The procurement costs in Annex 2.1, and the information covered by clause 6.1, are confidential.</w:t>
      </w:r>
    </w:p>
    <w:p w14:paraId="6A41793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6CD420E6"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20FF034E" w14:textId="77777777" w:rsidR="0002199C" w:rsidRDefault="0002199C">
      <w:pPr>
        <w:pStyle w:val="berschrift2"/>
        <w:rPr>
          <w:rFonts w:eastAsia="Times New Roman"/>
        </w:rPr>
      </w:pPr>
      <w:bookmarkStart w:id="13" w:name="_Toc240373527"/>
      <w:r>
        <w:rPr>
          <w:rFonts w:eastAsia="Times New Roman"/>
        </w:rPr>
        <w:t>12 Warranty</w:t>
      </w:r>
      <w:bookmarkEnd w:id="13"/>
    </w:p>
    <w:p w14:paraId="722E829A"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7D5541C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Founders1 warrants that it procures with professional diligence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w:t>
      </w:r>
      <w:r>
        <w:rPr>
          <w:rFonts w:ascii="Calibri" w:hAnsi="Calibri" w:cs="Calibri"/>
          <w:color w:val="222233"/>
          <w:sz w:val="21"/>
          <w:szCs w:val="21"/>
        </w:rPr>
        <w:t>delivered with each Document — source reference, retrieval date, content date, evidence level, version — is accurate.</w:t>
      </w:r>
    </w:p>
    <w:p w14:paraId="4AC98EF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317E7691"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Founders1 does </w:t>
      </w:r>
      <w:r>
        <w:rPr>
          <w:rStyle w:val="Fett"/>
          <w:rFonts w:ascii="Calibri" w:hAnsi="Calibri" w:cs="Calibri"/>
          <w:color w:val="222233"/>
          <w:sz w:val="21"/>
          <w:szCs w:val="21"/>
        </w:rPr>
        <w:t>not</w:t>
      </w:r>
      <w:r>
        <w:rPr>
          <w:rFonts w:ascii="Calibri" w:hAnsi="Calibri" w:cs="Calibri"/>
          <w:color w:val="222233"/>
          <w:sz w:val="21"/>
          <w:szCs w:val="21"/>
        </w:rPr>
        <w:t xml:space="preserve"> warrant the accuracy, completeness or currency of the content of the register itself, nor that a given document exists in a given jurisdiction or for a given legal form. What is owed is the classification and the answer set out in Annex 1, including the answer “not available”.</w:t>
      </w:r>
    </w:p>
    <w:p w14:paraId="5B977489"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5C5EA02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 defect exists where a Document does not correspond to the order or to its provenance metadata. Founders1 remedies it by re-procuring at no charge or by crediting the price of the Case.</w:t>
      </w:r>
    </w:p>
    <w:p w14:paraId="35321590"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5D720DA7"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7B829F6C" w14:textId="77777777" w:rsidR="0002199C" w:rsidRDefault="0002199C">
      <w:pPr>
        <w:pStyle w:val="berschrift2"/>
        <w:rPr>
          <w:rFonts w:eastAsia="Times New Roman"/>
        </w:rPr>
      </w:pPr>
      <w:bookmarkStart w:id="14" w:name="_Toc240373528"/>
      <w:r>
        <w:rPr>
          <w:rFonts w:eastAsia="Times New Roman"/>
        </w:rPr>
        <w:t>13 Liability</w:t>
      </w:r>
      <w:bookmarkEnd w:id="14"/>
    </w:p>
    <w:p w14:paraId="5D2AF7AE"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546CBB61"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6A5D6B07"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1CDFCFE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r>
        <w:rPr>
          <w:rStyle w:val="Fett"/>
          <w:rFonts w:ascii="Calibri" w:hAnsi="Calibri" w:cs="Calibri"/>
          <w:color w:val="222233"/>
          <w:sz w:val="21"/>
          <w:szCs w:val="21"/>
        </w:rPr>
        <w:t>Founders1's share under clause 8.2 in the preceding twelve months</w:t>
      </w:r>
      <w:r>
        <w:rPr>
          <w:rFonts w:ascii="Calibri" w:hAnsi="Calibri" w:cs="Calibri"/>
          <w:color w:val="222233"/>
          <w:sz w:val="21"/>
          <w:szCs w:val="21"/>
        </w:rPr>
        <w:t>. Procurement cost reimbursed to Founders1 under clauses 8.2, 8.3 and 8.7 is a pass-through of third-party cost and does not form part of that amount.</w:t>
      </w:r>
    </w:p>
    <w:p w14:paraId="5136802B"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32DFC98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4E4282E7" w14:textId="77777777" w:rsidR="0002199C" w:rsidRDefault="0002199C">
      <w:pPr>
        <w:pStyle w:val="berschrift2"/>
        <w:rPr>
          <w:rFonts w:eastAsia="Times New Roman"/>
        </w:rPr>
      </w:pPr>
      <w:bookmarkStart w:id="15" w:name="_Toc240373529"/>
      <w:r>
        <w:rPr>
          <w:rFonts w:eastAsia="Times New Roman"/>
        </w:rPr>
        <w:t>14 Term and termination</w:t>
      </w:r>
      <w:bookmarkEnd w:id="15"/>
    </w:p>
    <w:p w14:paraId="68A4A95D"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10023FA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an initial term of </w:t>
      </w:r>
      <w:r>
        <w:rPr>
          <w:rStyle w:val="Fett"/>
          <w:rFonts w:ascii="Calibri" w:hAnsi="Calibri" w:cs="Calibri"/>
          <w:color w:val="222233"/>
          <w:sz w:val="21"/>
          <w:szCs w:val="21"/>
        </w:rPr>
        <w:t>24 months</w:t>
      </w:r>
      <w:r>
        <w:rPr>
          <w:rFonts w:ascii="Calibri" w:hAnsi="Calibri" w:cs="Calibri"/>
          <w:color w:val="222233"/>
          <w:sz w:val="21"/>
          <w:szCs w:val="21"/>
        </w:rPr>
        <w:t>. It renews by 12 months at a time unless terminated with three months' notice to the end of a term.</w:t>
      </w:r>
    </w:p>
    <w:p w14:paraId="41500471"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35C72DA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353042C1"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177DB816"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Founders1 permanently loses the ability to procure in a jurisdiction, it notifies STP without undue delay and that jurisdiction falls away; STP owes nothing further for it. Where this affects jurisdictions accounting for more than half of the Cases placed in the preceding six months, either party may terminate this Agreement on 30 days' notice, and the minimum under clause 8.4 does not accrue after that notice.</w:t>
      </w:r>
    </w:p>
    <w:p w14:paraId="4D0BF2E4"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5E71F8E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STP may export its Case records for 90 days. Clauses 5, 6, 10, 11 and 13 survive, clauses 5.2 and 6.1 for the periods stated in them.</w:t>
      </w:r>
    </w:p>
    <w:p w14:paraId="5567B61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06C0DB29"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2FA468B8" w14:textId="77777777" w:rsidR="0002199C" w:rsidRDefault="0002199C">
      <w:pPr>
        <w:pStyle w:val="berschrift2"/>
        <w:rPr>
          <w:rFonts w:eastAsia="Times New Roman"/>
        </w:rPr>
      </w:pPr>
      <w:bookmarkStart w:id="16" w:name="_Toc240373530"/>
      <w:r>
        <w:rPr>
          <w:rFonts w:eastAsia="Times New Roman"/>
        </w:rPr>
        <w:t>15 Final provisions</w:t>
      </w:r>
      <w:bookmarkEnd w:id="16"/>
    </w:p>
    <w:p w14:paraId="515236DB"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5A0F4B7F"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17D01C1C"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25D310E6"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D3C2045"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76AED34D"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2BED21D1"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433717AE"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3394565D"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5CC1F3B1"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17AEB933"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2503A296"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17810BCB"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4CAE202B"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4F14FF04"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73881DC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47EB7FFC"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3099C9F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16E65716"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1DA7A39D" w14:textId="77777777" w:rsidR="0002199C" w:rsidRDefault="0002199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w:t>
      </w:r>
      <w:r>
        <w:rPr>
          <w:rFonts w:ascii="Calibri" w:eastAsia="Times New Roman" w:hAnsi="Calibri" w:cs="Calibri"/>
          <w:color w:val="222233"/>
          <w:sz w:val="21"/>
          <w:szCs w:val="21"/>
        </w:rPr>
        <w:t>the term or on termination; information about End Clients transmitted under clause 8.5 serves settlement and audit only, is limited to STP's own references rather than End Client names (clause 8.5), and is subject to clauses 6.2 and 6.2a.</w:t>
      </w:r>
    </w:p>
    <w:p w14:paraId="433C6F7D" w14:textId="77777777" w:rsidR="0002199C" w:rsidRDefault="0002199C">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008DE3C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5E6738AE"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38F655B0"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5D420426"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48A5FD05"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2E89324"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4F619C40"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6EB42AB9"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10D7F57E"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47F1A708" w14:textId="77777777" w:rsidR="0002199C" w:rsidRDefault="0002199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1CA1C9F5" w14:textId="77777777" w:rsidR="0002199C" w:rsidRDefault="0002199C">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05CD6CA3" w14:textId="77777777" w:rsidR="0002199C" w:rsidRDefault="0002199C">
      <w:pPr>
        <w:pStyle w:val="berschrift2"/>
        <w:rPr>
          <w:rFonts w:eastAsia="Times New Roman"/>
        </w:rPr>
      </w:pPr>
      <w:bookmarkStart w:id="17" w:name="_Toc240373531"/>
      <w:r>
        <w:rPr>
          <w:rFonts w:eastAsia="Times New Roman"/>
        </w:rPr>
        <w:t>Signatures</w:t>
      </w:r>
      <w:bookmarkEnd w:id="17"/>
    </w:p>
    <w:p w14:paraId="34CD5845"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GmbH</w:t>
      </w:r>
    </w:p>
    <w:p w14:paraId="44C02B9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w:t>
      </w:r>
    </w:p>
    <w:p w14:paraId="1B55994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3DE6D718" w14:textId="77777777" w:rsidR="0002199C" w:rsidRDefault="0002199C">
      <w:pPr>
        <w:pStyle w:val="meta"/>
        <w:rPr>
          <w:rFonts w:ascii="Calibri" w:hAnsi="Calibri" w:cs="Calibri"/>
        </w:rPr>
      </w:pPr>
      <w:r>
        <w:rPr>
          <w:rFonts w:ascii="Calibri" w:hAnsi="Calibri" w:cs="Calibri"/>
        </w:rPr>
        <w:t>Place, date, signature — Eckhard Ortwein</w:t>
      </w:r>
    </w:p>
    <w:p w14:paraId="5BD68F6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5149556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w:t>
      </w:r>
    </w:p>
    <w:p w14:paraId="055D9C6C"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73468C76" w14:textId="77777777" w:rsidR="0002199C" w:rsidRDefault="0002199C">
      <w:pPr>
        <w:pStyle w:val="meta"/>
        <w:rPr>
          <w:rFonts w:ascii="Calibri" w:hAnsi="Calibri" w:cs="Calibri"/>
        </w:rPr>
      </w:pPr>
      <w:r>
        <w:rPr>
          <w:rFonts w:ascii="Calibri" w:hAnsi="Calibri" w:cs="Calibri"/>
        </w:rPr>
        <w:t>Place, date, signature</w:t>
      </w:r>
    </w:p>
    <w:p w14:paraId="748771AA"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0B208F0E" w14:textId="77777777" w:rsidR="0002199C" w:rsidRDefault="0002199C">
      <w:pPr>
        <w:pStyle w:val="kicker"/>
        <w:rPr>
          <w:rFonts w:ascii="Calibri" w:hAnsi="Calibri" w:cs="Calibri"/>
        </w:rPr>
      </w:pPr>
      <w:r>
        <w:rPr>
          <w:rFonts w:ascii="Calibri" w:hAnsi="Calibri" w:cs="Calibri"/>
        </w:rPr>
        <w:t>Annex 1 to the Reseller Agreement</w:t>
      </w:r>
    </w:p>
    <w:p w14:paraId="7B1CCF25" w14:textId="77777777" w:rsidR="0002199C" w:rsidRDefault="0002199C">
      <w:pPr>
        <w:pStyle w:val="berschrift1"/>
        <w:rPr>
          <w:rFonts w:eastAsia="Times New Roman"/>
        </w:rPr>
      </w:pPr>
      <w:bookmarkStart w:id="18" w:name="_Toc240373532"/>
      <w:r>
        <w:rPr>
          <w:rFonts w:eastAsia="Times New Roman"/>
        </w:rPr>
        <w:t>Service description and reseller use</w:t>
      </w:r>
      <w:bookmarkEnd w:id="18"/>
    </w:p>
    <w:p w14:paraId="1B43AE16" w14:textId="77777777" w:rsidR="0002199C" w:rsidRDefault="0002199C">
      <w:pPr>
        <w:pStyle w:val="meta"/>
        <w:rPr>
          <w:rFonts w:ascii="Calibri" w:hAnsi="Calibri" w:cs="Calibri"/>
        </w:rPr>
      </w:pPr>
      <w:r>
        <w:rPr>
          <w:rFonts w:ascii="Calibri" w:hAnsi="Calibri" w:cs="Calibri"/>
        </w:rPr>
        <w:t>Founders1 GmbH — STP Business Information GmbH · Draft, 14 September 2026</w:t>
      </w:r>
    </w:p>
    <w:p w14:paraId="0E7A4E59" w14:textId="77777777" w:rsidR="0002199C" w:rsidRDefault="0002199C">
      <w:pPr>
        <w:pStyle w:val="berschrift2"/>
        <w:rPr>
          <w:rFonts w:eastAsia="Times New Roman"/>
        </w:rPr>
      </w:pPr>
      <w:bookmarkStart w:id="19" w:name="_Toc240373533"/>
      <w:r>
        <w:rPr>
          <w:rFonts w:eastAsia="Times New Roman"/>
        </w:rPr>
        <w:t>1.1 What the service provides</w:t>
      </w:r>
      <w:bookmarkEnd w:id="19"/>
    </w:p>
    <w:p w14:paraId="051C6355"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2D1B73CB" w14:textId="77777777" w:rsidR="0002199C" w:rsidRDefault="0002199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11360A44" w14:textId="77777777" w:rsidR="0002199C" w:rsidRDefault="0002199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61348C2C" w14:textId="77777777" w:rsidR="0002199C" w:rsidRDefault="0002199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37F25A0A" w14:textId="77777777" w:rsidR="0002199C" w:rsidRDefault="0002199C">
      <w:pPr>
        <w:pStyle w:val="berschrift2"/>
        <w:rPr>
          <w:rFonts w:eastAsia="Times New Roman"/>
        </w:rPr>
      </w:pPr>
      <w:bookmarkStart w:id="20" w:name="_Toc240373534"/>
      <w:r>
        <w:rPr>
          <w:rFonts w:eastAsia="Times New Roman"/>
        </w:rPr>
        <w:t>1.2 Evidence level</w:t>
      </w:r>
      <w:bookmarkEnd w:id="20"/>
    </w:p>
    <w:p w14:paraId="6774F43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000000" w14:paraId="2B5B8F19" w14:textId="77777777">
        <w:trPr>
          <w:tblHeader/>
        </w:trPr>
        <w:tc>
          <w:tcPr>
            <w:tcW w:w="0" w:type="auto"/>
            <w:shd w:val="clear" w:color="auto" w:fill="1A2340"/>
            <w:tcMar>
              <w:top w:w="80" w:type="dxa"/>
              <w:left w:w="120" w:type="dxa"/>
              <w:bottom w:w="80" w:type="dxa"/>
              <w:right w:w="120" w:type="dxa"/>
            </w:tcMar>
            <w:vAlign w:val="center"/>
            <w:hideMark/>
          </w:tcPr>
          <w:p w14:paraId="0CCADAB9"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5D35A9C5"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6EBEDE1A"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000000" w14:paraId="67341E65" w14:textId="77777777">
        <w:tc>
          <w:tcPr>
            <w:tcW w:w="0" w:type="auto"/>
            <w:tcBorders>
              <w:bottom w:val="single" w:sz="4" w:space="0" w:color="E5E7EB"/>
            </w:tcBorders>
            <w:tcMar>
              <w:top w:w="80" w:type="dxa"/>
              <w:left w:w="120" w:type="dxa"/>
              <w:bottom w:w="80" w:type="dxa"/>
              <w:right w:w="120" w:type="dxa"/>
            </w:tcMar>
            <w:hideMark/>
          </w:tcPr>
          <w:p w14:paraId="728D6B1A"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3652A70D"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1BDF7910"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000000" w14:paraId="42E89F72" w14:textId="77777777">
        <w:tc>
          <w:tcPr>
            <w:tcW w:w="0" w:type="auto"/>
            <w:tcBorders>
              <w:bottom w:val="single" w:sz="4" w:space="0" w:color="E5E7EB"/>
            </w:tcBorders>
            <w:tcMar>
              <w:top w:w="80" w:type="dxa"/>
              <w:left w:w="120" w:type="dxa"/>
              <w:bottom w:w="80" w:type="dxa"/>
              <w:right w:w="120" w:type="dxa"/>
            </w:tcMar>
            <w:hideMark/>
          </w:tcPr>
          <w:p w14:paraId="557F02C0"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04995579"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0970AEA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000000" w14:paraId="25952F80" w14:textId="77777777">
        <w:tc>
          <w:tcPr>
            <w:tcW w:w="0" w:type="auto"/>
            <w:tcBorders>
              <w:bottom w:val="single" w:sz="4" w:space="0" w:color="E5E7EB"/>
            </w:tcBorders>
            <w:tcMar>
              <w:top w:w="80" w:type="dxa"/>
              <w:left w:w="120" w:type="dxa"/>
              <w:bottom w:w="80" w:type="dxa"/>
              <w:right w:w="120" w:type="dxa"/>
            </w:tcMar>
            <w:hideMark/>
          </w:tcPr>
          <w:p w14:paraId="7139B86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4E63EEA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6AC869F1"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674BF92B" w14:textId="77777777" w:rsidR="0002199C" w:rsidRDefault="0002199C">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68A2E53F" w14:textId="77777777" w:rsidR="0002199C" w:rsidRDefault="0002199C">
      <w:pPr>
        <w:pStyle w:val="berschrift2"/>
        <w:rPr>
          <w:rFonts w:eastAsia="Times New Roman"/>
        </w:rPr>
      </w:pPr>
      <w:bookmarkStart w:id="21" w:name="_Toc240373535"/>
      <w:r>
        <w:rPr>
          <w:rFonts w:eastAsia="Times New Roman"/>
        </w:rPr>
        <w:t>1.3 Availability</w:t>
      </w:r>
      <w:bookmarkEnd w:id="21"/>
    </w:p>
    <w:p w14:paraId="4C41A10A"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000000" w14:paraId="63B51D4F" w14:textId="77777777">
        <w:trPr>
          <w:tblHeader/>
        </w:trPr>
        <w:tc>
          <w:tcPr>
            <w:tcW w:w="0" w:type="auto"/>
            <w:shd w:val="clear" w:color="auto" w:fill="1A2340"/>
            <w:tcMar>
              <w:top w:w="80" w:type="dxa"/>
              <w:left w:w="120" w:type="dxa"/>
              <w:bottom w:w="80" w:type="dxa"/>
              <w:right w:w="120" w:type="dxa"/>
            </w:tcMar>
            <w:vAlign w:val="center"/>
            <w:hideMark/>
          </w:tcPr>
          <w:p w14:paraId="0CCBDFD7"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04570178"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18DFFB37"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000000" w14:paraId="11FF8BB9" w14:textId="77777777">
        <w:tc>
          <w:tcPr>
            <w:tcW w:w="0" w:type="auto"/>
            <w:tcBorders>
              <w:bottom w:val="single" w:sz="4" w:space="0" w:color="E5E7EB"/>
            </w:tcBorders>
            <w:tcMar>
              <w:top w:w="80" w:type="dxa"/>
              <w:left w:w="120" w:type="dxa"/>
              <w:bottom w:w="80" w:type="dxa"/>
              <w:right w:w="120" w:type="dxa"/>
            </w:tcMar>
            <w:hideMark/>
          </w:tcPr>
          <w:p w14:paraId="36323F9C"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40BF0A54"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7BFC1D5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6E1282C6" w14:textId="77777777">
        <w:tc>
          <w:tcPr>
            <w:tcW w:w="0" w:type="auto"/>
            <w:tcBorders>
              <w:bottom w:val="single" w:sz="4" w:space="0" w:color="E5E7EB"/>
            </w:tcBorders>
            <w:tcMar>
              <w:top w:w="80" w:type="dxa"/>
              <w:left w:w="120" w:type="dxa"/>
              <w:bottom w:w="80" w:type="dxa"/>
              <w:right w:w="120" w:type="dxa"/>
            </w:tcMar>
            <w:hideMark/>
          </w:tcPr>
          <w:p w14:paraId="139FF354"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7A469D0D"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0203FD21"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000000" w14:paraId="49E0A79C" w14:textId="77777777">
        <w:tc>
          <w:tcPr>
            <w:tcW w:w="0" w:type="auto"/>
            <w:tcBorders>
              <w:bottom w:val="single" w:sz="4" w:space="0" w:color="E5E7EB"/>
            </w:tcBorders>
            <w:tcMar>
              <w:top w:w="80" w:type="dxa"/>
              <w:left w:w="120" w:type="dxa"/>
              <w:bottom w:w="80" w:type="dxa"/>
              <w:right w:w="120" w:type="dxa"/>
            </w:tcMar>
            <w:hideMark/>
          </w:tcPr>
          <w:p w14:paraId="572FD114"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6074D371"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7CE0747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7FF13C93" w14:textId="77777777">
        <w:tc>
          <w:tcPr>
            <w:tcW w:w="0" w:type="auto"/>
            <w:tcBorders>
              <w:bottom w:val="single" w:sz="4" w:space="0" w:color="E5E7EB"/>
            </w:tcBorders>
            <w:tcMar>
              <w:top w:w="80" w:type="dxa"/>
              <w:left w:w="120" w:type="dxa"/>
              <w:bottom w:w="80" w:type="dxa"/>
              <w:right w:w="120" w:type="dxa"/>
            </w:tcMar>
            <w:hideMark/>
          </w:tcPr>
          <w:p w14:paraId="4A8AF64B"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5017874B"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31AE1F3D"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64ADD64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7C032E65"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2117E483" w14:textId="77777777" w:rsidR="0002199C" w:rsidRDefault="0002199C">
      <w:pPr>
        <w:pStyle w:val="berschrift2"/>
        <w:rPr>
          <w:rFonts w:eastAsia="Times New Roman"/>
        </w:rPr>
      </w:pPr>
      <w:bookmarkStart w:id="22" w:name="_Toc240373536"/>
      <w:r>
        <w:rPr>
          <w:rFonts w:eastAsia="Times New Roman"/>
        </w:rPr>
        <w:t>1.4 How STP uses the service with its clients</w:t>
      </w:r>
      <w:bookmarkEnd w:id="22"/>
    </w:p>
    <w:p w14:paraId="2CA626F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7D31C677" w14:textId="77777777" w:rsidR="0002199C" w:rsidRDefault="0002199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opens a case: jurisdiction, legal form, company identifiers and the document kinds required.</w:t>
      </w:r>
    </w:p>
    <w:p w14:paraId="7997C348" w14:textId="77777777" w:rsidR="0002199C" w:rsidRDefault="0002199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4E2B8B54" w14:textId="77777777" w:rsidR="0002199C" w:rsidRDefault="0002199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778CFE30" w14:textId="77777777" w:rsidR="0002199C" w:rsidRDefault="0002199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77006E1F" w14:textId="77777777" w:rsidR="0002199C" w:rsidRDefault="0002199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668D90AC" w14:textId="77777777" w:rsidR="0002199C" w:rsidRDefault="0002199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5FF40899" w14:textId="77777777" w:rsidR="0002199C" w:rsidRDefault="0002199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2FFAC7ED" w14:textId="77777777" w:rsidR="0002199C" w:rsidRDefault="0002199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them in the client's file. Case and document identifiers are BetterCo identifiers and stay stable across a change of source.</w:t>
      </w:r>
    </w:p>
    <w:p w14:paraId="42D4899E" w14:textId="77777777" w:rsidR="0002199C" w:rsidRDefault="0002199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Where a document of the required kind is already held for that company and still current, it is re-served without a new procurement and without a new charge. Founders1 determines the currency criteria per jurisdiction and document kind and notifies them to STP.</w:t>
      </w:r>
    </w:p>
    <w:p w14:paraId="6EB046EA" w14:textId="77777777" w:rsidR="0002199C" w:rsidRDefault="0002199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7B9D7B03"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6385139B" w14:textId="77777777" w:rsidR="0002199C" w:rsidRDefault="0002199C">
      <w:pPr>
        <w:pStyle w:val="kicker"/>
        <w:rPr>
          <w:rFonts w:ascii="Calibri" w:hAnsi="Calibri" w:cs="Calibri"/>
        </w:rPr>
      </w:pPr>
      <w:r>
        <w:rPr>
          <w:rFonts w:ascii="Calibri" w:hAnsi="Calibri" w:cs="Calibri"/>
        </w:rPr>
        <w:t>Annex 2 to the Reseller Agreement</w:t>
      </w:r>
    </w:p>
    <w:p w14:paraId="034E0258" w14:textId="77777777" w:rsidR="0002199C" w:rsidRDefault="0002199C">
      <w:pPr>
        <w:pStyle w:val="berschrift1"/>
        <w:rPr>
          <w:rFonts w:eastAsia="Times New Roman"/>
        </w:rPr>
      </w:pPr>
      <w:bookmarkStart w:id="23" w:name="_Toc240373537"/>
      <w:r>
        <w:rPr>
          <w:rFonts w:eastAsia="Times New Roman"/>
        </w:rPr>
        <w:t>Jurisdictions, prices and end-client rights</w:t>
      </w:r>
      <w:bookmarkEnd w:id="23"/>
    </w:p>
    <w:p w14:paraId="62BCA60F" w14:textId="77777777" w:rsidR="0002199C" w:rsidRDefault="0002199C">
      <w:pPr>
        <w:pStyle w:val="meta"/>
        <w:rPr>
          <w:rFonts w:ascii="Calibri" w:hAnsi="Calibri" w:cs="Calibri"/>
        </w:rPr>
      </w:pPr>
      <w:r>
        <w:rPr>
          <w:rFonts w:ascii="Calibri" w:hAnsi="Calibri" w:cs="Calibri"/>
        </w:rPr>
        <w:t>Founders1 GmbH — STP Business Information GmbH · Draft, 14 September 2026</w:t>
      </w:r>
    </w:p>
    <w:p w14:paraId="7A3B8136" w14:textId="77777777" w:rsidR="0002199C" w:rsidRDefault="0002199C">
      <w:pPr>
        <w:pStyle w:val="berschrift2"/>
        <w:rPr>
          <w:rFonts w:eastAsia="Times New Roman"/>
        </w:rPr>
      </w:pPr>
      <w:bookmarkStart w:id="24" w:name="_Toc240373538"/>
      <w:r>
        <w:rPr>
          <w:rFonts w:eastAsia="Times New Roman"/>
        </w:rPr>
        <w:t>2.1 Price tiers</w:t>
      </w:r>
      <w:bookmarkEnd w:id="24"/>
    </w:p>
    <w:p w14:paraId="57D8FDCF"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3A8DDE84"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w:t>
      </w:r>
      <w:r>
        <w:rPr>
          <w:rFonts w:ascii="Calibri" w:hAnsi="Calibri" w:cs="Calibri"/>
          <w:color w:val="222233"/>
          <w:sz w:val="21"/>
          <w:szCs w:val="21"/>
        </w:rPr>
        <w:t xml:space="preserve">per case for each tier is set out below. Where this Agreement refers to „the procurement cost for that jurisdiction“, it means the amount stated here for the tier to which Annex 2.2 assigns that jurisdiction. The amounts are </w:t>
      </w:r>
      <w:r>
        <w:rPr>
          <w:rStyle w:val="Fett"/>
          <w:rFonts w:ascii="Calibri" w:hAnsi="Calibri" w:cs="Calibri"/>
          <w:color w:val="222233"/>
          <w:sz w:val="21"/>
          <w:szCs w:val="21"/>
        </w:rPr>
        <w:t>changed only under clause 8.6</w:t>
      </w:r>
      <w:r>
        <w:rPr>
          <w:rFonts w:ascii="Calibri" w:hAnsi="Calibri" w:cs="Calibri"/>
          <w:color w:val="222233"/>
          <w:sz w:val="21"/>
          <w:szCs w:val="21"/>
        </w:rPr>
        <w:t>: not before twelve months have run, then on 60 days' notice, and for a change in a register's own fees only on 30 days' notice with evidence of the change and STP's right to terminate the affected jurisdiction.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939"/>
        <w:gridCol w:w="2688"/>
        <w:gridCol w:w="3773"/>
        <w:gridCol w:w="2012"/>
      </w:tblGrid>
      <w:tr w:rsidR="00000000" w14:paraId="786E5015" w14:textId="77777777">
        <w:trPr>
          <w:tblHeader/>
        </w:trPr>
        <w:tc>
          <w:tcPr>
            <w:tcW w:w="0" w:type="auto"/>
            <w:shd w:val="clear" w:color="auto" w:fill="1A2340"/>
            <w:tcMar>
              <w:top w:w="80" w:type="dxa"/>
              <w:left w:w="120" w:type="dxa"/>
              <w:bottom w:w="80" w:type="dxa"/>
              <w:right w:w="120" w:type="dxa"/>
            </w:tcMar>
            <w:vAlign w:val="center"/>
            <w:hideMark/>
          </w:tcPr>
          <w:p w14:paraId="6F9E5281"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27D015ED"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74E5F0B3"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List price (for information)</w:t>
            </w:r>
          </w:p>
        </w:tc>
        <w:tc>
          <w:tcPr>
            <w:tcW w:w="0" w:type="auto"/>
            <w:shd w:val="clear" w:color="auto" w:fill="1A2340"/>
            <w:tcMar>
              <w:top w:w="80" w:type="dxa"/>
              <w:left w:w="120" w:type="dxa"/>
              <w:bottom w:w="80" w:type="dxa"/>
              <w:right w:w="120" w:type="dxa"/>
            </w:tcMar>
            <w:vAlign w:val="center"/>
            <w:hideMark/>
          </w:tcPr>
          <w:p w14:paraId="344FE76F"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000000" w14:paraId="23707030" w14:textId="77777777">
        <w:tc>
          <w:tcPr>
            <w:tcW w:w="0" w:type="auto"/>
            <w:tcBorders>
              <w:bottom w:val="single" w:sz="4" w:space="0" w:color="E5E7EB"/>
            </w:tcBorders>
            <w:tcMar>
              <w:top w:w="80" w:type="dxa"/>
              <w:left w:w="120" w:type="dxa"/>
              <w:bottom w:w="80" w:type="dxa"/>
              <w:right w:w="120" w:type="dxa"/>
            </w:tcMar>
            <w:hideMark/>
          </w:tcPr>
          <w:p w14:paraId="3B032FC3"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044C28A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78C150B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15,00 €</w:t>
            </w:r>
          </w:p>
        </w:tc>
        <w:tc>
          <w:tcPr>
            <w:tcW w:w="0" w:type="auto"/>
            <w:tcBorders>
              <w:bottom w:val="single" w:sz="4" w:space="0" w:color="E5E7EB"/>
            </w:tcBorders>
            <w:tcMar>
              <w:top w:w="80" w:type="dxa"/>
              <w:left w:w="120" w:type="dxa"/>
              <w:bottom w:w="80" w:type="dxa"/>
              <w:right w:w="120" w:type="dxa"/>
            </w:tcMar>
            <w:hideMark/>
          </w:tcPr>
          <w:p w14:paraId="2B42241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104</w:t>
            </w:r>
          </w:p>
        </w:tc>
      </w:tr>
      <w:tr w:rsidR="00000000" w14:paraId="242171C0" w14:textId="77777777">
        <w:tc>
          <w:tcPr>
            <w:tcW w:w="0" w:type="auto"/>
            <w:tcBorders>
              <w:bottom w:val="single" w:sz="4" w:space="0" w:color="E5E7EB"/>
            </w:tcBorders>
            <w:tcMar>
              <w:top w:w="80" w:type="dxa"/>
              <w:left w:w="120" w:type="dxa"/>
              <w:bottom w:w="80" w:type="dxa"/>
              <w:right w:w="120" w:type="dxa"/>
            </w:tcMar>
            <w:hideMark/>
          </w:tcPr>
          <w:p w14:paraId="2B8C9A62"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4C0B7D3D"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6FD06C9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35,00 €</w:t>
            </w:r>
          </w:p>
        </w:tc>
        <w:tc>
          <w:tcPr>
            <w:tcW w:w="0" w:type="auto"/>
            <w:tcBorders>
              <w:bottom w:val="single" w:sz="4" w:space="0" w:color="E5E7EB"/>
            </w:tcBorders>
            <w:tcMar>
              <w:top w:w="80" w:type="dxa"/>
              <w:left w:w="120" w:type="dxa"/>
              <w:bottom w:w="80" w:type="dxa"/>
              <w:right w:w="120" w:type="dxa"/>
            </w:tcMar>
            <w:hideMark/>
          </w:tcPr>
          <w:p w14:paraId="29E3D2F9"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35</w:t>
            </w:r>
          </w:p>
        </w:tc>
      </w:tr>
      <w:tr w:rsidR="00000000" w14:paraId="1BCFA38D" w14:textId="77777777">
        <w:tc>
          <w:tcPr>
            <w:tcW w:w="0" w:type="auto"/>
            <w:tcBorders>
              <w:bottom w:val="single" w:sz="4" w:space="0" w:color="E5E7EB"/>
            </w:tcBorders>
            <w:tcMar>
              <w:top w:w="80" w:type="dxa"/>
              <w:left w:w="120" w:type="dxa"/>
              <w:bottom w:w="80" w:type="dxa"/>
              <w:right w:w="120" w:type="dxa"/>
            </w:tcMar>
            <w:hideMark/>
          </w:tcPr>
          <w:p w14:paraId="32159DA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024EE844"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hideMark/>
          </w:tcPr>
          <w:p w14:paraId="28313A31"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70,00 €</w:t>
            </w:r>
          </w:p>
        </w:tc>
        <w:tc>
          <w:tcPr>
            <w:tcW w:w="0" w:type="auto"/>
            <w:tcBorders>
              <w:bottom w:val="single" w:sz="4" w:space="0" w:color="E5E7EB"/>
            </w:tcBorders>
            <w:tcMar>
              <w:top w:w="80" w:type="dxa"/>
              <w:left w:w="120" w:type="dxa"/>
              <w:bottom w:w="80" w:type="dxa"/>
              <w:right w:w="120" w:type="dxa"/>
            </w:tcMar>
            <w:hideMark/>
          </w:tcPr>
          <w:p w14:paraId="03923A3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000000" w14:paraId="6EB08C13" w14:textId="77777777">
        <w:tc>
          <w:tcPr>
            <w:tcW w:w="0" w:type="auto"/>
            <w:tcBorders>
              <w:bottom w:val="single" w:sz="4" w:space="0" w:color="E5E7EB"/>
            </w:tcBorders>
            <w:tcMar>
              <w:top w:w="80" w:type="dxa"/>
              <w:left w:w="120" w:type="dxa"/>
              <w:bottom w:w="80" w:type="dxa"/>
              <w:right w:w="120" w:type="dxa"/>
            </w:tcMar>
            <w:hideMark/>
          </w:tcPr>
          <w:p w14:paraId="07C216B7"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3BEE30B0"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hideMark/>
          </w:tcPr>
          <w:p w14:paraId="3BCEB158"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90,00 €</w:t>
            </w:r>
          </w:p>
        </w:tc>
        <w:tc>
          <w:tcPr>
            <w:tcW w:w="0" w:type="auto"/>
            <w:tcBorders>
              <w:bottom w:val="single" w:sz="4" w:space="0" w:color="E5E7EB"/>
            </w:tcBorders>
            <w:tcMar>
              <w:top w:w="80" w:type="dxa"/>
              <w:left w:w="120" w:type="dxa"/>
              <w:bottom w:w="80" w:type="dxa"/>
              <w:right w:w="120" w:type="dxa"/>
            </w:tcMar>
            <w:hideMark/>
          </w:tcPr>
          <w:p w14:paraId="03765BE8"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05FAA8F8"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 The list price column is shown for orientation only and is not the basis of any settlement.</w:t>
      </w:r>
    </w:p>
    <w:p w14:paraId="7C30F381" w14:textId="77777777" w:rsidR="0002199C" w:rsidRDefault="0002199C">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w:t>
      </w:r>
      <w:r>
        <w:rPr>
          <w:rFonts w:ascii="Calibri" w:hAnsi="Calibri" w:cs="Calibri"/>
          <w:color w:val="222233"/>
          <w:sz w:val="21"/>
          <w:szCs w:val="21"/>
        </w:rPr>
        <w:t>It has no single national register: company records are filed with each state, and availability is determined per state. Its cost is agreed separately and remains provisional under clause 8.6; Annex 2.2 marks it accordingly.</w:t>
      </w:r>
    </w:p>
    <w:p w14:paraId="7CFA8BA7" w14:textId="77777777" w:rsidR="0002199C" w:rsidRDefault="0002199C">
      <w:pPr>
        <w:pStyle w:val="berschrift2"/>
        <w:rPr>
          <w:rFonts w:eastAsia="Times New Roman"/>
        </w:rPr>
      </w:pPr>
      <w:bookmarkStart w:id="25" w:name="_Toc240373539"/>
      <w:r>
        <w:rPr>
          <w:rFonts w:eastAsia="Times New Roman"/>
        </w:rPr>
        <w:t>2.2 Covered jurisdictions</w:t>
      </w:r>
      <w:bookmarkEnd w:id="25"/>
    </w:p>
    <w:p w14:paraId="32CC862C"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153 jurisdictions are covered. The </w:t>
      </w:r>
      <w:r>
        <w:rPr>
          <w:rStyle w:val="chip"/>
          <w:rFonts w:ascii="Calibri" w:hAnsi="Calibri" w:cs="Calibri"/>
          <w:color w:val="222233"/>
          <w:sz w:val="21"/>
          <w:szCs w:val="21"/>
        </w:rPr>
        <w:t>highlighted</w:t>
      </w:r>
      <w:r>
        <w:rPr>
          <w:rStyle w:val="chip"/>
          <w:rFonts w:ascii="Calibri" w:hAnsi="Calibri" w:cs="Calibri"/>
          <w:b/>
          <w:bCs/>
          <w:color w:val="222233"/>
          <w:sz w:val="21"/>
          <w:szCs w:val="21"/>
        </w:rPr>
        <w:t> </w:t>
      </w:r>
      <w:r>
        <w:rPr>
          <w:rFonts w:ascii="Calibri" w:hAnsi="Calibri" w:cs="Calibri"/>
          <w:color w:val="222233"/>
          <w:sz w:val="21"/>
          <w:szCs w:val="21"/>
        </w:rPr>
        <w:t xml:space="preserve"> entries are STP's fifteen priority jurisdictions; the letter is the price tier per section 2.1, and — marks a jurisdiction priced individually.</w:t>
      </w:r>
    </w:p>
    <w:p w14:paraId="6B440D3D"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2CBCD366" w14:textId="77777777" w:rsidR="0002199C" w:rsidRDefault="0002199C">
      <w:pPr>
        <w:pStyle w:val="kicker"/>
        <w:rPr>
          <w:rFonts w:ascii="Calibri" w:hAnsi="Calibri" w:cs="Calibri"/>
        </w:rPr>
      </w:pPr>
      <w:r>
        <w:rPr>
          <w:rFonts w:ascii="Calibri" w:hAnsi="Calibri" w:cs="Calibri"/>
        </w:rPr>
        <w:t>Annex 2 to the Reseller Agreement · continued</w:t>
      </w:r>
    </w:p>
    <w:p w14:paraId="6306BBCE" w14:textId="77777777" w:rsidR="0002199C" w:rsidRDefault="0002199C">
      <w:pPr>
        <w:pStyle w:val="berschrift1"/>
        <w:rPr>
          <w:rFonts w:eastAsia="Times New Roman"/>
        </w:rPr>
      </w:pPr>
      <w:bookmarkStart w:id="26" w:name="_Toc240373540"/>
      <w:r>
        <w:rPr>
          <w:rFonts w:eastAsia="Times New Roman"/>
        </w:rPr>
        <w:t>Surcharges, turnaround and end-client rights</w:t>
      </w:r>
      <w:bookmarkEnd w:id="26"/>
    </w:p>
    <w:p w14:paraId="145FC02E" w14:textId="77777777" w:rsidR="0002199C" w:rsidRDefault="0002199C">
      <w:pPr>
        <w:pStyle w:val="berschrift2"/>
        <w:rPr>
          <w:rFonts w:eastAsia="Times New Roman"/>
        </w:rPr>
      </w:pPr>
      <w:bookmarkStart w:id="27" w:name="_Toc240373541"/>
      <w:r>
        <w:rPr>
          <w:rFonts w:eastAsia="Times New Roman"/>
        </w:rPr>
        <w:t>2.3 Surcharge for additional documents</w:t>
      </w:r>
      <w:bookmarkEnd w:id="27"/>
    </w:p>
    <w:p w14:paraId="385C5F3B"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applies on top of the case price. The surcharge differs per jurisdiction and per document kind.</w:t>
      </w:r>
    </w:p>
    <w:p w14:paraId="4ABE2EF4" w14:textId="77777777" w:rsidR="0002199C" w:rsidRDefault="0002199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7D1C1C48" w14:textId="77777777" w:rsidR="0002199C" w:rsidRDefault="0002199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3A75E799" w14:textId="77777777" w:rsidR="0002199C" w:rsidRDefault="0002199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per case. Where nothing is agreed, it is retrieved only on request.</w:t>
      </w:r>
    </w:p>
    <w:p w14:paraId="5842B2B8" w14:textId="77777777" w:rsidR="0002199C" w:rsidRDefault="0002199C">
      <w:pPr>
        <w:pStyle w:val="berschrift2"/>
        <w:rPr>
          <w:rFonts w:eastAsia="Times New Roman"/>
        </w:rPr>
      </w:pPr>
      <w:bookmarkStart w:id="28" w:name="_Toc240373542"/>
      <w:r>
        <w:rPr>
          <w:rFonts w:eastAsia="Times New Roman"/>
        </w:rPr>
        <w:t>2.4 Turnaround</w:t>
      </w:r>
      <w:bookmarkEnd w:id="28"/>
    </w:p>
    <w:p w14:paraId="11CF2A64"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539A073C" w14:textId="77777777" w:rsidR="0002199C" w:rsidRDefault="0002199C">
      <w:pPr>
        <w:pStyle w:val="berschrift2"/>
        <w:rPr>
          <w:rFonts w:eastAsia="Times New Roman"/>
        </w:rPr>
      </w:pPr>
      <w:bookmarkStart w:id="29" w:name="_Toc240373543"/>
      <w:r>
        <w:rPr>
          <w:rFonts w:eastAsia="Times New Roman"/>
        </w:rPr>
        <w:t>2.5 End-client rights</w:t>
      </w:r>
      <w:bookmarkEnd w:id="29"/>
    </w:p>
    <w:p w14:paraId="57145885"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What an End Client may and may not do with a Document is set out in </w:t>
      </w:r>
      <w:r>
        <w:rPr>
          <w:rStyle w:val="Fett"/>
          <w:rFonts w:ascii="Calibri" w:hAnsi="Calibri" w:cs="Calibri"/>
          <w:color w:val="222233"/>
          <w:sz w:val="21"/>
          <w:szCs w:val="21"/>
        </w:rPr>
        <w:t>Annex 5</w:t>
      </w:r>
      <w:r>
        <w:rPr>
          <w:rFonts w:ascii="Calibri" w:hAnsi="Calibri" w:cs="Calibri"/>
          <w:color w:val="222233"/>
          <w:sz w:val="21"/>
          <w:szCs w:val="21"/>
        </w:rPr>
        <w:t>, which also states the terms STP passes through under clause 9.1. The grant itself is in clause 3.5.</w:t>
      </w:r>
    </w:p>
    <w:p w14:paraId="4294CA59"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61237E9D" w14:textId="77777777" w:rsidR="0002199C" w:rsidRDefault="0002199C">
      <w:pPr>
        <w:pStyle w:val="kicker"/>
        <w:rPr>
          <w:rFonts w:ascii="Calibri" w:hAnsi="Calibri" w:cs="Calibri"/>
        </w:rPr>
      </w:pPr>
      <w:r>
        <w:rPr>
          <w:rFonts w:ascii="Calibri" w:hAnsi="Calibri" w:cs="Calibri"/>
        </w:rPr>
        <w:t>Annex 3 to the Reseller Agreement</w:t>
      </w:r>
    </w:p>
    <w:p w14:paraId="29BD3569" w14:textId="77777777" w:rsidR="0002199C" w:rsidRDefault="0002199C">
      <w:pPr>
        <w:pStyle w:val="berschrift1"/>
        <w:rPr>
          <w:rFonts w:eastAsia="Times New Roman"/>
        </w:rPr>
      </w:pPr>
      <w:bookmarkStart w:id="30" w:name="_Toc240373544"/>
      <w:r>
        <w:rPr>
          <w:rFonts w:eastAsia="Times New Roman"/>
        </w:rPr>
        <w:t>Data protection between independent controllers</w:t>
      </w:r>
      <w:bookmarkEnd w:id="30"/>
    </w:p>
    <w:p w14:paraId="5AB6D7F5" w14:textId="77777777" w:rsidR="0002199C" w:rsidRDefault="0002199C">
      <w:pPr>
        <w:pStyle w:val="meta"/>
        <w:rPr>
          <w:rFonts w:ascii="Calibri" w:hAnsi="Calibri" w:cs="Calibri"/>
        </w:rPr>
      </w:pPr>
      <w:r>
        <w:rPr>
          <w:rFonts w:ascii="Calibri" w:hAnsi="Calibri" w:cs="Calibri"/>
        </w:rPr>
        <w:t>Founders1 GmbH — STP Business Information GmbH · Draft, 14 September 2026</w:t>
      </w:r>
    </w:p>
    <w:p w14:paraId="3387B18A" w14:textId="77777777" w:rsidR="0002199C" w:rsidRDefault="0002199C">
      <w:pPr>
        <w:pStyle w:val="berschrift2"/>
        <w:rPr>
          <w:rFonts w:eastAsia="Times New Roman"/>
        </w:rPr>
      </w:pPr>
      <w:bookmarkStart w:id="31" w:name="_Toc240373545"/>
      <w:r>
        <w:rPr>
          <w:rFonts w:eastAsia="Times New Roman"/>
        </w:rPr>
        <w:t>3.1 Roles</w:t>
      </w:r>
      <w:bookmarkEnd w:id="31"/>
    </w:p>
    <w:p w14:paraId="77B2C54F"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w:t>
      </w:r>
      <w:r>
        <w:rPr>
          <w:rFonts w:ascii="Calibri" w:hAnsi="Calibri" w:cs="Calibri"/>
          <w:color w:val="222233"/>
          <w:sz w:val="21"/>
          <w:szCs w:val="21"/>
        </w:rPr>
        <w:t>under Art. 4 No. 7 GDPR. Neither party processes on behalf of the other; Art. 28 GDPR does not apply, and no joint controllership under Art. 26 GDPR is established. Each party is separately responsible for the lawfulness of its own processing.</w:t>
      </w:r>
    </w:p>
    <w:p w14:paraId="20486129"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13C4264F"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holds the documents it procures and re-serves them to other customers</w:t>
      </w:r>
      <w:r>
        <w:rPr>
          <w:rFonts w:ascii="Calibri" w:hAnsi="Calibri" w:cs="Calibri"/>
          <w:color w:val="222233"/>
          <w:sz w:val="21"/>
          <w:szCs w:val="21"/>
        </w:rPr>
        <w:t xml:space="preserve"> </w:t>
      </w:r>
      <w:r>
        <w:rPr>
          <w:rFonts w:ascii="Calibri" w:hAnsi="Calibri" w:cs="Calibri"/>
          <w:color w:val="222233"/>
          <w:sz w:val="21"/>
          <w:szCs w:val="21"/>
        </w:rPr>
        <w:t>where they are still current (Annex 1.4). It therefore processes for its own purposes and on its own determination, and not solely on STP's instruction, which is what distinguishes this arrangement from processing under Art. 28 GDPR.</w:t>
      </w:r>
    </w:p>
    <w:p w14:paraId="66FE51F4" w14:textId="77777777" w:rsidR="0002199C" w:rsidRDefault="0002199C">
      <w:pPr>
        <w:pStyle w:val="berschrift2"/>
        <w:rPr>
          <w:rFonts w:eastAsia="Times New Roman"/>
        </w:rPr>
      </w:pPr>
      <w:bookmarkStart w:id="32" w:name="_Toc240373546"/>
      <w:r>
        <w:rPr>
          <w:rFonts w:eastAsia="Times New Roman"/>
        </w:rPr>
        <w:t>3.2 What is processed</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000000" w14:paraId="45611BA6" w14:textId="77777777">
        <w:trPr>
          <w:tblHeader/>
        </w:trPr>
        <w:tc>
          <w:tcPr>
            <w:tcW w:w="0" w:type="auto"/>
            <w:shd w:val="clear" w:color="auto" w:fill="1A2340"/>
            <w:tcMar>
              <w:top w:w="80" w:type="dxa"/>
              <w:left w:w="120" w:type="dxa"/>
              <w:bottom w:w="80" w:type="dxa"/>
              <w:right w:w="120" w:type="dxa"/>
            </w:tcMar>
            <w:vAlign w:val="center"/>
            <w:hideMark/>
          </w:tcPr>
          <w:p w14:paraId="459AF2C1"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645FAC47"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000000" w14:paraId="25F4E7D2" w14:textId="77777777">
        <w:tc>
          <w:tcPr>
            <w:tcW w:w="0" w:type="auto"/>
            <w:tcBorders>
              <w:bottom w:val="single" w:sz="4" w:space="0" w:color="E5E7EB"/>
            </w:tcBorders>
            <w:tcMar>
              <w:top w:w="80" w:type="dxa"/>
              <w:left w:w="120" w:type="dxa"/>
              <w:bottom w:w="80" w:type="dxa"/>
              <w:right w:w="120" w:type="dxa"/>
            </w:tcMar>
            <w:hideMark/>
          </w:tcPr>
          <w:p w14:paraId="396E92CF"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6202F16E"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000000" w14:paraId="4D15CF30" w14:textId="77777777">
        <w:tc>
          <w:tcPr>
            <w:tcW w:w="0" w:type="auto"/>
            <w:tcBorders>
              <w:bottom w:val="single" w:sz="4" w:space="0" w:color="E5E7EB"/>
            </w:tcBorders>
            <w:tcMar>
              <w:top w:w="80" w:type="dxa"/>
              <w:left w:w="120" w:type="dxa"/>
              <w:bottom w:w="80" w:type="dxa"/>
              <w:right w:w="120" w:type="dxa"/>
            </w:tcMar>
            <w:hideMark/>
          </w:tcPr>
          <w:p w14:paraId="3F6E3B7B"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02ECAF82"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000000" w14:paraId="436580E9" w14:textId="77777777">
        <w:tc>
          <w:tcPr>
            <w:tcW w:w="0" w:type="auto"/>
            <w:tcBorders>
              <w:bottom w:val="single" w:sz="4" w:space="0" w:color="E5E7EB"/>
            </w:tcBorders>
            <w:tcMar>
              <w:top w:w="80" w:type="dxa"/>
              <w:left w:w="120" w:type="dxa"/>
              <w:bottom w:w="80" w:type="dxa"/>
              <w:right w:w="120" w:type="dxa"/>
            </w:tcMar>
            <w:hideMark/>
          </w:tcPr>
          <w:p w14:paraId="58BA50C9"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7EBA128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000000" w14:paraId="5E98FECC" w14:textId="77777777">
        <w:tc>
          <w:tcPr>
            <w:tcW w:w="0" w:type="auto"/>
            <w:tcBorders>
              <w:bottom w:val="single" w:sz="4" w:space="0" w:color="E5E7EB"/>
            </w:tcBorders>
            <w:tcMar>
              <w:top w:w="80" w:type="dxa"/>
              <w:left w:w="120" w:type="dxa"/>
              <w:bottom w:w="80" w:type="dxa"/>
              <w:right w:w="120" w:type="dxa"/>
            </w:tcMar>
            <w:hideMark/>
          </w:tcPr>
          <w:p w14:paraId="280F499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6D8691EC"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2E73BFE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299530E5" w14:textId="77777777" w:rsidR="0002199C" w:rsidRDefault="0002199C">
      <w:pPr>
        <w:pStyle w:val="berschrift2"/>
        <w:rPr>
          <w:rFonts w:eastAsia="Times New Roman"/>
        </w:rPr>
      </w:pPr>
      <w:bookmarkStart w:id="33" w:name="_Toc240373547"/>
      <w:r>
        <w:rPr>
          <w:rFonts w:eastAsia="Times New Roman"/>
        </w:rPr>
        <w:t>3.3 Purposes and legal basis</w:t>
      </w:r>
      <w:bookmarkEnd w:id="33"/>
    </w:p>
    <w:p w14:paraId="5B819B54"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1630D310"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6A1DD5B7" w14:textId="77777777" w:rsidR="0002199C" w:rsidRDefault="0002199C">
      <w:pPr>
        <w:pStyle w:val="berschrift2"/>
        <w:rPr>
          <w:rFonts w:eastAsia="Times New Roman"/>
        </w:rPr>
      </w:pPr>
      <w:bookmarkStart w:id="34" w:name="_Toc240373548"/>
      <w:r>
        <w:rPr>
          <w:rFonts w:eastAsia="Times New Roman"/>
        </w:rPr>
        <w:t>3.4 Technical and organisational measures</w:t>
      </w:r>
      <w:bookmarkEnd w:id="34"/>
    </w:p>
    <w:p w14:paraId="159CC392" w14:textId="77777777" w:rsidR="0002199C" w:rsidRDefault="0002199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3A0775B5" w14:textId="77777777" w:rsidR="0002199C" w:rsidRDefault="0002199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4B3B6709" w14:textId="77777777" w:rsidR="0002199C" w:rsidRDefault="0002199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40ECACA5" w14:textId="77777777" w:rsidR="0002199C" w:rsidRDefault="0002199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52A810C1" w14:textId="77777777" w:rsidR="0002199C" w:rsidRDefault="0002199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14979BA6" w14:textId="77777777" w:rsidR="0002199C" w:rsidRDefault="0002199C">
      <w:pPr>
        <w:pStyle w:val="berschrift2"/>
        <w:rPr>
          <w:rFonts w:eastAsia="Times New Roman"/>
        </w:rPr>
      </w:pPr>
      <w:bookmarkStart w:id="35" w:name="_Toc240373549"/>
      <w:r>
        <w:rPr>
          <w:rFonts w:eastAsia="Times New Roman"/>
        </w:rPr>
        <w:t>3.5 Transfers to third countries</w:t>
      </w:r>
      <w:bookmarkEnd w:id="35"/>
    </w:p>
    <w:p w14:paraId="173AF97D"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w:t>
      </w:r>
      <w:r>
        <w:rPr>
          <w:rFonts w:ascii="Calibri" w:hAnsi="Calibri" w:cs="Calibri"/>
          <w:color w:val="222233"/>
          <w:sz w:val="21"/>
          <w:szCs w:val="21"/>
        </w:rPr>
        <w:t>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4C81DD24" w14:textId="77777777" w:rsidR="0002199C" w:rsidRDefault="0002199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2D0D98C7" w14:textId="77777777" w:rsidR="0002199C" w:rsidRDefault="0002199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7DAAD6F1" w14:textId="77777777" w:rsidR="0002199C" w:rsidRDefault="0002199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1E04D4CA" w14:textId="77777777" w:rsidR="0002199C" w:rsidRDefault="0002199C">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3A63F8F7" w14:textId="77777777" w:rsidR="0002199C" w:rsidRDefault="0002199C">
      <w:pPr>
        <w:pStyle w:val="berschrift2"/>
        <w:rPr>
          <w:rFonts w:eastAsia="Times New Roman"/>
        </w:rPr>
      </w:pPr>
      <w:bookmarkStart w:id="36" w:name="_Toc240373550"/>
      <w:r>
        <w:rPr>
          <w:rFonts w:eastAsia="Times New Roman"/>
        </w:rPr>
        <w:t>3.6 Cooperation</w:t>
      </w:r>
      <w:bookmarkEnd w:id="36"/>
    </w:p>
    <w:p w14:paraId="2852DC52"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p w14:paraId="0DDAFF4C"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2580C15B" w14:textId="77777777" w:rsidR="0002199C" w:rsidRDefault="0002199C">
      <w:pPr>
        <w:pStyle w:val="kicker"/>
        <w:rPr>
          <w:rFonts w:ascii="Calibri" w:hAnsi="Calibri" w:cs="Calibri"/>
        </w:rPr>
      </w:pPr>
      <w:r>
        <w:rPr>
          <w:rFonts w:ascii="Calibri" w:hAnsi="Calibri" w:cs="Calibri"/>
        </w:rPr>
        <w:t>Annex 4 to the Reseller Agreement</w:t>
      </w:r>
    </w:p>
    <w:p w14:paraId="5786831E" w14:textId="77777777" w:rsidR="0002199C" w:rsidRDefault="0002199C">
      <w:pPr>
        <w:pStyle w:val="berschrift1"/>
        <w:rPr>
          <w:rFonts w:eastAsia="Times New Roman"/>
        </w:rPr>
      </w:pPr>
      <w:bookmarkStart w:id="37" w:name="_Toc240373551"/>
      <w:r>
        <w:rPr>
          <w:rFonts w:eastAsia="Times New Roman"/>
        </w:rPr>
        <w:t>Permitted Affiliates</w:t>
      </w:r>
      <w:bookmarkEnd w:id="37"/>
    </w:p>
    <w:p w14:paraId="5E61058A" w14:textId="77777777" w:rsidR="0002199C" w:rsidRDefault="0002199C">
      <w:pPr>
        <w:pStyle w:val="meta"/>
        <w:rPr>
          <w:rFonts w:ascii="Calibri" w:hAnsi="Calibri" w:cs="Calibri"/>
        </w:rPr>
      </w:pPr>
      <w:r>
        <w:rPr>
          <w:rFonts w:ascii="Calibri" w:hAnsi="Calibri" w:cs="Calibri"/>
        </w:rPr>
        <w:t>Founders1 GmbH — STP Business Information GmbH · Draft, 14 September 2026</w:t>
      </w:r>
    </w:p>
    <w:p w14:paraId="4B1E71B3" w14:textId="77777777" w:rsidR="0002199C" w:rsidRDefault="0002199C">
      <w:pPr>
        <w:pStyle w:val="berschrift2"/>
        <w:rPr>
          <w:rFonts w:eastAsia="Times New Roman"/>
        </w:rPr>
      </w:pPr>
      <w:bookmarkStart w:id="38" w:name="_Toc240373552"/>
      <w:r>
        <w:rPr>
          <w:rFonts w:eastAsia="Times New Roman"/>
        </w:rPr>
        <w:t>4.1 Admitted affiliates</w:t>
      </w:r>
      <w:bookmarkEnd w:id="38"/>
    </w:p>
    <w:p w14:paraId="69FCAF7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The following members of the Septeo Group are admitted as Permitted Affiliates under clause 4 and may exercise the rights under clauses 3.1 to 3.5. STP remains the sole contracting and billing party for all of them.</w:t>
      </w:r>
    </w:p>
    <w:tbl>
      <w:tblPr>
        <w:tblW w:w="5000" w:type="pct"/>
        <w:tblCellMar>
          <w:top w:w="15" w:type="dxa"/>
          <w:left w:w="15" w:type="dxa"/>
          <w:bottom w:w="15" w:type="dxa"/>
          <w:right w:w="15" w:type="dxa"/>
        </w:tblCellMar>
        <w:tblLook w:val="04A0" w:firstRow="1" w:lastRow="0" w:firstColumn="1" w:lastColumn="0" w:noHBand="0" w:noVBand="1"/>
      </w:tblPr>
      <w:tblGrid>
        <w:gridCol w:w="1341"/>
        <w:gridCol w:w="2691"/>
        <w:gridCol w:w="3085"/>
        <w:gridCol w:w="2295"/>
      </w:tblGrid>
      <w:tr w:rsidR="00000000" w14:paraId="7830BB88" w14:textId="77777777">
        <w:trPr>
          <w:tblHeader/>
        </w:trPr>
        <w:tc>
          <w:tcPr>
            <w:tcW w:w="0" w:type="auto"/>
            <w:shd w:val="clear" w:color="auto" w:fill="1A2340"/>
            <w:tcMar>
              <w:top w:w="80" w:type="dxa"/>
              <w:left w:w="120" w:type="dxa"/>
              <w:bottom w:w="80" w:type="dxa"/>
              <w:right w:w="120" w:type="dxa"/>
            </w:tcMar>
            <w:vAlign w:val="center"/>
            <w:hideMark/>
          </w:tcPr>
          <w:p w14:paraId="1DE3BD4D"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Entity</w:t>
            </w:r>
          </w:p>
        </w:tc>
        <w:tc>
          <w:tcPr>
            <w:tcW w:w="0" w:type="auto"/>
            <w:shd w:val="clear" w:color="auto" w:fill="1A2340"/>
            <w:tcMar>
              <w:top w:w="80" w:type="dxa"/>
              <w:left w:w="120" w:type="dxa"/>
              <w:bottom w:w="80" w:type="dxa"/>
              <w:right w:w="120" w:type="dxa"/>
            </w:tcMar>
            <w:vAlign w:val="center"/>
            <w:hideMark/>
          </w:tcPr>
          <w:p w14:paraId="44E1E360"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Registered seat</w:t>
            </w:r>
          </w:p>
        </w:tc>
        <w:tc>
          <w:tcPr>
            <w:tcW w:w="0" w:type="auto"/>
            <w:shd w:val="clear" w:color="auto" w:fill="1A2340"/>
            <w:tcMar>
              <w:top w:w="80" w:type="dxa"/>
              <w:left w:w="120" w:type="dxa"/>
              <w:bottom w:w="80" w:type="dxa"/>
              <w:right w:w="120" w:type="dxa"/>
            </w:tcMar>
            <w:vAlign w:val="center"/>
            <w:hideMark/>
          </w:tcPr>
          <w:p w14:paraId="28DCC0C1"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 / number</w:t>
            </w:r>
          </w:p>
        </w:tc>
        <w:tc>
          <w:tcPr>
            <w:tcW w:w="0" w:type="auto"/>
            <w:shd w:val="clear" w:color="auto" w:fill="1A2340"/>
            <w:tcMar>
              <w:top w:w="80" w:type="dxa"/>
              <w:left w:w="120" w:type="dxa"/>
              <w:bottom w:w="80" w:type="dxa"/>
              <w:right w:w="120" w:type="dxa"/>
            </w:tcMar>
            <w:vAlign w:val="center"/>
            <w:hideMark/>
          </w:tcPr>
          <w:p w14:paraId="37DB6EA7" w14:textId="77777777" w:rsidR="0002199C" w:rsidRDefault="0002199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Admitted on</w:t>
            </w:r>
          </w:p>
        </w:tc>
      </w:tr>
      <w:tr w:rsidR="00000000" w14:paraId="06F859A9" w14:textId="77777777">
        <w:tc>
          <w:tcPr>
            <w:tcW w:w="0" w:type="auto"/>
            <w:tcBorders>
              <w:bottom w:val="single" w:sz="4" w:space="0" w:color="E5E7EB"/>
            </w:tcBorders>
            <w:tcMar>
              <w:top w:w="80" w:type="dxa"/>
              <w:left w:w="120" w:type="dxa"/>
              <w:bottom w:w="80" w:type="dxa"/>
              <w:right w:w="120" w:type="dxa"/>
            </w:tcMar>
            <w:hideMark/>
          </w:tcPr>
          <w:p w14:paraId="00973976"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44840A75"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1891F2E3"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321FBF3D"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711BF162" w14:textId="77777777">
        <w:tc>
          <w:tcPr>
            <w:tcW w:w="0" w:type="auto"/>
            <w:tcBorders>
              <w:bottom w:val="single" w:sz="4" w:space="0" w:color="E5E7EB"/>
            </w:tcBorders>
            <w:tcMar>
              <w:top w:w="80" w:type="dxa"/>
              <w:left w:w="120" w:type="dxa"/>
              <w:bottom w:w="80" w:type="dxa"/>
              <w:right w:w="120" w:type="dxa"/>
            </w:tcMar>
            <w:hideMark/>
          </w:tcPr>
          <w:p w14:paraId="00945B5A"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56812C96"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34986CBB"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56901900"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2254D8DE" w14:textId="77777777">
        <w:tc>
          <w:tcPr>
            <w:tcW w:w="0" w:type="auto"/>
            <w:tcBorders>
              <w:bottom w:val="single" w:sz="4" w:space="0" w:color="E5E7EB"/>
            </w:tcBorders>
            <w:tcMar>
              <w:top w:w="80" w:type="dxa"/>
              <w:left w:w="120" w:type="dxa"/>
              <w:bottom w:w="80" w:type="dxa"/>
              <w:right w:w="120" w:type="dxa"/>
            </w:tcMar>
            <w:hideMark/>
          </w:tcPr>
          <w:p w14:paraId="58083B61"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4EDADEF7"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3DA884B2"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4F767C6" w14:textId="77777777" w:rsidR="0002199C" w:rsidRDefault="0002199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bl>
    <w:p w14:paraId="2C10907F"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This Annex is empty at signature. Admission follows clause 4.1: STP notifies the affiliate in text form, and it is admitted upon confirmation by Founders1. An admission updates this Annex without requiring an amendment to the Agreement.</w:t>
      </w:r>
    </w:p>
    <w:p w14:paraId="1284156E" w14:textId="77777777" w:rsidR="0002199C" w:rsidRDefault="0002199C">
      <w:pPr>
        <w:pStyle w:val="berschrift2"/>
        <w:rPr>
          <w:rFonts w:eastAsia="Times New Roman"/>
        </w:rPr>
      </w:pPr>
      <w:bookmarkStart w:id="39" w:name="_Toc240373553"/>
      <w:r>
        <w:rPr>
          <w:rFonts w:eastAsia="Times New Roman"/>
        </w:rPr>
        <w:t>4.2 Leaving the group</w:t>
      </w:r>
      <w:bookmarkEnd w:id="39"/>
    </w:p>
    <w:p w14:paraId="7036E6C3"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An entity that ceases to belong to the Septeo Group ceases to be a Permitted Affiliate at that point and is struck from this Annex. STP notifies Founders1 without undue delay. Rights already granted to End Clients under clause 3.5 for Documents already delivered remain unaffected.</w:t>
      </w:r>
    </w:p>
    <w:p w14:paraId="053FC3D3" w14:textId="77777777" w:rsidR="0002199C" w:rsidRDefault="0002199C">
      <w:pPr>
        <w:pStyle w:val="pagebreak"/>
        <w:spacing w:after="120"/>
        <w:rPr>
          <w:rFonts w:ascii="Calibri" w:hAnsi="Calibri" w:cs="Calibri"/>
          <w:color w:val="222233"/>
          <w:sz w:val="21"/>
          <w:szCs w:val="21"/>
        </w:rPr>
      </w:pPr>
      <w:r>
        <w:rPr>
          <w:rFonts w:ascii="Calibri" w:hAnsi="Calibri" w:cs="Calibri"/>
          <w:color w:val="222233"/>
          <w:sz w:val="21"/>
          <w:szCs w:val="21"/>
        </w:rPr>
        <w:t> </w:t>
      </w:r>
    </w:p>
    <w:p w14:paraId="7A48283A" w14:textId="77777777" w:rsidR="0002199C" w:rsidRDefault="0002199C">
      <w:pPr>
        <w:pStyle w:val="kicker"/>
        <w:rPr>
          <w:rFonts w:ascii="Calibri" w:hAnsi="Calibri" w:cs="Calibri"/>
        </w:rPr>
      </w:pPr>
      <w:r>
        <w:rPr>
          <w:rFonts w:ascii="Calibri" w:hAnsi="Calibri" w:cs="Calibri"/>
        </w:rPr>
        <w:t>Annex 5 to the Reseller Agreement</w:t>
      </w:r>
    </w:p>
    <w:p w14:paraId="3D3C2A36" w14:textId="77777777" w:rsidR="0002199C" w:rsidRDefault="0002199C">
      <w:pPr>
        <w:pStyle w:val="berschrift1"/>
        <w:rPr>
          <w:rFonts w:eastAsia="Times New Roman"/>
        </w:rPr>
      </w:pPr>
      <w:bookmarkStart w:id="40" w:name="_Toc240373554"/>
      <w:r>
        <w:rPr>
          <w:rFonts w:eastAsia="Times New Roman"/>
        </w:rPr>
        <w:t>End-client terms to be passed through</w:t>
      </w:r>
      <w:bookmarkEnd w:id="40"/>
    </w:p>
    <w:p w14:paraId="482C3E3F" w14:textId="77777777" w:rsidR="0002199C" w:rsidRDefault="0002199C">
      <w:pPr>
        <w:pStyle w:val="meta"/>
        <w:rPr>
          <w:rFonts w:ascii="Calibri" w:hAnsi="Calibri" w:cs="Calibri"/>
        </w:rPr>
      </w:pPr>
      <w:r>
        <w:rPr>
          <w:rFonts w:ascii="Calibri" w:hAnsi="Calibri" w:cs="Calibri"/>
        </w:rPr>
        <w:t>Founders1 GmbH — STP Business Information GmbH · Draft, 14 September 2026</w:t>
      </w:r>
    </w:p>
    <w:p w14:paraId="645CCE8D" w14:textId="77777777" w:rsidR="0002199C" w:rsidRDefault="0002199C">
      <w:pPr>
        <w:pStyle w:val="berschrift2"/>
        <w:rPr>
          <w:rFonts w:eastAsia="Times New Roman"/>
        </w:rPr>
      </w:pPr>
      <w:bookmarkStart w:id="41" w:name="_Toc240373555"/>
      <w:r>
        <w:rPr>
          <w:rFonts w:eastAsia="Times New Roman"/>
        </w:rPr>
        <w:t>5.1 How this Annex works</w:t>
      </w:r>
      <w:bookmarkEnd w:id="41"/>
    </w:p>
    <w:p w14:paraId="576CE4FE"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 xml:space="preserve">Under clause 9.1, STP ensures that its terms with each End Client include, </w:t>
      </w:r>
      <w:r>
        <w:rPr>
          <w:rStyle w:val="Fett"/>
          <w:rFonts w:ascii="Calibri" w:hAnsi="Calibri" w:cs="Calibri"/>
          <w:color w:val="222233"/>
          <w:sz w:val="21"/>
          <w:szCs w:val="21"/>
        </w:rPr>
        <w:t>in substance</w:t>
      </w:r>
      <w:r>
        <w:rPr>
          <w:rFonts w:ascii="Calibri" w:hAnsi="Calibri" w:cs="Calibri"/>
          <w:color w:val="222233"/>
          <w:sz w:val="21"/>
          <w:szCs w:val="21"/>
        </w:rPr>
        <w:t>, the terms below. STP chooses its own wording and may carry them in its general terms of business. It does not have to reproduce this Annex verbatim, name Founders1, or disclose the Agreement.</w:t>
      </w:r>
    </w:p>
    <w:p w14:paraId="0799C216"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This Annex obliges STP. It grants Founders1 no rights against an End Client and creates no contract between them. Where STP's existing terms already cover a point in substance, that point is satisfied.</w:t>
      </w:r>
    </w:p>
    <w:p w14:paraId="30B7895B"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Where a Document carries a register-specific restriction notified with it under section 5.2 (e), that restriction prevails over anything more permissive in STP's own terms.</w:t>
      </w:r>
    </w:p>
    <w:p w14:paraId="0C1D26DA" w14:textId="77777777" w:rsidR="0002199C" w:rsidRDefault="0002199C">
      <w:pPr>
        <w:pStyle w:val="berschrift2"/>
        <w:rPr>
          <w:rFonts w:eastAsia="Times New Roman"/>
        </w:rPr>
      </w:pPr>
      <w:bookmarkStart w:id="42" w:name="_Toc240373556"/>
      <w:r>
        <w:rPr>
          <w:rFonts w:eastAsia="Times New Roman"/>
        </w:rPr>
        <w:t>5.2 The terms</w:t>
      </w:r>
      <w:bookmarkEnd w:id="42"/>
    </w:p>
    <w:p w14:paraId="556834EA"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(a) Purpose.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use the documents and registry data delivered for it for its own know-your-customer and anti-money-laundering checks, client and supplier onboarding, advisory work, and its own record-keeping. This includes documents about the End Client's own customers, counterparties and suppliers, obtained to discharge the End Client's own obligations. It does not cover discharging another person's compliance obligations, or providing the documents to another person for that purpose.</w:t>
      </w:r>
    </w:p>
    <w:p w14:paraId="19C2C5EF"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(b) Retention.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retain what was delivered for it for as long as its own statutory retention obligation requires, including after its contract with STP ends and after the Agreement between STP and Founders1 ends. Beyond that period, and for any use outside the purpose in (a), the rights follow what Founders1 holds in the underlying content; the applicable scope is stated with each Document.</w:t>
      </w:r>
    </w:p>
    <w:p w14:paraId="60301BE4"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(c) No redistribution.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documents are for the End Client's own file. The End Client does not pass them on to third parties, does not sell or license the structured data as a dataset, does not publish it, and does not extract it in bulk. Three disclosures are permitted: to its own advisers and auditors bound to confidentiality; to a supervisory authority where required; and to </w:t>
      </w:r>
      <w:r>
        <w:rPr>
          <w:rStyle w:val="Fett"/>
          <w:rFonts w:ascii="Calibri" w:eastAsia="Times New Roman" w:hAnsi="Calibri" w:cs="Calibri"/>
          <w:color w:val="222233"/>
          <w:sz w:val="21"/>
          <w:szCs w:val="21"/>
        </w:rPr>
        <w:t>the company a document concerns</w:t>
      </w:r>
      <w:r>
        <w:rPr>
          <w:rFonts w:ascii="Calibri" w:eastAsia="Times New Roman" w:hAnsi="Calibri" w:cs="Calibri"/>
          <w:color w:val="222233"/>
          <w:sz w:val="21"/>
          <w:szCs w:val="21"/>
        </w:rPr>
        <w:t>, in connection with the End Client's own check on that company.</w:t>
      </w:r>
    </w:p>
    <w:p w14:paraId="30AAF144"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(d) No competing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does not use the documents, the registry data or the availability information to build, train, operate or supply a company-data, registry-aggregation or document-procurement product or service for third parties.</w:t>
      </w:r>
    </w:p>
    <w:p w14:paraId="28F685B6"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(e) Register restrictions.</w:t>
      </w:r>
      <w:r>
        <w:rPr>
          <w:rFonts w:ascii="Calibri" w:eastAsia="Times New Roman" w:hAnsi="Calibri" w:cs="Calibri"/>
          <w:color w:val="222233"/>
          <w:sz w:val="21"/>
          <w:szCs w:val="21"/>
        </w:rPr>
        <w:t xml:space="preserve"> Some registers restrict what may be done with their content. Where such a restriction is notified with a document, it applies to the End Client and prevails over the permissions above.</w:t>
      </w:r>
    </w:p>
    <w:p w14:paraId="14745FF3"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(f) The register is the source.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Registry content is reproduced as it was filed or held. Neither STP nor its supplier warrants that the register itself is accurate, complete or up to date, and a document reproduces the state of the register at the retrieval date stated with it.</w:t>
      </w:r>
    </w:p>
    <w:p w14:paraId="4F91B608"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(g) Data protection.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documents contain personal data of directors, shareholders and beneficial owners. The End Client is an independent controller for its own use of them and is responsible for the lawfulness of that use, for its own information duties, and for its own assessment of Art. 14 (5) GDPR.</w:t>
      </w:r>
    </w:p>
    <w:p w14:paraId="2401390F" w14:textId="77777777" w:rsidR="0002199C" w:rsidRDefault="0002199C">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(h) No further rights.</w:t>
      </w:r>
      <w:r>
        <w:rPr>
          <w:rFonts w:ascii="Calibri" w:eastAsia="Times New Roman" w:hAnsi="Calibri" w:cs="Calibri"/>
          <w:color w:val="222233"/>
          <w:sz w:val="21"/>
          <w:szCs w:val="21"/>
        </w:rPr>
        <w:t xml:space="preserve"> The End Client acquires no rights in the platform, the interface, the coverage and routing data, or the jurisdiction and document-kind classification behind the service.</w:t>
      </w:r>
    </w:p>
    <w:p w14:paraId="5DF6BA5B" w14:textId="77777777" w:rsidR="0002199C" w:rsidRDefault="0002199C">
      <w:pPr>
        <w:pStyle w:val="berschrift2"/>
        <w:rPr>
          <w:rFonts w:eastAsia="Times New Roman"/>
        </w:rPr>
      </w:pPr>
      <w:bookmarkStart w:id="43" w:name="_Toc240373557"/>
      <w:r>
        <w:rPr>
          <w:rFonts w:eastAsia="Times New Roman"/>
        </w:rPr>
        <w:t>5.3 Changes</w:t>
      </w:r>
      <w:bookmarkEnd w:id="43"/>
    </w:p>
    <w:p w14:paraId="5D5820F4" w14:textId="77777777" w:rsidR="0002199C" w:rsidRDefault="0002199C">
      <w:pPr>
        <w:pStyle w:val="StandardWeb"/>
        <w:rPr>
          <w:rFonts w:ascii="Calibri" w:hAnsi="Calibri" w:cs="Calibri"/>
          <w:color w:val="222233"/>
          <w:sz w:val="21"/>
          <w:szCs w:val="21"/>
        </w:rPr>
      </w:pPr>
      <w:r>
        <w:rPr>
          <w:rFonts w:ascii="Calibri" w:hAnsi="Calibri" w:cs="Calibri"/>
          <w:color w:val="222233"/>
          <w:sz w:val="21"/>
          <w:szCs w:val="21"/>
        </w:rPr>
        <w:t>Founders1 may amend this Annex where a register, a supplier or applicable law requires it, on 30 days' notice, evidencing the requirement. STP applies the change to End Client terms concluded or renewed after it takes effect; it does not have to reopen terms already agreed.</w:t>
      </w:r>
    </w:p>
    <w:sectPr w:rsidR="0002199C" w:rsidSect="00D722F4">
      <w:pgSz w:w="11906" w:h="16838"/>
      <w:pgMar w:top="1134" w:right="1247" w:bottom="113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D6116"/>
    <w:multiLevelType w:val="multilevel"/>
    <w:tmpl w:val="42B4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677CA"/>
    <w:multiLevelType w:val="multilevel"/>
    <w:tmpl w:val="BCEC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81430B"/>
    <w:multiLevelType w:val="multilevel"/>
    <w:tmpl w:val="9E8CE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9D2CA8"/>
    <w:multiLevelType w:val="multilevel"/>
    <w:tmpl w:val="C900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927CF0"/>
    <w:multiLevelType w:val="multilevel"/>
    <w:tmpl w:val="B8B2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C90372"/>
    <w:multiLevelType w:val="multilevel"/>
    <w:tmpl w:val="C9C8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9526020">
    <w:abstractNumId w:val="0"/>
  </w:num>
  <w:num w:numId="2" w16cid:durableId="1977835288">
    <w:abstractNumId w:val="2"/>
  </w:num>
  <w:num w:numId="3" w16cid:durableId="2075152640">
    <w:abstractNumId w:val="4"/>
  </w:num>
  <w:num w:numId="4" w16cid:durableId="1808010269">
    <w:abstractNumId w:val="1"/>
  </w:num>
  <w:num w:numId="5" w16cid:durableId="1492984482">
    <w:abstractNumId w:val="3"/>
  </w:num>
  <w:num w:numId="6" w16cid:durableId="21030658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722F4"/>
    <w:rsid w:val="0002199C"/>
    <w:rsid w:val="00366DEA"/>
    <w:rsid w:val="00D722F4"/>
    <w:rsid w:val="00FA3EE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8E41EE"/>
  <w15:chartTrackingRefBased/>
  <w15:docId w15:val="{BD702B27-62CC-4F97-8CC4-AD36C387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status">
    <w:name w:val="status"/>
    <w:basedOn w:val="Absatz-Standardschriftart"/>
  </w:style>
  <w:style w:type="character" w:customStyle="1" w:styleId="chip">
    <w:name w:val="chip"/>
    <w:basedOn w:val="Absatz-Standardschriftart"/>
  </w:style>
  <w:style w:type="paragraph" w:styleId="Verzeichnis1">
    <w:name w:val="toc 1"/>
    <w:basedOn w:val="Standard"/>
    <w:next w:val="Standard"/>
    <w:autoRedefine/>
    <w:uiPriority w:val="39"/>
    <w:unhideWhenUsed/>
    <w:rsid w:val="00FA3EEF"/>
    <w:pPr>
      <w:spacing w:after="100"/>
    </w:pPr>
  </w:style>
  <w:style w:type="paragraph" w:styleId="Verzeichnis2">
    <w:name w:val="toc 2"/>
    <w:basedOn w:val="Standard"/>
    <w:next w:val="Standard"/>
    <w:autoRedefine/>
    <w:uiPriority w:val="39"/>
    <w:unhideWhenUsed/>
    <w:rsid w:val="00FA3EEF"/>
    <w:pPr>
      <w:spacing w:after="100"/>
      <w:ind w:left="240"/>
    </w:pPr>
  </w:style>
  <w:style w:type="paragraph" w:styleId="berarbeitung">
    <w:name w:val="Revision"/>
    <w:hidden/>
    <w:uiPriority w:val="99"/>
    <w:semiHidden/>
    <w:rsid w:val="00FA3EEF"/>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6233</Words>
  <Characters>32751</Characters>
  <Application>Microsoft Office Word</Application>
  <DocSecurity>0</DocSecurity>
  <Lines>679</Lines>
  <Paragraphs>406</Paragraphs>
  <ScaleCrop>false</ScaleCrop>
  <Company/>
  <LinksUpToDate>false</LinksUpToDate>
  <CharactersWithSpaces>38646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3</cp:revision>
  <dcterms:created xsi:type="dcterms:W3CDTF">2026-09-15T12:04:00Z</dcterms:created>
  <dcterms:modified xsi:type="dcterms:W3CDTF">2026-09-15T12:04:00Z</dcterms:modified>
</cp:coreProperties>
</file>