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3635D" w14:textId="77777777" w:rsidR="009C47A2" w:rsidRDefault="009C47A2">
      <w:pPr>
        <w:pStyle w:val="kicker"/>
        <w:rPr>
          <w:rFonts w:ascii="Calibri" w:hAnsi="Calibri" w:cs="Calibri"/>
        </w:rPr>
      </w:pPr>
      <w:r>
        <w:rPr>
          <w:rFonts w:ascii="Calibri" w:hAnsi="Calibri" w:cs="Calibri"/>
        </w:rPr>
        <w:t>Reseller Agreement</w:t>
      </w:r>
    </w:p>
    <w:p w14:paraId="6F77B289" w14:textId="77777777" w:rsidR="009C47A2" w:rsidRDefault="009C47A2">
      <w:pPr>
        <w:pStyle w:val="berschrift1"/>
        <w:rPr>
          <w:rFonts w:eastAsia="Times New Roman"/>
        </w:rPr>
      </w:pPr>
      <w:r>
        <w:rPr>
          <w:rFonts w:eastAsia="Times New Roman"/>
        </w:rPr>
        <w:t>Reselling of company registry documents and registry data</w:t>
      </w:r>
    </w:p>
    <w:p w14:paraId="5E09241C" w14:textId="77777777" w:rsidR="009C47A2" w:rsidRDefault="009C47A2">
      <w:pPr>
        <w:pStyle w:val="meta"/>
        <w:rPr>
          <w:rFonts w:ascii="Calibri" w:hAnsi="Calibri" w:cs="Calibri"/>
        </w:rPr>
      </w:pPr>
      <w:r>
        <w:rPr>
          <w:rFonts w:ascii="Calibri" w:hAnsi="Calibri" w:cs="Calibri"/>
        </w:rPr>
        <w:t>Reseller:</w:t>
      </w:r>
    </w:p>
    <w:p w14:paraId="1FBB2735" w14:textId="77777777" w:rsidR="009C47A2" w:rsidRDefault="009C47A2">
      <w:pPr>
        <w:pStyle w:val="meta"/>
        <w:rPr>
          <w:rFonts w:ascii="Calibri" w:hAnsi="Calibri" w:cs="Calibri"/>
        </w:rPr>
      </w:pPr>
      <w:r>
        <w:rPr>
          <w:rFonts w:ascii="Calibri" w:hAnsi="Calibri" w:cs="Calibri"/>
        </w:rPr>
        <w:t>STP Business Information GmbH</w:t>
      </w:r>
    </w:p>
    <w:p w14:paraId="69DBD858" w14:textId="77777777" w:rsidR="009C47A2" w:rsidRDefault="009C47A2">
      <w:pPr>
        <w:pStyle w:val="meta"/>
        <w:rPr>
          <w:rFonts w:ascii="Calibri" w:hAnsi="Calibri" w:cs="Calibri"/>
        </w:rPr>
      </w:pPr>
      <w:r>
        <w:rPr>
          <w:rFonts w:ascii="Calibri" w:hAnsi="Calibri" w:cs="Calibri"/>
        </w:rPr>
        <w:t>Brauerstraße 12, 76135 Karlsruhe</w:t>
      </w:r>
    </w:p>
    <w:p w14:paraId="32079BBC" w14:textId="77777777" w:rsidR="009C47A2" w:rsidRDefault="009C47A2">
      <w:pPr>
        <w:pStyle w:val="meta"/>
        <w:rPr>
          <w:rFonts w:ascii="Calibri" w:hAnsi="Calibri" w:cs="Calibri"/>
        </w:rPr>
      </w:pPr>
      <w:r>
        <w:rPr>
          <w:rFonts w:ascii="Calibri" w:hAnsi="Calibri" w:cs="Calibri"/>
        </w:rPr>
        <w:t>AG Mannheim · HRB 110915 · VAT ID DE227238030</w:t>
      </w:r>
    </w:p>
    <w:p w14:paraId="68EE471F" w14:textId="77777777" w:rsidR="009C47A2" w:rsidRDefault="009C47A2">
      <w:pPr>
        <w:pStyle w:val="meta"/>
        <w:rPr>
          <w:rFonts w:ascii="Calibri" w:hAnsi="Calibri" w:cs="Calibri"/>
        </w:rPr>
      </w:pPr>
      <w:r>
        <w:rPr>
          <w:rFonts w:ascii="Calibri" w:hAnsi="Calibri" w:cs="Calibri"/>
        </w:rPr>
        <w:t>Managing Directors: Fabian Padilla Crisol, Laurent Rueff, Martin Ripke</w:t>
      </w:r>
    </w:p>
    <w:p w14:paraId="182B6993" w14:textId="77777777" w:rsidR="009C47A2" w:rsidRDefault="009C47A2">
      <w:pPr>
        <w:pStyle w:val="meta"/>
        <w:rPr>
          <w:rFonts w:ascii="Calibri" w:hAnsi="Calibri" w:cs="Calibri"/>
        </w:rPr>
      </w:pPr>
      <w:r>
        <w:rPr>
          <w:rFonts w:ascii="Calibri" w:hAnsi="Calibri" w:cs="Calibri"/>
        </w:rPr>
        <w:t>Supplier:</w:t>
      </w:r>
    </w:p>
    <w:p w14:paraId="547DE2CD" w14:textId="77777777" w:rsidR="009C47A2" w:rsidRDefault="009C47A2">
      <w:pPr>
        <w:pStyle w:val="meta"/>
        <w:rPr>
          <w:rFonts w:ascii="Calibri" w:hAnsi="Calibri" w:cs="Calibri"/>
        </w:rPr>
      </w:pPr>
      <w:r>
        <w:rPr>
          <w:rFonts w:ascii="Calibri" w:hAnsi="Calibri" w:cs="Calibri"/>
        </w:rPr>
        <w:t>Founders1 GmbH</w:t>
      </w:r>
    </w:p>
    <w:p w14:paraId="7C72A75D" w14:textId="77777777" w:rsidR="009C47A2" w:rsidRDefault="009C47A2">
      <w:pPr>
        <w:pStyle w:val="meta"/>
        <w:rPr>
          <w:rFonts w:ascii="Calibri" w:hAnsi="Calibri" w:cs="Calibri"/>
        </w:rPr>
      </w:pPr>
      <w:r>
        <w:rPr>
          <w:rFonts w:ascii="Calibri" w:hAnsi="Calibri" w:cs="Calibri"/>
        </w:rPr>
        <w:t>Berger Str. 224, 60385 Frankfurt</w:t>
      </w:r>
    </w:p>
    <w:p w14:paraId="558B9345" w14:textId="77777777" w:rsidR="009C47A2" w:rsidRDefault="009C47A2">
      <w:pPr>
        <w:pStyle w:val="meta"/>
        <w:rPr>
          <w:rFonts w:ascii="Calibri" w:hAnsi="Calibri" w:cs="Calibri"/>
        </w:rPr>
      </w:pPr>
      <w:r>
        <w:rPr>
          <w:rFonts w:ascii="Calibri" w:hAnsi="Calibri" w:cs="Calibri"/>
        </w:rPr>
        <w:t>AG Charlottenburg (Berlin) · HRB 234373 B · VAT ID DE347408472</w:t>
      </w:r>
    </w:p>
    <w:p w14:paraId="669D9AE7" w14:textId="77777777" w:rsidR="009C47A2" w:rsidRDefault="009C47A2">
      <w:pPr>
        <w:pStyle w:val="meta"/>
        <w:rPr>
          <w:rFonts w:ascii="Calibri" w:hAnsi="Calibri" w:cs="Calibri"/>
        </w:rPr>
      </w:pPr>
      <w:r>
        <w:rPr>
          <w:rFonts w:ascii="Calibri" w:hAnsi="Calibri" w:cs="Calibri"/>
        </w:rPr>
        <w:t>Managing Director: Eckhard Ortwein</w:t>
      </w:r>
    </w:p>
    <w:p w14:paraId="474C6BC8" w14:textId="77777777" w:rsidR="009C47A2" w:rsidRDefault="009C47A2">
      <w:pPr>
        <w:pStyle w:val="meta"/>
        <w:rPr>
          <w:rFonts w:ascii="Calibri" w:hAnsi="Calibri" w:cs="Calibri"/>
        </w:rPr>
      </w:pPr>
      <w:r>
        <w:rPr>
          <w:rFonts w:ascii="Calibri" w:hAnsi="Calibri" w:cs="Calibri"/>
        </w:rPr>
        <w:t>hereinafter</w:t>
      </w:r>
    </w:p>
    <w:p w14:paraId="59CFA5A8" w14:textId="77777777" w:rsidR="009C47A2" w:rsidRDefault="009C47A2">
      <w:pPr>
        <w:pStyle w:val="meta"/>
        <w:rPr>
          <w:rFonts w:ascii="Calibri" w:hAnsi="Calibri" w:cs="Calibri"/>
        </w:rPr>
      </w:pPr>
      <w:r>
        <w:rPr>
          <w:rFonts w:ascii="Calibri" w:hAnsi="Calibri" w:cs="Calibri"/>
        </w:rPr>
        <w:t>STP</w:t>
      </w:r>
    </w:p>
    <w:p w14:paraId="0E12FB3F" w14:textId="77777777" w:rsidR="009C47A2" w:rsidRDefault="009C47A2">
      <w:pPr>
        <w:pStyle w:val="meta"/>
        <w:rPr>
          <w:rFonts w:ascii="Calibri" w:hAnsi="Calibri" w:cs="Calibri"/>
        </w:rPr>
      </w:pPr>
      <w:r>
        <w:rPr>
          <w:rFonts w:ascii="Calibri" w:hAnsi="Calibri" w:cs="Calibri"/>
        </w:rPr>
        <w:t>hereinafter</w:t>
      </w:r>
    </w:p>
    <w:p w14:paraId="093D51DE" w14:textId="77777777" w:rsidR="009C47A2" w:rsidRDefault="009C47A2">
      <w:pPr>
        <w:pStyle w:val="meta"/>
        <w:rPr>
          <w:rFonts w:ascii="Calibri" w:hAnsi="Calibri" w:cs="Calibri"/>
        </w:rPr>
      </w:pPr>
      <w:r>
        <w:rPr>
          <w:rFonts w:ascii="Calibri" w:hAnsi="Calibri" w:cs="Calibri"/>
        </w:rPr>
        <w:t>Founders1</w:t>
      </w:r>
    </w:p>
    <w:p w14:paraId="107A6B0C" w14:textId="77777777" w:rsidR="009C47A2" w:rsidRDefault="009C47A2">
      <w:pPr>
        <w:pStyle w:val="meta"/>
        <w:rPr>
          <w:rFonts w:ascii="Calibri" w:hAnsi="Calibri" w:cs="Calibri"/>
        </w:rPr>
      </w:pPr>
      <w:r>
        <w:rPr>
          <w:rFonts w:ascii="Calibri" w:hAnsi="Calibri" w:cs="Calibri"/>
        </w:rPr>
        <w:t>Draft · 14 September 2026</w:t>
      </w:r>
    </w:p>
    <w:p w14:paraId="43696415"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Founders1 GmbH</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(“Founders1”) operates </w:t>
      </w:r>
      <w:r>
        <w:rPr>
          <w:rStyle w:val="Fett"/>
          <w:rFonts w:ascii="Calibri" w:eastAsia="Times New Roman" w:hAnsi="Calibri" w:cs="Calibri"/>
          <w:color w:val="222233"/>
          <w:sz w:val="21"/>
          <w:szCs w:val="21"/>
        </w:rPr>
        <w:t>BetterCo</w:t>
      </w:r>
      <w:r>
        <w:rPr>
          <w:rFonts w:ascii="Calibri" w:eastAsia="Times New Roman" w:hAnsi="Calibri" w:cs="Calibri"/>
          <w:color w:val="222233"/>
          <w:sz w:val="21"/>
          <w:szCs w:val="21"/>
        </w:rPr>
        <w:t xml:space="preserve">, the platform through which it procures company registry documents and structured registry data from official registers and other procurement routes, holds them, and delivers them with provenance. Throughout this Agreement, </w:t>
      </w:r>
      <w:r>
        <w:rPr>
          <w:rStyle w:val="Hervorhebung"/>
          <w:rFonts w:ascii="Calibri" w:eastAsia="Times New Roman" w:hAnsi="Calibri" w:cs="Calibri"/>
          <w:color w:val="222233"/>
          <w:sz w:val="21"/>
          <w:szCs w:val="21"/>
        </w:rPr>
        <w:t>Founders1</w:t>
      </w:r>
      <w:r>
        <w:rPr>
          <w:rFonts w:ascii="Calibri" w:eastAsia="Times New Roman" w:hAnsi="Calibri" w:cs="Calibri"/>
          <w:color w:val="222233"/>
          <w:sz w:val="21"/>
          <w:szCs w:val="21"/>
        </w:rPr>
        <w:t xml:space="preserve"> is the contracting party and </w:t>
      </w:r>
      <w:r>
        <w:rPr>
          <w:rStyle w:val="Hervorhebung"/>
          <w:rFonts w:ascii="Calibri" w:eastAsia="Times New Roman" w:hAnsi="Calibri" w:cs="Calibri"/>
          <w:color w:val="222233"/>
          <w:sz w:val="21"/>
          <w:szCs w:val="21"/>
        </w:rPr>
        <w:t>BetterCo</w:t>
      </w:r>
      <w:r>
        <w:rPr>
          <w:rFonts w:ascii="Calibri" w:eastAsia="Times New Roman" w:hAnsi="Calibri" w:cs="Calibri"/>
          <w:color w:val="222233"/>
          <w:sz w:val="21"/>
          <w:szCs w:val="21"/>
        </w:rPr>
        <w:t xml:space="preserve"> is the service STP connects to. STP supplies software and information services to legal, notarial and tax practices and wishes to </w:t>
      </w:r>
      <w:r>
        <w:rPr>
          <w:rFonts w:ascii="Calibri" w:eastAsia="Times New Roman" w:hAnsi="Calibri" w:cs="Calibri"/>
          <w:color w:val="222233"/>
          <w:sz w:val="21"/>
          <w:szCs w:val="21"/>
        </w:rPr>
        <w:t xml:space="preserve">offer that service to its clients in its own name. Annex 1 describes the service; this Agreement sets the terms on which STP resells it. </w:t>
      </w:r>
    </w:p>
    <w:p w14:paraId="3D31405D" w14:textId="77777777" w:rsidR="009C47A2" w:rsidRDefault="009C47A2">
      <w:pPr>
        <w:pStyle w:val="berschrift2"/>
        <w:rPr>
          <w:rFonts w:eastAsia="Times New Roman"/>
        </w:rPr>
      </w:pPr>
      <w:r>
        <w:rPr>
          <w:rFonts w:eastAsia="Times New Roman"/>
        </w:rPr>
        <w:t>1 Definitions</w:t>
      </w:r>
    </w:p>
    <w:p w14:paraId="257EF53F"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1.1</w:t>
      </w:r>
      <w:r>
        <w:rPr>
          <w:rFonts w:ascii="Calibri" w:hAnsi="Calibri" w:cs="Calibri"/>
          <w:b/>
          <w:bCs/>
          <w:color w:val="222233"/>
          <w:sz w:val="21"/>
          <w:szCs w:val="21"/>
        </w:rPr>
        <w:t> </w:t>
      </w:r>
    </w:p>
    <w:p w14:paraId="129333FA"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Affiliate</w:t>
      </w:r>
      <w:r>
        <w:rPr>
          <w:rFonts w:ascii="Calibri" w:eastAsia="Times New Roman" w:hAnsi="Calibri" w:cs="Calibri"/>
          <w:color w:val="222233"/>
          <w:sz w:val="21"/>
          <w:szCs w:val="21"/>
        </w:rPr>
        <w:t xml:space="preserve"> — an undertaking affiliated with a party within the meaning of §§ 15 ff. AktG. </w:t>
      </w:r>
      <w:r>
        <w:rPr>
          <w:rStyle w:val="Fett"/>
          <w:rFonts w:ascii="Calibri" w:eastAsia="Times New Roman" w:hAnsi="Calibri" w:cs="Calibri"/>
          <w:color w:val="222233"/>
          <w:sz w:val="21"/>
          <w:szCs w:val="21"/>
        </w:rPr>
        <w:t>Septeo Group</w:t>
      </w:r>
      <w:r>
        <w:rPr>
          <w:rFonts w:ascii="Calibri" w:eastAsia="Times New Roman" w:hAnsi="Calibri" w:cs="Calibri"/>
          <w:color w:val="222233"/>
          <w:sz w:val="21"/>
          <w:szCs w:val="21"/>
        </w:rPr>
        <w:t xml:space="preserve"> — Septeo SAS and its Affiliates.</w:t>
      </w:r>
    </w:p>
    <w:p w14:paraId="343DB93D"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1.2</w:t>
      </w:r>
      <w:r>
        <w:rPr>
          <w:rFonts w:ascii="Calibri" w:hAnsi="Calibri" w:cs="Calibri"/>
          <w:b/>
          <w:bCs/>
          <w:color w:val="222233"/>
          <w:sz w:val="21"/>
          <w:szCs w:val="21"/>
        </w:rPr>
        <w:t> </w:t>
      </w:r>
    </w:p>
    <w:p w14:paraId="3EF83493"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Case</w:t>
      </w:r>
      <w:r>
        <w:rPr>
          <w:rFonts w:ascii="Calibri" w:eastAsia="Times New Roman" w:hAnsi="Calibri" w:cs="Calibri"/>
          <w:color w:val="222233"/>
          <w:sz w:val="21"/>
          <w:szCs w:val="21"/>
        </w:rPr>
        <w:t xml:space="preserve"> — one order for one company in one jurisdiction, as defined in Annex 1.</w:t>
      </w:r>
    </w:p>
    <w:p w14:paraId="5305B5F5"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1.3</w:t>
      </w:r>
      <w:r>
        <w:rPr>
          <w:rFonts w:ascii="Calibri" w:hAnsi="Calibri" w:cs="Calibri"/>
          <w:b/>
          <w:bCs/>
          <w:color w:val="222233"/>
          <w:sz w:val="21"/>
          <w:szCs w:val="21"/>
        </w:rPr>
        <w:t> </w:t>
      </w:r>
    </w:p>
    <w:p w14:paraId="1D224795"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Documents</w:t>
      </w:r>
      <w:r>
        <w:rPr>
          <w:rFonts w:ascii="Calibri" w:eastAsia="Times New Roman" w:hAnsi="Calibri" w:cs="Calibri"/>
          <w:color w:val="222233"/>
          <w:sz w:val="21"/>
          <w:szCs w:val="21"/>
        </w:rPr>
        <w:t xml:space="preserve"> — the registry documents and structured registry data delivered under a Case, together with their provenance metadata.</w:t>
      </w:r>
    </w:p>
    <w:p w14:paraId="4720CEDC"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1.4</w:t>
      </w:r>
      <w:r>
        <w:rPr>
          <w:rFonts w:ascii="Calibri" w:hAnsi="Calibri" w:cs="Calibri"/>
          <w:b/>
          <w:bCs/>
          <w:color w:val="222233"/>
          <w:sz w:val="21"/>
          <w:szCs w:val="21"/>
        </w:rPr>
        <w:t> </w:t>
      </w:r>
    </w:p>
    <w:p w14:paraId="50AC9C72"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End Client</w:t>
      </w:r>
      <w:r>
        <w:rPr>
          <w:rFonts w:ascii="Calibri" w:eastAsia="Times New Roman" w:hAnsi="Calibri" w:cs="Calibri"/>
          <w:color w:val="222233"/>
          <w:sz w:val="21"/>
          <w:szCs w:val="21"/>
        </w:rPr>
        <w:t xml:space="preserve"> — a client of STP or of a Permitted Affiliate to whom the service is resold.</w:t>
      </w:r>
    </w:p>
    <w:p w14:paraId="08FAA90B"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1.5</w:t>
      </w:r>
      <w:r>
        <w:rPr>
          <w:rFonts w:ascii="Calibri" w:hAnsi="Calibri" w:cs="Calibri"/>
          <w:b/>
          <w:bCs/>
          <w:color w:val="222233"/>
          <w:sz w:val="21"/>
          <w:szCs w:val="21"/>
        </w:rPr>
        <w:t> </w:t>
      </w:r>
    </w:p>
    <w:p w14:paraId="1333C67E"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Platform</w:t>
      </w:r>
      <w:r>
        <w:rPr>
          <w:rFonts w:ascii="Calibri" w:eastAsia="Times New Roman" w:hAnsi="Calibri" w:cs="Calibri"/>
          <w:color w:val="222233"/>
          <w:sz w:val="21"/>
          <w:szCs w:val="21"/>
        </w:rPr>
        <w:t xml:space="preserve"> — the BetterCo platform, its API, and the coverage and routing data behind it.</w:t>
      </w:r>
    </w:p>
    <w:p w14:paraId="44528BCB" w14:textId="77777777" w:rsidR="009C47A2" w:rsidRDefault="009C47A2">
      <w:pPr>
        <w:pStyle w:val="berschrift2"/>
        <w:rPr>
          <w:rFonts w:eastAsia="Times New Roman"/>
        </w:rPr>
      </w:pPr>
      <w:r>
        <w:rPr>
          <w:rFonts w:eastAsia="Times New Roman"/>
        </w:rPr>
        <w:t>2 Subject matter</w:t>
      </w:r>
    </w:p>
    <w:p w14:paraId="2DC9B12E"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2.1</w:t>
      </w:r>
      <w:r>
        <w:rPr>
          <w:rFonts w:ascii="Calibri" w:hAnsi="Calibri" w:cs="Calibri"/>
          <w:b/>
          <w:bCs/>
          <w:color w:val="222233"/>
          <w:sz w:val="21"/>
          <w:szCs w:val="21"/>
        </w:rPr>
        <w:t> </w:t>
      </w:r>
    </w:p>
    <w:p w14:paraId="2D9F01A9"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Founders1 provides the service described in Annex 1. STP resells it in its own name and for its own account.</w:t>
      </w:r>
    </w:p>
    <w:p w14:paraId="480F82F7"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2.2</w:t>
      </w:r>
      <w:r>
        <w:rPr>
          <w:rFonts w:ascii="Calibri" w:hAnsi="Calibri" w:cs="Calibri"/>
          <w:b/>
          <w:bCs/>
          <w:color w:val="222233"/>
          <w:sz w:val="21"/>
          <w:szCs w:val="21"/>
        </w:rPr>
        <w:t> </w:t>
      </w:r>
    </w:p>
    <w:p w14:paraId="16201E04"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The Annexes form part of this Agreement. In case of conflict, this Agreement prevails over the Annexes, and Annex 1 prevails over the remaining Annexes.</w:t>
      </w:r>
    </w:p>
    <w:p w14:paraId="692C4296"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2.3</w:t>
      </w:r>
      <w:r>
        <w:rPr>
          <w:rFonts w:ascii="Calibri" w:hAnsi="Calibri" w:cs="Calibri"/>
          <w:b/>
          <w:bCs/>
          <w:color w:val="222233"/>
          <w:sz w:val="21"/>
          <w:szCs w:val="21"/>
        </w:rPr>
        <w:t> </w:t>
      </w:r>
    </w:p>
    <w:p w14:paraId="62036B1A"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STP's general terms and conditions of purchase do not apply, including where STP refers to them in an order or acceptance.</w:t>
      </w:r>
    </w:p>
    <w:p w14:paraId="3830B2E4" w14:textId="77777777" w:rsidR="009C47A2" w:rsidRDefault="009C47A2">
      <w:pPr>
        <w:pStyle w:val="berschrift2"/>
        <w:rPr>
          <w:rFonts w:eastAsia="Times New Roman"/>
        </w:rPr>
      </w:pPr>
      <w:r>
        <w:rPr>
          <w:rFonts w:eastAsia="Times New Roman"/>
        </w:rPr>
        <w:lastRenderedPageBreak/>
        <w:t>3 Grant of rights</w:t>
      </w:r>
    </w:p>
    <w:p w14:paraId="3F4BA4A1"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3.1</w:t>
      </w:r>
      <w:r>
        <w:rPr>
          <w:rFonts w:ascii="Calibri" w:hAnsi="Calibri" w:cs="Calibri"/>
          <w:b/>
          <w:bCs/>
          <w:color w:val="222233"/>
          <w:sz w:val="21"/>
          <w:szCs w:val="21"/>
        </w:rPr>
        <w:t> </w:t>
      </w:r>
    </w:p>
    <w:p w14:paraId="53F7791F"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Resale right.</w:t>
      </w:r>
      <w:r>
        <w:rPr>
          <w:rFonts w:ascii="Calibri" w:eastAsia="Times New Roman" w:hAnsi="Calibri" w:cs="Calibri"/>
          <w:color w:val="222233"/>
          <w:sz w:val="21"/>
          <w:szCs w:val="21"/>
        </w:rPr>
        <w:t xml:space="preserve"> Founders1 grants STP the </w:t>
      </w:r>
      <w:r>
        <w:rPr>
          <w:rStyle w:val="Fett"/>
          <w:rFonts w:ascii="Calibri" w:eastAsia="Times New Roman" w:hAnsi="Calibri" w:cs="Calibri"/>
          <w:color w:val="222233"/>
          <w:sz w:val="21"/>
          <w:szCs w:val="21"/>
        </w:rPr>
        <w:t>non-exclusive</w:t>
      </w:r>
      <w:r>
        <w:rPr>
          <w:rFonts w:ascii="Calibri" w:eastAsia="Times New Roman" w:hAnsi="Calibri" w:cs="Calibri"/>
          <w:color w:val="222233"/>
          <w:sz w:val="21"/>
          <w:szCs w:val="21"/>
        </w:rPr>
        <w:t xml:space="preserve">, non-transferable right, for the term of this Agreement, to market, sell, invoice and deliver the service to End Clients </w:t>
      </w:r>
      <w:r>
        <w:rPr>
          <w:rStyle w:val="Fett"/>
          <w:rFonts w:ascii="Calibri" w:eastAsia="Times New Roman" w:hAnsi="Calibri" w:cs="Calibri"/>
          <w:color w:val="222233"/>
          <w:sz w:val="21"/>
          <w:szCs w:val="21"/>
        </w:rPr>
        <w:t>in its own name and for its own account</w:t>
      </w:r>
      <w:r>
        <w:rPr>
          <w:rFonts w:ascii="Calibri" w:eastAsia="Times New Roman" w:hAnsi="Calibri" w:cs="Calibri"/>
          <w:color w:val="222233"/>
          <w:sz w:val="21"/>
          <w:szCs w:val="21"/>
        </w:rPr>
        <w:t>.</w:t>
      </w:r>
    </w:p>
    <w:p w14:paraId="57EE82C9"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3.2</w:t>
      </w:r>
      <w:r>
        <w:rPr>
          <w:rFonts w:ascii="Calibri" w:hAnsi="Calibri" w:cs="Calibri"/>
          <w:b/>
          <w:bCs/>
          <w:color w:val="222233"/>
          <w:sz w:val="21"/>
          <w:szCs w:val="21"/>
        </w:rPr>
        <w:t> </w:t>
      </w:r>
    </w:p>
    <w:p w14:paraId="741C41C4"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API licence.</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Founders1 grants STP the non-exclusive right to access and use the API for the purpose of clause 3.1. This is not a licence to the Platform, to the coverage and routing data, or to the jurisdiction and document-kind classification.</w:t>
      </w:r>
    </w:p>
    <w:p w14:paraId="7B13F9DB"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3.3</w:t>
      </w:r>
      <w:r>
        <w:rPr>
          <w:rFonts w:ascii="Calibri" w:hAnsi="Calibri" w:cs="Calibri"/>
          <w:b/>
          <w:bCs/>
          <w:color w:val="222233"/>
          <w:sz w:val="21"/>
          <w:szCs w:val="21"/>
        </w:rPr>
        <w:t> </w:t>
      </w:r>
    </w:p>
    <w:p w14:paraId="486537ED"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Own brand.</w:t>
      </w:r>
      <w:r>
        <w:rPr>
          <w:rFonts w:ascii="Calibri" w:eastAsia="Times New Roman" w:hAnsi="Calibri" w:cs="Calibri"/>
          <w:color w:val="222233"/>
          <w:sz w:val="21"/>
          <w:szCs w:val="21"/>
        </w:rPr>
        <w:t xml:space="preserve"> STP presents the service under its own name and brand. This Agreement grants no licence to any mark of Founders1, and no authority to act for Founders1 or to make representations about the service beyond Annex 1.</w:t>
      </w:r>
    </w:p>
    <w:p w14:paraId="6E1F5231"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3.4</w:t>
      </w:r>
      <w:r>
        <w:rPr>
          <w:rFonts w:ascii="Calibri" w:hAnsi="Calibri" w:cs="Calibri"/>
          <w:b/>
          <w:bCs/>
          <w:color w:val="222233"/>
          <w:sz w:val="21"/>
          <w:szCs w:val="21"/>
        </w:rPr>
        <w:t> </w:t>
      </w:r>
    </w:p>
    <w:p w14:paraId="42A10C80"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Field of use.</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The rights under clause 3.1 apply to the provision of company-information, onboarding, KYC/AML and client-file services to professional End Clients. Professional End Clients include legal, notarial and tax practices, and </w:t>
      </w:r>
      <w:r>
        <w:rPr>
          <w:rStyle w:val="Fett"/>
          <w:rFonts w:ascii="Calibri" w:eastAsia="Times New Roman" w:hAnsi="Calibri" w:cs="Calibri"/>
          <w:color w:val="222233"/>
          <w:sz w:val="21"/>
          <w:szCs w:val="21"/>
        </w:rPr>
        <w:t>regulated institutions such as banks, payment and financial services institutions, insurers and funds</w:t>
      </w:r>
      <w:r>
        <w:rPr>
          <w:rFonts w:ascii="Calibri" w:eastAsia="Times New Roman" w:hAnsi="Calibri" w:cs="Calibri"/>
          <w:color w:val="222233"/>
          <w:sz w:val="21"/>
          <w:szCs w:val="21"/>
        </w:rPr>
        <w:t>, in each case using the service to discharge their own obligations in respect of their own customers, counterparties and suppliers. The rights do not extend to resale to data vendors, data brokers, or providers of competing registry-aggregation services, nor to an End Client providing the service or the Documents onward as a service to its own customers (clause 3.5, Annex 5).</w:t>
      </w:r>
    </w:p>
    <w:p w14:paraId="37695727"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3.5</w:t>
      </w:r>
      <w:r>
        <w:rPr>
          <w:rFonts w:ascii="Calibri" w:hAnsi="Calibri" w:cs="Calibri"/>
          <w:b/>
          <w:bCs/>
          <w:color w:val="222233"/>
          <w:sz w:val="21"/>
          <w:szCs w:val="21"/>
        </w:rPr>
        <w:t> </w:t>
      </w:r>
    </w:p>
    <w:p w14:paraId="5F414609"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End Client rights.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STP may grant each End Client a non-exclusive right to use the Documents delivered for that End Client for its own KYC/AML, onboarding, advisory and record-retention purposes. </w:t>
      </w:r>
      <w:r>
        <w:rPr>
          <w:rStyle w:val="Fett"/>
          <w:rFonts w:ascii="Calibri" w:eastAsia="Times New Roman" w:hAnsi="Calibri" w:cs="Calibri"/>
          <w:color w:val="222233"/>
          <w:sz w:val="21"/>
          <w:szCs w:val="21"/>
        </w:rPr>
        <w:t>Each End Client may retain those Documents for as long as its statutory retention obligation requires, including after this Agreement ends</w:t>
      </w:r>
      <w:r>
        <w:rPr>
          <w:rFonts w:ascii="Calibri" w:eastAsia="Times New Roman" w:hAnsi="Calibri" w:cs="Calibri"/>
          <w:color w:val="222233"/>
          <w:sz w:val="21"/>
          <w:szCs w:val="21"/>
        </w:rPr>
        <w:t xml:space="preserve"> (Annex 5). Beyond that, the rights follow what Founders1 holds in the underlying content; Founders1 states the applicable scope with each Document.</w:t>
      </w:r>
    </w:p>
    <w:p w14:paraId="6628C36C"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3.6</w:t>
      </w:r>
      <w:r>
        <w:rPr>
          <w:rFonts w:ascii="Calibri" w:hAnsi="Calibri" w:cs="Calibri"/>
          <w:b/>
          <w:bCs/>
          <w:color w:val="222233"/>
          <w:sz w:val="21"/>
          <w:szCs w:val="21"/>
        </w:rPr>
        <w:t> </w:t>
      </w:r>
    </w:p>
    <w:p w14:paraId="44DE059D"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Non-exclusivity.</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Founders1 remains free to provide the service directly and through other resellers, in any market, including to clients of the kind STP serves.</w:t>
      </w:r>
    </w:p>
    <w:p w14:paraId="148A29C9" w14:textId="77777777" w:rsidR="009C47A2" w:rsidRDefault="009C47A2">
      <w:pPr>
        <w:pStyle w:val="berschrift2"/>
        <w:rPr>
          <w:rFonts w:eastAsia="Times New Roman"/>
        </w:rPr>
      </w:pPr>
      <w:r>
        <w:rPr>
          <w:rFonts w:eastAsia="Times New Roman"/>
        </w:rPr>
        <w:t>4 Septeo Group scope</w:t>
      </w:r>
    </w:p>
    <w:p w14:paraId="1371BE04"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4.1</w:t>
      </w:r>
      <w:r>
        <w:rPr>
          <w:rFonts w:ascii="Calibri" w:hAnsi="Calibri" w:cs="Calibri"/>
          <w:b/>
          <w:bCs/>
          <w:color w:val="222233"/>
          <w:sz w:val="21"/>
          <w:szCs w:val="21"/>
        </w:rPr>
        <w:t> </w:t>
      </w:r>
    </w:p>
    <w:p w14:paraId="0D936990"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Members of the Septeo Group may exercise the rights under clauses 3.1 to 3.5 as </w:t>
      </w:r>
      <w:r>
        <w:rPr>
          <w:rStyle w:val="Fett"/>
          <w:rFonts w:ascii="Calibri" w:hAnsi="Calibri" w:cs="Calibri"/>
          <w:color w:val="222233"/>
          <w:sz w:val="21"/>
          <w:szCs w:val="21"/>
        </w:rPr>
        <w:t>Permitted Affiliates</w:t>
      </w:r>
      <w:r>
        <w:rPr>
          <w:rFonts w:ascii="Calibri" w:hAnsi="Calibri" w:cs="Calibri"/>
          <w:color w:val="222233"/>
          <w:sz w:val="21"/>
          <w:szCs w:val="21"/>
        </w:rPr>
        <w:t>. STP notifies Founders1 in text form of the affiliate to be admitted; it becomes a Permitted Affiliate upon confirmation by Founders1, which will not be unreasonably withheld. Admitted affiliates are listed in Annex 4.</w:t>
      </w:r>
    </w:p>
    <w:p w14:paraId="6B455F13"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4.2</w:t>
      </w:r>
      <w:r>
        <w:rPr>
          <w:rFonts w:ascii="Calibri" w:hAnsi="Calibri" w:cs="Calibri"/>
          <w:b/>
          <w:bCs/>
          <w:color w:val="222233"/>
          <w:sz w:val="21"/>
          <w:szCs w:val="21"/>
        </w:rPr>
        <w:t> </w:t>
      </w:r>
    </w:p>
    <w:p w14:paraId="5F5D4AB8"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STP remains the </w:t>
      </w:r>
      <w:r>
        <w:rPr>
          <w:rStyle w:val="Fett"/>
          <w:rFonts w:ascii="Calibri" w:hAnsi="Calibri" w:cs="Calibri"/>
          <w:color w:val="222233"/>
          <w:sz w:val="21"/>
          <w:szCs w:val="21"/>
        </w:rPr>
        <w:t>sole contracting and billing party</w:t>
      </w:r>
      <w:r>
        <w:rPr>
          <w:rFonts w:ascii="Calibri" w:hAnsi="Calibri" w:cs="Calibri"/>
          <w:color w:val="222233"/>
          <w:sz w:val="21"/>
          <w:szCs w:val="21"/>
        </w:rPr>
        <w:t>. All orders are placed through STP's account and all invoices are issued to STP. Founders1 enters into no contractual relationship with a Permitted Affiliate.</w:t>
      </w:r>
    </w:p>
    <w:p w14:paraId="19086790"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4.3</w:t>
      </w:r>
      <w:r>
        <w:rPr>
          <w:rFonts w:ascii="Calibri" w:hAnsi="Calibri" w:cs="Calibri"/>
          <w:b/>
          <w:bCs/>
          <w:color w:val="222233"/>
          <w:sz w:val="21"/>
          <w:szCs w:val="21"/>
        </w:rPr>
        <w:t> </w:t>
      </w:r>
    </w:p>
    <w:p w14:paraId="7279B64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STP is liable for the acts and omissions of Permitted Affiliates under this Agreement as for its own.</w:t>
      </w:r>
    </w:p>
    <w:p w14:paraId="4253DAFA"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4.4</w:t>
      </w:r>
      <w:r>
        <w:rPr>
          <w:rFonts w:ascii="Calibri" w:hAnsi="Calibri" w:cs="Calibri"/>
          <w:b/>
          <w:bCs/>
          <w:color w:val="222233"/>
          <w:sz w:val="21"/>
          <w:szCs w:val="21"/>
        </w:rPr>
        <w:t> </w:t>
      </w:r>
    </w:p>
    <w:p w14:paraId="2604806A"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An entity leaving the Septeo Group ceases to be a Permitted Affiliate at that point. Clause 3.5 remains unaffected for Documents already delivered.</w:t>
      </w:r>
    </w:p>
    <w:p w14:paraId="15BF22F3" w14:textId="77777777" w:rsidR="009C47A2" w:rsidRDefault="009C47A2">
      <w:pPr>
        <w:pStyle w:val="berschrift2"/>
        <w:rPr>
          <w:rFonts w:eastAsia="Times New Roman"/>
        </w:rPr>
      </w:pPr>
      <w:r>
        <w:rPr>
          <w:rFonts w:eastAsia="Times New Roman"/>
        </w:rPr>
        <w:t>5 Restrictions</w:t>
      </w:r>
    </w:p>
    <w:p w14:paraId="60AC7FD8"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5.1</w:t>
      </w:r>
      <w:r>
        <w:rPr>
          <w:rFonts w:ascii="Calibri" w:hAnsi="Calibri" w:cs="Calibri"/>
          <w:b/>
          <w:bCs/>
          <w:color w:val="222233"/>
          <w:sz w:val="21"/>
          <w:szCs w:val="21"/>
        </w:rPr>
        <w:t> </w:t>
      </w:r>
    </w:p>
    <w:p w14:paraId="54B16AD1"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Documents are delivered for the file of the individual End Client. STP will not redistribute them beyond that file, will not resell or license the structured data as a dataset, and will not perform bulk extraction.</w:t>
      </w:r>
    </w:p>
    <w:p w14:paraId="355BBC9A"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5.2</w:t>
      </w:r>
      <w:r>
        <w:rPr>
          <w:rFonts w:ascii="Calibri" w:hAnsi="Calibri" w:cs="Calibri"/>
          <w:b/>
          <w:bCs/>
          <w:color w:val="222233"/>
          <w:sz w:val="21"/>
          <w:szCs w:val="21"/>
        </w:rPr>
        <w:t> </w:t>
      </w:r>
    </w:p>
    <w:p w14:paraId="1B5F3045"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STP will not use the Documents, the coverage classification, or the availability information </w:t>
      </w:r>
      <w:r>
        <w:rPr>
          <w:rStyle w:val="Fett"/>
          <w:rFonts w:ascii="Calibri" w:hAnsi="Calibri" w:cs="Calibri"/>
          <w:color w:val="222233"/>
          <w:sz w:val="21"/>
          <w:szCs w:val="21"/>
        </w:rPr>
        <w:t>actually obtained from Founders1</w:t>
      </w:r>
      <w:r>
        <w:rPr>
          <w:rFonts w:ascii="Calibri" w:hAnsi="Calibri" w:cs="Calibri"/>
          <w:color w:val="222233"/>
          <w:sz w:val="21"/>
          <w:szCs w:val="21"/>
        </w:rPr>
        <w:t xml:space="preserve"> </w:t>
      </w:r>
      <w:r>
        <w:rPr>
          <w:rFonts w:ascii="Calibri" w:hAnsi="Calibri" w:cs="Calibri"/>
          <w:color w:val="222233"/>
          <w:sz w:val="21"/>
          <w:szCs w:val="21"/>
        </w:rPr>
        <w:t xml:space="preserve">to build, train, operate or supply a competing registry-aggregation, coverage or document-procurement product, whether itself or for a third party. This obligation binds STP and those Permitted Affiliates that receive such information, during the term and for </w:t>
      </w:r>
      <w:r>
        <w:rPr>
          <w:rStyle w:val="Fett"/>
          <w:rFonts w:ascii="Calibri" w:hAnsi="Calibri" w:cs="Calibri"/>
          <w:color w:val="222233"/>
          <w:sz w:val="21"/>
          <w:szCs w:val="21"/>
        </w:rPr>
        <w:t>24 months</w:t>
      </w:r>
      <w:r>
        <w:rPr>
          <w:rFonts w:ascii="Calibri" w:hAnsi="Calibri" w:cs="Calibri"/>
          <w:color w:val="222233"/>
          <w:sz w:val="21"/>
          <w:szCs w:val="21"/>
        </w:rPr>
        <w:t xml:space="preserve"> thereafter.</w:t>
      </w:r>
    </w:p>
    <w:p w14:paraId="2DCB961E"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5.2a</w:t>
      </w:r>
      <w:r>
        <w:rPr>
          <w:rFonts w:ascii="Calibri" w:hAnsi="Calibri" w:cs="Calibri"/>
          <w:b/>
          <w:bCs/>
          <w:color w:val="222233"/>
          <w:sz w:val="21"/>
          <w:szCs w:val="21"/>
        </w:rPr>
        <w:t> </w:t>
      </w:r>
    </w:p>
    <w:p w14:paraId="764AC893"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Clause 5.2 does not restrict the use of information that is public, independently developed, or lawfully obtained from another source, nor the unaided use of </w:t>
      </w:r>
      <w:r>
        <w:rPr>
          <w:rStyle w:val="Fett"/>
          <w:rFonts w:ascii="Calibri" w:hAnsi="Calibri" w:cs="Calibri"/>
          <w:color w:val="222233"/>
          <w:sz w:val="21"/>
          <w:szCs w:val="21"/>
        </w:rPr>
        <w:t>general knowledge, skills and experience</w:t>
      </w:r>
      <w:r>
        <w:rPr>
          <w:rFonts w:ascii="Calibri" w:hAnsi="Calibri" w:cs="Calibri"/>
          <w:color w:val="222233"/>
          <w:sz w:val="21"/>
          <w:szCs w:val="21"/>
        </w:rPr>
        <w:t xml:space="preserve"> </w:t>
      </w:r>
      <w:r>
        <w:rPr>
          <w:rFonts w:ascii="Calibri" w:hAnsi="Calibri" w:cs="Calibri"/>
          <w:color w:val="222233"/>
          <w:sz w:val="21"/>
          <w:szCs w:val="21"/>
        </w:rPr>
        <w:t>retained in the memory of individuals who have had access to it.</w:t>
      </w:r>
    </w:p>
    <w:p w14:paraId="2DFD9AC7"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5.3</w:t>
      </w:r>
      <w:r>
        <w:rPr>
          <w:rFonts w:ascii="Calibri" w:hAnsi="Calibri" w:cs="Calibri"/>
          <w:b/>
          <w:bCs/>
          <w:color w:val="222233"/>
          <w:sz w:val="21"/>
          <w:szCs w:val="21"/>
        </w:rPr>
        <w:t> </w:t>
      </w:r>
    </w:p>
    <w:p w14:paraId="75278301"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STP will not cache or store Documents in order to serve later orders of End Clients outside the re-use mechanism set out in Annex 1. Retention in the End Client's own file under clause 3.5 is unaffected.</w:t>
      </w:r>
    </w:p>
    <w:p w14:paraId="07D9BED8"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5.4</w:t>
      </w:r>
      <w:r>
        <w:rPr>
          <w:rFonts w:ascii="Calibri" w:hAnsi="Calibri" w:cs="Calibri"/>
          <w:b/>
          <w:bCs/>
          <w:color w:val="222233"/>
          <w:sz w:val="21"/>
          <w:szCs w:val="21"/>
        </w:rPr>
        <w:t> </w:t>
      </w:r>
    </w:p>
    <w:p w14:paraId="477B1326"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Sub-distribution is permitted only under clause 4.</w:t>
      </w:r>
    </w:p>
    <w:p w14:paraId="579A78DD"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5.5</w:t>
      </w:r>
      <w:r>
        <w:rPr>
          <w:rFonts w:ascii="Calibri" w:hAnsi="Calibri" w:cs="Calibri"/>
          <w:b/>
          <w:bCs/>
          <w:color w:val="222233"/>
          <w:sz w:val="21"/>
          <w:szCs w:val="21"/>
        </w:rPr>
        <w:t> </w:t>
      </w:r>
    </w:p>
    <w:p w14:paraId="5C1B8AE1"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Reverse engineering of the Platform or API is permitted only within the limits of mandatory law (§ 69e UrhG).</w:t>
      </w:r>
    </w:p>
    <w:p w14:paraId="27ABB65A" w14:textId="77777777" w:rsidR="009C47A2" w:rsidRDefault="009C47A2">
      <w:pPr>
        <w:pStyle w:val="berschrift2"/>
        <w:rPr>
          <w:rFonts w:eastAsia="Times New Roman"/>
        </w:rPr>
      </w:pPr>
      <w:r>
        <w:rPr>
          <w:rFonts w:eastAsia="Times New Roman"/>
        </w:rPr>
        <w:t>6 Procurement routes and non-circumvention</w:t>
      </w:r>
    </w:p>
    <w:p w14:paraId="017F61A8"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6.1</w:t>
      </w:r>
      <w:r>
        <w:rPr>
          <w:rFonts w:ascii="Calibri" w:hAnsi="Calibri" w:cs="Calibri"/>
          <w:b/>
          <w:bCs/>
          <w:color w:val="222233"/>
          <w:sz w:val="21"/>
          <w:szCs w:val="21"/>
        </w:rPr>
        <w:t> </w:t>
      </w:r>
    </w:p>
    <w:p w14:paraId="0ED21E09"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The identity of the</w:t>
      </w:r>
      <w:r>
        <w:rPr>
          <w:rFonts w:ascii="Calibri" w:hAnsi="Calibri" w:cs="Calibri"/>
          <w:color w:val="222233"/>
          <w:sz w:val="21"/>
          <w:szCs w:val="21"/>
        </w:rPr>
        <w:t xml:space="preserve"> </w:t>
      </w:r>
      <w:r>
        <w:rPr>
          <w:rStyle w:val="Fett"/>
          <w:rFonts w:ascii="Calibri" w:hAnsi="Calibri" w:cs="Calibri"/>
          <w:color w:val="222233"/>
          <w:sz w:val="21"/>
          <w:szCs w:val="21"/>
        </w:rPr>
        <w:t>suppliers and procurement routes</w:t>
      </w:r>
      <w:r>
        <w:rPr>
          <w:rFonts w:ascii="Calibri" w:hAnsi="Calibri" w:cs="Calibri"/>
          <w:color w:val="222233"/>
          <w:sz w:val="21"/>
          <w:szCs w:val="21"/>
        </w:rPr>
        <w:t xml:space="preserve"> through which Founders1 procures, and the routing of jurisdictions between them, is confidential business information of Founders1. During the term and for </w:t>
      </w:r>
      <w:r>
        <w:rPr>
          <w:rStyle w:val="Fett"/>
          <w:rFonts w:ascii="Calibri" w:hAnsi="Calibri" w:cs="Calibri"/>
          <w:color w:val="222233"/>
          <w:sz w:val="21"/>
          <w:szCs w:val="21"/>
        </w:rPr>
        <w:t>24 months</w:t>
      </w:r>
      <w:r>
        <w:rPr>
          <w:rFonts w:ascii="Calibri" w:hAnsi="Calibri" w:cs="Calibri"/>
          <w:color w:val="222233"/>
          <w:sz w:val="21"/>
          <w:szCs w:val="21"/>
        </w:rPr>
        <w:t xml:space="preserve"> thereafter, STP will not use that information to identify, approach or contract with those suppliers for services of the kind covered by this Agreement.</w:t>
      </w:r>
    </w:p>
    <w:p w14:paraId="2DD6F4FF"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6.1a</w:t>
      </w:r>
      <w:r>
        <w:rPr>
          <w:rFonts w:ascii="Calibri" w:hAnsi="Calibri" w:cs="Calibri"/>
          <w:b/>
          <w:bCs/>
          <w:color w:val="222233"/>
          <w:sz w:val="21"/>
          <w:szCs w:val="21"/>
        </w:rPr>
        <w:t> </w:t>
      </w:r>
    </w:p>
    <w:p w14:paraId="2A81A2A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Clause 6.1 does </w:t>
      </w:r>
      <w:r>
        <w:rPr>
          <w:rStyle w:val="Fett"/>
          <w:rFonts w:ascii="Calibri" w:hAnsi="Calibri" w:cs="Calibri"/>
          <w:color w:val="222233"/>
          <w:sz w:val="21"/>
          <w:szCs w:val="21"/>
        </w:rPr>
        <w:t>not</w:t>
      </w:r>
      <w:r>
        <w:rPr>
          <w:rFonts w:ascii="Calibri" w:hAnsi="Calibri" w:cs="Calibri"/>
          <w:color w:val="222233"/>
          <w:sz w:val="21"/>
          <w:szCs w:val="21"/>
        </w:rPr>
        <w:t xml:space="preserve"> restrict STP from dealing with an </w:t>
      </w:r>
      <w:r>
        <w:rPr>
          <w:rStyle w:val="Fett"/>
          <w:rFonts w:ascii="Calibri" w:hAnsi="Calibri" w:cs="Calibri"/>
          <w:color w:val="222233"/>
          <w:sz w:val="21"/>
          <w:szCs w:val="21"/>
        </w:rPr>
        <w:t>official register or public authority</w:t>
      </w:r>
      <w:r>
        <w:rPr>
          <w:rFonts w:ascii="Calibri" w:hAnsi="Calibri" w:cs="Calibri"/>
          <w:color w:val="222233"/>
          <w:sz w:val="21"/>
          <w:szCs w:val="21"/>
        </w:rPr>
        <w:t>, from continuing a relationship that existed before the notification concerned, or from dealing with a party it identifies independently of information received from Founders1. STP bears no obligation to verify whether a party it approaches also serves Founders1.</w:t>
      </w:r>
    </w:p>
    <w:p w14:paraId="4A4ACCB5"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6.2</w:t>
      </w:r>
      <w:r>
        <w:rPr>
          <w:rFonts w:ascii="Calibri" w:hAnsi="Calibri" w:cs="Calibri"/>
          <w:b/>
          <w:bCs/>
          <w:color w:val="222233"/>
          <w:sz w:val="21"/>
          <w:szCs w:val="21"/>
        </w:rPr>
        <w:t> </w:t>
      </w:r>
    </w:p>
    <w:p w14:paraId="329C15A2"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No End Client identities reach Founders1.</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Under clause 8.5 STP reports by its own reference and Founders1 does not require End Client names for settlement. A non-solicitation obligation expressed by reference to identities disclosed through Cases would therefore have no subject matter, and this clause does not rely on one.</w:t>
      </w:r>
    </w:p>
    <w:p w14:paraId="28F6A9CA"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6.2a</w:t>
      </w:r>
      <w:r>
        <w:rPr>
          <w:rFonts w:ascii="Calibri" w:hAnsi="Calibri" w:cs="Calibri"/>
          <w:b/>
          <w:bCs/>
          <w:color w:val="222233"/>
          <w:sz w:val="21"/>
          <w:szCs w:val="21"/>
        </w:rPr>
        <w:t> </w:t>
      </w:r>
    </w:p>
    <w:p w14:paraId="19DC7E3B"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Standstill on named accounts.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STP may notify Founders1 in text form of named End Clients. For each End Client so notified, Founders1 will not solicit that End Client for services of the kind covered by this Agreement during the term and for </w:t>
      </w:r>
      <w:r>
        <w:rPr>
          <w:rStyle w:val="Fett"/>
          <w:rFonts w:ascii="Calibri" w:eastAsia="Times New Roman" w:hAnsi="Calibri" w:cs="Calibri"/>
          <w:color w:val="222233"/>
          <w:sz w:val="21"/>
          <w:szCs w:val="21"/>
        </w:rPr>
        <w:t>12 months</w:t>
      </w:r>
      <w:r>
        <w:rPr>
          <w:rFonts w:ascii="Calibri" w:eastAsia="Times New Roman" w:hAnsi="Calibri" w:cs="Calibri"/>
          <w:color w:val="222233"/>
          <w:sz w:val="21"/>
          <w:szCs w:val="21"/>
        </w:rPr>
        <w:t xml:space="preserve"> thereafter. STP may add to or amend the list at any time, and it takes effect on receipt. Founders1's relationships existing at the date of notification, and clause 3.6, remain unaffected.</w:t>
      </w:r>
    </w:p>
    <w:p w14:paraId="3AE35ABA"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6.3</w:t>
      </w:r>
      <w:r>
        <w:rPr>
          <w:rFonts w:ascii="Calibri" w:hAnsi="Calibri" w:cs="Calibri"/>
          <w:b/>
          <w:bCs/>
          <w:color w:val="222233"/>
          <w:sz w:val="21"/>
          <w:szCs w:val="21"/>
        </w:rPr>
        <w:t> </w:t>
      </w:r>
    </w:p>
    <w:p w14:paraId="3F1C5B60"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Founders1 may add, change or discontinue procurement routes at any time, provided the service continues to meet Annex 1.</w:t>
      </w:r>
    </w:p>
    <w:p w14:paraId="3DEA487E" w14:textId="77777777" w:rsidR="009C47A2" w:rsidRDefault="009C47A2">
      <w:pPr>
        <w:pStyle w:val="berschrift2"/>
        <w:rPr>
          <w:rFonts w:eastAsia="Times New Roman"/>
        </w:rPr>
      </w:pPr>
      <w:r>
        <w:rPr>
          <w:rFonts w:eastAsia="Times New Roman"/>
        </w:rPr>
        <w:t>7 Ordering and performance</w:t>
      </w:r>
    </w:p>
    <w:p w14:paraId="5FEBE2B6"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7.1</w:t>
      </w:r>
      <w:r>
        <w:rPr>
          <w:rFonts w:ascii="Calibri" w:hAnsi="Calibri" w:cs="Calibri"/>
          <w:b/>
          <w:bCs/>
          <w:color w:val="222233"/>
          <w:sz w:val="21"/>
          <w:szCs w:val="21"/>
        </w:rPr>
        <w:t> </w:t>
      </w:r>
    </w:p>
    <w:p w14:paraId="77655141"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Cases are placed and delivered as described in Annex 1. Procurement is </w:t>
      </w:r>
      <w:r>
        <w:rPr>
          <w:rStyle w:val="Fett"/>
          <w:rFonts w:ascii="Calibri" w:hAnsi="Calibri" w:cs="Calibri"/>
          <w:color w:val="222233"/>
          <w:sz w:val="21"/>
          <w:szCs w:val="21"/>
        </w:rPr>
        <w:t>asynchronous</w:t>
      </w:r>
      <w:r>
        <w:rPr>
          <w:rFonts w:ascii="Calibri" w:hAnsi="Calibri" w:cs="Calibri"/>
          <w:color w:val="222233"/>
          <w:sz w:val="21"/>
          <w:szCs w:val="21"/>
        </w:rPr>
        <w:t>; progress is reported per document kind.</w:t>
      </w:r>
    </w:p>
    <w:p w14:paraId="04EB3576"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7.2</w:t>
      </w:r>
      <w:r>
        <w:rPr>
          <w:rFonts w:ascii="Calibri" w:hAnsi="Calibri" w:cs="Calibri"/>
          <w:b/>
          <w:bCs/>
          <w:color w:val="222233"/>
          <w:sz w:val="21"/>
          <w:szCs w:val="21"/>
        </w:rPr>
        <w:t> </w:t>
      </w:r>
    </w:p>
    <w:p w14:paraId="4E6E934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No fixed turnaround time is owed where a jurisdiction is served by a manual registry route. Expected ranges per jurisdiction are stated in Annex 2a. Founders1 notifies STP where a Case materially exceeds the stated range.</w:t>
      </w:r>
    </w:p>
    <w:p w14:paraId="03161452"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7.3</w:t>
      </w:r>
      <w:r>
        <w:rPr>
          <w:rFonts w:ascii="Calibri" w:hAnsi="Calibri" w:cs="Calibri"/>
          <w:b/>
          <w:bCs/>
          <w:color w:val="222233"/>
          <w:sz w:val="21"/>
          <w:szCs w:val="21"/>
        </w:rPr>
        <w:t> </w:t>
      </w:r>
    </w:p>
    <w:p w14:paraId="0116405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Founders1 targets an API availability of </w:t>
      </w:r>
      <w:r>
        <w:rPr>
          <w:rStyle w:val="Fett"/>
          <w:rFonts w:ascii="Calibri" w:hAnsi="Calibri" w:cs="Calibri"/>
          <w:color w:val="222233"/>
          <w:sz w:val="21"/>
          <w:szCs w:val="21"/>
        </w:rPr>
        <w:t>99 % per calendar month</w:t>
      </w:r>
      <w:r>
        <w:rPr>
          <w:rFonts w:ascii="Calibri" w:hAnsi="Calibri" w:cs="Calibri"/>
          <w:color w:val="222233"/>
          <w:sz w:val="21"/>
          <w:szCs w:val="21"/>
        </w:rPr>
        <w:t>, excluding announced maintenance and unavailability of a register or route.</w:t>
      </w:r>
    </w:p>
    <w:p w14:paraId="4DB020EE"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7.4</w:t>
      </w:r>
      <w:r>
        <w:rPr>
          <w:rFonts w:ascii="Calibri" w:hAnsi="Calibri" w:cs="Calibri"/>
          <w:b/>
          <w:bCs/>
          <w:color w:val="222233"/>
          <w:sz w:val="21"/>
          <w:szCs w:val="21"/>
        </w:rPr>
        <w:t> </w:t>
      </w:r>
    </w:p>
    <w:p w14:paraId="78EC1F92"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Founders1 may decline or abort a Case where the register is unavailable, the jurisdiction or document kind is not covered, or the order would breach applicable law or sanctions (settlement: clause 8.7).</w:t>
      </w:r>
    </w:p>
    <w:p w14:paraId="15841E53" w14:textId="77777777" w:rsidR="009C47A2" w:rsidRDefault="009C47A2">
      <w:pPr>
        <w:pStyle w:val="berschrift2"/>
        <w:rPr>
          <w:rFonts w:eastAsia="Times New Roman"/>
        </w:rPr>
      </w:pPr>
      <w:r>
        <w:rPr>
          <w:rFonts w:eastAsia="Times New Roman"/>
        </w:rPr>
        <w:t>8 Revenue share, invoicing, price changes</w:t>
      </w:r>
    </w:p>
    <w:p w14:paraId="088C1A6A"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8.1</w:t>
      </w:r>
      <w:r>
        <w:rPr>
          <w:rFonts w:ascii="Calibri" w:hAnsi="Calibri" w:cs="Calibri"/>
          <w:b/>
          <w:bCs/>
          <w:color w:val="222233"/>
          <w:sz w:val="21"/>
          <w:szCs w:val="21"/>
        </w:rPr>
        <w:t> </w:t>
      </w:r>
    </w:p>
    <w:p w14:paraId="01DE1A32"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STP sets its prices towards End Clients at its own discretion.</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Founders1 does not prescribe an end-client price and does not publish one.</w:t>
      </w:r>
    </w:p>
    <w:p w14:paraId="409FA0CB"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8.2</w:t>
      </w:r>
      <w:r>
        <w:rPr>
          <w:rFonts w:ascii="Calibri" w:hAnsi="Calibri" w:cs="Calibri"/>
          <w:b/>
          <w:bCs/>
          <w:color w:val="222233"/>
          <w:sz w:val="21"/>
          <w:szCs w:val="21"/>
        </w:rPr>
        <w:t> </w:t>
      </w:r>
    </w:p>
    <w:p w14:paraId="46E8612B"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Revenue share.</w:t>
      </w:r>
      <w:r>
        <w:rPr>
          <w:rFonts w:ascii="Calibri" w:eastAsia="Times New Roman" w:hAnsi="Calibri" w:cs="Calibri"/>
          <w:color w:val="222233"/>
          <w:sz w:val="21"/>
          <w:szCs w:val="21"/>
        </w:rPr>
        <w:t xml:space="preserve"> For every Case, the </w:t>
      </w:r>
      <w:r>
        <w:rPr>
          <w:rStyle w:val="Hervorhebung"/>
          <w:rFonts w:ascii="Calibri" w:eastAsia="Times New Roman" w:hAnsi="Calibri" w:cs="Calibri"/>
          <w:color w:val="222233"/>
          <w:sz w:val="21"/>
          <w:szCs w:val="21"/>
        </w:rPr>
        <w:t>Net Amount</w:t>
      </w:r>
      <w:r>
        <w:rPr>
          <w:rFonts w:ascii="Calibri" w:eastAsia="Times New Roman" w:hAnsi="Calibri" w:cs="Calibri"/>
          <w:color w:val="222233"/>
          <w:sz w:val="21"/>
          <w:szCs w:val="21"/>
        </w:rPr>
        <w:t xml:space="preserve"> is the amount STP invoices to the End Client for that Case — net of VAT and of documented credits and refunds — </w:t>
      </w:r>
      <w:r>
        <w:rPr>
          <w:rStyle w:val="Fett"/>
          <w:rFonts w:ascii="Calibri" w:eastAsia="Times New Roman" w:hAnsi="Calibri" w:cs="Calibri"/>
          <w:color w:val="222233"/>
          <w:sz w:val="21"/>
          <w:szCs w:val="21"/>
        </w:rPr>
        <w:t>less the procurement cost</w:t>
      </w:r>
      <w:r>
        <w:rPr>
          <w:rFonts w:ascii="Calibri" w:eastAsia="Times New Roman" w:hAnsi="Calibri" w:cs="Calibri"/>
          <w:color w:val="222233"/>
          <w:sz w:val="21"/>
          <w:szCs w:val="21"/>
        </w:rPr>
        <w:t xml:space="preserve"> for that jurisdiction under Annex 2.1. STP pays Founders1 that procurement cost </w:t>
      </w:r>
      <w:r>
        <w:rPr>
          <w:rStyle w:val="Fett"/>
          <w:rFonts w:ascii="Calibri" w:eastAsia="Times New Roman" w:hAnsi="Calibri" w:cs="Calibri"/>
          <w:color w:val="222233"/>
          <w:sz w:val="21"/>
          <w:szCs w:val="21"/>
        </w:rPr>
        <w:t>plus 50 % of the Net Amount</w:t>
      </w:r>
      <w:r>
        <w:rPr>
          <w:rFonts w:ascii="Calibri" w:eastAsia="Times New Roman" w:hAnsi="Calibri" w:cs="Calibri"/>
          <w:color w:val="222233"/>
          <w:sz w:val="21"/>
          <w:szCs w:val="21"/>
        </w:rPr>
        <w:t>, and retains the other 50 %. The procurement cost is thus borne by the Case before the parties share what it earns, and each party carries half of it.</w:t>
      </w:r>
    </w:p>
    <w:p w14:paraId="5BE47BCC"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8.3</w:t>
      </w:r>
      <w:r>
        <w:rPr>
          <w:rFonts w:ascii="Calibri" w:hAnsi="Calibri" w:cs="Calibri"/>
          <w:b/>
          <w:bCs/>
          <w:color w:val="222233"/>
          <w:sz w:val="21"/>
          <w:szCs w:val="21"/>
        </w:rPr>
        <w:t> </w:t>
      </w:r>
    </w:p>
    <w:p w14:paraId="676E1E65"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Floor.</w:t>
      </w:r>
      <w:r>
        <w:rPr>
          <w:rFonts w:ascii="Calibri" w:eastAsia="Times New Roman" w:hAnsi="Calibri" w:cs="Calibri"/>
          <w:color w:val="222233"/>
          <w:sz w:val="21"/>
          <w:szCs w:val="21"/>
        </w:rPr>
        <w:t xml:space="preserve"> Where the amount STP invoices to the End Client for a Case does not exceed the procurement cost for that jurisdiction, STP pays Founders1 that procurement cost and no share arises under clause 8.2. No Case is settled below cost, and in no event does Founders1 owe STP a share.</w:t>
      </w:r>
    </w:p>
    <w:p w14:paraId="0690E801"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8.4</w:t>
      </w:r>
      <w:r>
        <w:rPr>
          <w:rFonts w:ascii="Calibri" w:hAnsi="Calibri" w:cs="Calibri"/>
          <w:b/>
          <w:bCs/>
          <w:color w:val="222233"/>
          <w:sz w:val="21"/>
          <w:szCs w:val="21"/>
        </w:rPr>
        <w:t> </w:t>
      </w:r>
    </w:p>
    <w:p w14:paraId="002123A4"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Minimum.</w:t>
      </w:r>
      <w:r>
        <w:rPr>
          <w:rFonts w:ascii="Calibri" w:eastAsia="Times New Roman" w:hAnsi="Calibri" w:cs="Calibri"/>
          <w:color w:val="222233"/>
          <w:sz w:val="21"/>
          <w:szCs w:val="21"/>
        </w:rPr>
        <w:t xml:space="preserve"> Founders1's </w:t>
      </w:r>
      <w:r>
        <w:rPr>
          <w:rStyle w:val="Fett"/>
          <w:rFonts w:ascii="Calibri" w:eastAsia="Times New Roman" w:hAnsi="Calibri" w:cs="Calibri"/>
          <w:color w:val="222233"/>
          <w:sz w:val="21"/>
          <w:szCs w:val="21"/>
        </w:rPr>
        <w:t>share</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 the amounts payable to it under clauses 8.2 and 8.3 less the procurement cost reimbursed in them — totals at least </w:t>
      </w:r>
      <w:r>
        <w:rPr>
          <w:rStyle w:val="Fett"/>
          <w:rFonts w:ascii="Calibri" w:eastAsia="Times New Roman" w:hAnsi="Calibri" w:cs="Calibri"/>
          <w:color w:val="222233"/>
          <w:sz w:val="21"/>
          <w:szCs w:val="21"/>
        </w:rPr>
        <w:t>EUR 750 per month for the first three full months</w:t>
      </w:r>
      <w:r>
        <w:rPr>
          <w:rFonts w:ascii="Calibri" w:eastAsia="Times New Roman" w:hAnsi="Calibri" w:cs="Calibri"/>
          <w:color w:val="222233"/>
          <w:sz w:val="21"/>
          <w:szCs w:val="21"/>
        </w:rPr>
        <w:t xml:space="preserve"> after the effective date, and </w:t>
      </w:r>
      <w:r>
        <w:rPr>
          <w:rStyle w:val="Fett"/>
          <w:rFonts w:ascii="Calibri" w:eastAsia="Times New Roman" w:hAnsi="Calibri" w:cs="Calibri"/>
          <w:color w:val="222233"/>
          <w:sz w:val="21"/>
          <w:szCs w:val="21"/>
        </w:rPr>
        <w:t>EUR 1.500 per month</w:t>
      </w:r>
      <w:r>
        <w:rPr>
          <w:rFonts w:ascii="Calibri" w:eastAsia="Times New Roman" w:hAnsi="Calibri" w:cs="Calibri"/>
          <w:color w:val="222233"/>
          <w:sz w:val="21"/>
          <w:szCs w:val="21"/>
        </w:rPr>
        <w:t xml:space="preserve"> thereafter. No minimum accrues for a partial first month. Any shortfall is invoiced with the following month.</w:t>
      </w:r>
    </w:p>
    <w:p w14:paraId="126103AD"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8.5</w:t>
      </w:r>
      <w:r>
        <w:rPr>
          <w:rFonts w:ascii="Calibri" w:hAnsi="Calibri" w:cs="Calibri"/>
          <w:b/>
          <w:bCs/>
          <w:color w:val="222233"/>
          <w:sz w:val="21"/>
          <w:szCs w:val="21"/>
        </w:rPr>
        <w:t> </w:t>
      </w:r>
    </w:p>
    <w:p w14:paraId="2ED6C710"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Reporting and invoicing.</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STP reports monthly, per Case, the amount invoiced to the End Client. STP may identify the End Client by its own reference rather than by name; Founders1 does not require End Client identities for settlement. Founders1 invoices monthly in arrears on that basis, itemised per Case. Payment is due </w:t>
      </w:r>
      <w:r>
        <w:rPr>
          <w:rStyle w:val="Fett"/>
          <w:rFonts w:ascii="Calibri" w:eastAsia="Times New Roman" w:hAnsi="Calibri" w:cs="Calibri"/>
          <w:color w:val="222233"/>
          <w:sz w:val="21"/>
          <w:szCs w:val="21"/>
        </w:rPr>
        <w:t>14 days</w:t>
      </w:r>
      <w:r>
        <w:rPr>
          <w:rFonts w:ascii="Calibri" w:eastAsia="Times New Roman" w:hAnsi="Calibri" w:cs="Calibri"/>
          <w:color w:val="222233"/>
          <w:sz w:val="21"/>
          <w:szCs w:val="21"/>
        </w:rPr>
        <w:t xml:space="preserve"> net; amounts are exclusive of VAT at the statutory rate. Once a year Founders1 may ask STP to reconcile the reported amounts against its billing records.</w:t>
      </w:r>
    </w:p>
    <w:p w14:paraId="009F700A"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8.6</w:t>
      </w:r>
      <w:r>
        <w:rPr>
          <w:rFonts w:ascii="Calibri" w:hAnsi="Calibri" w:cs="Calibri"/>
          <w:b/>
          <w:bCs/>
          <w:color w:val="222233"/>
          <w:sz w:val="21"/>
          <w:szCs w:val="21"/>
        </w:rPr>
        <w:t> </w:t>
      </w:r>
    </w:p>
    <w:p w14:paraId="7F99D04C"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Cost changes.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The procurement costs in Annex 2a are fixed for </w:t>
      </w:r>
      <w:r>
        <w:rPr>
          <w:rStyle w:val="Fett"/>
          <w:rFonts w:ascii="Calibri" w:eastAsia="Times New Roman" w:hAnsi="Calibri" w:cs="Calibri"/>
          <w:color w:val="222233"/>
          <w:sz w:val="21"/>
          <w:szCs w:val="21"/>
        </w:rPr>
        <w:t>12 months</w:t>
      </w:r>
      <w:r>
        <w:rPr>
          <w:rFonts w:ascii="Calibri" w:eastAsia="Times New Roman" w:hAnsi="Calibri" w:cs="Calibri"/>
          <w:color w:val="222233"/>
          <w:sz w:val="21"/>
          <w:szCs w:val="21"/>
        </w:rPr>
        <w:t xml:space="preserve"> from the effective date, </w:t>
      </w:r>
      <w:r>
        <w:rPr>
          <w:rStyle w:val="Fett"/>
          <w:rFonts w:ascii="Calibri" w:eastAsia="Times New Roman" w:hAnsi="Calibri" w:cs="Calibri"/>
          <w:color w:val="222233"/>
          <w:sz w:val="21"/>
          <w:szCs w:val="21"/>
        </w:rPr>
        <w:t>except for any jurisdiction that Annex 2.1 states is not on a tier</w:t>
      </w:r>
      <w:r>
        <w:rPr>
          <w:rFonts w:ascii="Calibri" w:eastAsia="Times New Roman" w:hAnsi="Calibri" w:cs="Calibri"/>
          <w:color w:val="222233"/>
          <w:sz w:val="21"/>
          <w:szCs w:val="21"/>
        </w:rPr>
        <w:t>, for which the cost is provisional until a schedule is agreed; thereafter Founders1 may change them on 60 days' notice. Where a register or route changes its own fees, Founders1 may adjust the affected jurisdiction on 30 days' notice, evidencing the change; STP may then terminate that jurisdiction within 14 days of the notice.</w:t>
      </w:r>
    </w:p>
    <w:p w14:paraId="4AD8FB4E"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8.7</w:t>
      </w:r>
      <w:r>
        <w:rPr>
          <w:rFonts w:ascii="Calibri" w:hAnsi="Calibri" w:cs="Calibri"/>
          <w:b/>
          <w:bCs/>
          <w:color w:val="222233"/>
          <w:sz w:val="21"/>
          <w:szCs w:val="21"/>
        </w:rPr>
        <w:t> </w:t>
      </w:r>
    </w:p>
    <w:p w14:paraId="012DC2EB"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Cases that deliver no Document.</w:t>
      </w:r>
      <w:r>
        <w:rPr>
          <w:rFonts w:ascii="Calibri" w:eastAsia="Times New Roman" w:hAnsi="Calibri" w:cs="Calibri"/>
          <w:color w:val="222233"/>
          <w:sz w:val="21"/>
          <w:szCs w:val="21"/>
        </w:rPr>
        <w:t xml:space="preserve"> Where Founders1 declines or aborts a Case under clause 7.4 before procurement, nothing is charged. Where a Case is procured and the register holds no such document, so that the answer is a definitive „not available“, STP pays the procurement cost for that jurisdiction; no share arises. Where a Case fails for reasons within Founders1's control, nothing is charged. Amounts payable under this clause are reimbursements and do not count towards the minimum in clause 8.4.</w:t>
      </w:r>
    </w:p>
    <w:p w14:paraId="539B7435" w14:textId="77777777" w:rsidR="009C47A2" w:rsidRDefault="009C47A2">
      <w:pPr>
        <w:pStyle w:val="berschrift2"/>
        <w:rPr>
          <w:rFonts w:eastAsia="Times New Roman"/>
        </w:rPr>
      </w:pPr>
      <w:r>
        <w:rPr>
          <w:rFonts w:eastAsia="Times New Roman"/>
        </w:rPr>
        <w:t>9 STP's obligations</w:t>
      </w:r>
    </w:p>
    <w:p w14:paraId="0DC5EFFF"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9.1</w:t>
      </w:r>
      <w:r>
        <w:rPr>
          <w:rFonts w:ascii="Calibri" w:hAnsi="Calibri" w:cs="Calibri"/>
          <w:b/>
          <w:bCs/>
          <w:color w:val="222233"/>
          <w:sz w:val="21"/>
          <w:szCs w:val="21"/>
        </w:rPr>
        <w:t> </w:t>
      </w:r>
    </w:p>
    <w:p w14:paraId="7D94C74D"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Pass-through.</w:t>
      </w:r>
      <w:r>
        <w:rPr>
          <w:rFonts w:ascii="Calibri" w:eastAsia="Times New Roman" w:hAnsi="Calibri" w:cs="Calibri"/>
          <w:color w:val="222233"/>
          <w:sz w:val="21"/>
          <w:szCs w:val="21"/>
        </w:rPr>
        <w:t xml:space="preserve"> STP ensures that its terms with each End Client include, in substance, the terms set out in </w:t>
      </w:r>
      <w:r>
        <w:rPr>
          <w:rStyle w:val="Fett"/>
          <w:rFonts w:ascii="Calibri" w:eastAsia="Times New Roman" w:hAnsi="Calibri" w:cs="Calibri"/>
          <w:color w:val="222233"/>
          <w:sz w:val="21"/>
          <w:szCs w:val="21"/>
        </w:rPr>
        <w:t>Annex 5</w:t>
      </w:r>
      <w:r>
        <w:rPr>
          <w:rFonts w:ascii="Calibri" w:eastAsia="Times New Roman" w:hAnsi="Calibri" w:cs="Calibri"/>
          <w:color w:val="222233"/>
          <w:sz w:val="21"/>
          <w:szCs w:val="21"/>
        </w:rPr>
        <w:t>, and grants no End Client rights exceeding clause 3.5. STP is free to choose its own wording and to include those terms in its general terms of business; it does not have to reproduce Annex 5 verbatim or disclose this Agreement. Annex 5 obliges STP; it creates no direct contractual relationship between Founders1 and an End Client.</w:t>
      </w:r>
    </w:p>
    <w:p w14:paraId="4FAEC19E"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9.2</w:t>
      </w:r>
      <w:r>
        <w:rPr>
          <w:rFonts w:ascii="Calibri" w:hAnsi="Calibri" w:cs="Calibri"/>
          <w:b/>
          <w:bCs/>
          <w:color w:val="222233"/>
          <w:sz w:val="21"/>
          <w:szCs w:val="21"/>
        </w:rPr>
        <w:t> </w:t>
      </w:r>
    </w:p>
    <w:p w14:paraId="7E46B2EC"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STP provides first-level support to End Clients. Founders1 provides second-level support to STP during business hours.</w:t>
      </w:r>
    </w:p>
    <w:p w14:paraId="794AF07B"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9.3</w:t>
      </w:r>
      <w:r>
        <w:rPr>
          <w:rFonts w:ascii="Calibri" w:hAnsi="Calibri" w:cs="Calibri"/>
          <w:b/>
          <w:bCs/>
          <w:color w:val="222233"/>
          <w:sz w:val="21"/>
          <w:szCs w:val="21"/>
        </w:rPr>
        <w:t> </w:t>
      </w:r>
    </w:p>
    <w:p w14:paraId="4AF89C7D"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STP makes no statements to End Clients about coverage, evidence value, currency or turnaround that go beyond Annex 1.</w:t>
      </w:r>
    </w:p>
    <w:p w14:paraId="3E98405A"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9.4</w:t>
      </w:r>
      <w:r>
        <w:rPr>
          <w:rFonts w:ascii="Calibri" w:hAnsi="Calibri" w:cs="Calibri"/>
          <w:b/>
          <w:bCs/>
          <w:color w:val="222233"/>
          <w:sz w:val="21"/>
          <w:szCs w:val="21"/>
        </w:rPr>
        <w:t> </w:t>
      </w:r>
    </w:p>
    <w:p w14:paraId="71E98779"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STP informs Founders1 without undue delay of End Client complaints concerning the content or provenance of a Document.</w:t>
      </w:r>
    </w:p>
    <w:p w14:paraId="26FF1170"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9.5</w:t>
      </w:r>
      <w:r>
        <w:rPr>
          <w:rFonts w:ascii="Calibri" w:hAnsi="Calibri" w:cs="Calibri"/>
          <w:b/>
          <w:bCs/>
          <w:color w:val="222233"/>
          <w:sz w:val="21"/>
          <w:szCs w:val="21"/>
        </w:rPr>
        <w:t> </w:t>
      </w:r>
    </w:p>
    <w:p w14:paraId="224CBF7E"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Regulated End Clients.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Where an End Client is subject to supervisory requirements on outsourcing or on ICT third-party risk, STP meets those requirements towards that End Client itself. STP does not agree on Founders1's behalf, and does not represent that Founders1 has agreed, to audit or inspection rights, to disclosure of procurement routes or sub-suppliers, to exit or transition assistance, to incident-reporting or notification periods, or to entries in a register of information, unless Founders1 has agreed in writing. Founder</w:t>
      </w:r>
      <w:r>
        <w:rPr>
          <w:rFonts w:ascii="Calibri" w:eastAsia="Times New Roman" w:hAnsi="Calibri" w:cs="Calibri"/>
          <w:color w:val="222233"/>
          <w:sz w:val="21"/>
          <w:szCs w:val="21"/>
        </w:rPr>
        <w:t>s1 will consider such a request in good faith, and will not unreasonably refuse what the End Client's supervisory position genuinely requires. Towards the End Client,</w:t>
      </w:r>
      <w:r>
        <w:rPr>
          <w:rFonts w:ascii="Calibri" w:eastAsia="Times New Roman" w:hAnsi="Calibri" w:cs="Calibri"/>
          <w:color w:val="222233"/>
          <w:sz w:val="21"/>
          <w:szCs w:val="21"/>
        </w:rPr>
        <w:t xml:space="preserve"> </w:t>
      </w:r>
      <w:r>
        <w:rPr>
          <w:rStyle w:val="Fett"/>
          <w:rFonts w:ascii="Calibri" w:eastAsia="Times New Roman" w:hAnsi="Calibri" w:cs="Calibri"/>
          <w:color w:val="222233"/>
          <w:sz w:val="21"/>
          <w:szCs w:val="21"/>
        </w:rPr>
        <w:t>STP is the supplier</w:t>
      </w:r>
      <w:r>
        <w:rPr>
          <w:rFonts w:ascii="Calibri" w:eastAsia="Times New Roman" w:hAnsi="Calibri" w:cs="Calibri"/>
          <w:color w:val="222233"/>
          <w:sz w:val="21"/>
          <w:szCs w:val="21"/>
        </w:rPr>
        <w:t>: STP contracts with the End Client in its own name and for its own account (clauses 2.1 and 3.1), Founders1 is STP's own supplier and has no contractual relationship with the End Client, and parties Founders1 engages for procurement are Founders1's sub-suppliers — not STP's and not the End Client's — consistent with clauses 6.1 and Annex 3.1.</w:t>
      </w:r>
    </w:p>
    <w:p w14:paraId="755B1B63"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9.6</w:t>
      </w:r>
      <w:r>
        <w:rPr>
          <w:rFonts w:ascii="Calibri" w:hAnsi="Calibri" w:cs="Calibri"/>
          <w:b/>
          <w:bCs/>
          <w:color w:val="222233"/>
          <w:sz w:val="21"/>
          <w:szCs w:val="21"/>
        </w:rPr>
        <w:t> </w:t>
      </w:r>
    </w:p>
    <w:p w14:paraId="4336A445"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Supervisory cooperation.</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Where an End Client's supervisory position genuinely requires information or undertakings from Founders1, STP requests them from Founders1 and Founders1 provides, within a reasonable period: its service and security documentation, the information needed for the End Client's register of information in respect of Founders1 as STP's supplier, notification of ICT incidents affecting the service, and reasonable support for STP's own exit planning. Audit and inspection rights are exercised </w:t>
      </w:r>
      <w:r>
        <w:rPr>
          <w:rStyle w:val="Fett"/>
          <w:rFonts w:ascii="Calibri" w:eastAsia="Times New Roman" w:hAnsi="Calibri" w:cs="Calibri"/>
          <w:color w:val="222233"/>
          <w:sz w:val="21"/>
          <w:szCs w:val="21"/>
        </w:rPr>
        <w:t>through STP</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and are satisfied in the first instance by documentation, by a third-party certification or report where held, or by a pooled audit serving several of STP's clients. An on-site audit at Founders1 requires reasonable notice, is limited to the service, may be conducted by an independent auditor bound to confidentiality, and does not extend to the identity of procurement routes (clause 6.1). Founders1 may charge its reasonable cost for effort going beyond the documentation named above.</w:t>
      </w:r>
    </w:p>
    <w:p w14:paraId="2248B5EC" w14:textId="77777777" w:rsidR="009C47A2" w:rsidRDefault="009C47A2">
      <w:pPr>
        <w:pStyle w:val="berschrift2"/>
        <w:rPr>
          <w:rFonts w:eastAsia="Times New Roman"/>
        </w:rPr>
      </w:pPr>
      <w:r>
        <w:rPr>
          <w:rFonts w:eastAsia="Times New Roman"/>
        </w:rPr>
        <w:t>10 Data protection</w:t>
      </w:r>
    </w:p>
    <w:p w14:paraId="5A77E3D1"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10.1</w:t>
      </w:r>
      <w:r>
        <w:rPr>
          <w:rFonts w:ascii="Calibri" w:hAnsi="Calibri" w:cs="Calibri"/>
          <w:b/>
          <w:bCs/>
          <w:color w:val="222233"/>
          <w:sz w:val="21"/>
          <w:szCs w:val="21"/>
        </w:rPr>
        <w:t> </w:t>
      </w:r>
    </w:p>
    <w:p w14:paraId="446BB4E6"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Documents contain personal data of directors, shareholders and beneficial owners. The parties act as </w:t>
      </w:r>
      <w:r>
        <w:rPr>
          <w:rStyle w:val="Fett"/>
          <w:rFonts w:ascii="Calibri" w:hAnsi="Calibri" w:cs="Calibri"/>
          <w:color w:val="222233"/>
          <w:sz w:val="21"/>
          <w:szCs w:val="21"/>
        </w:rPr>
        <w:t>independent controllers</w:t>
      </w:r>
      <w:r>
        <w:rPr>
          <w:rFonts w:ascii="Calibri" w:hAnsi="Calibri" w:cs="Calibri"/>
          <w:color w:val="222233"/>
          <w:sz w:val="21"/>
          <w:szCs w:val="21"/>
        </w:rPr>
        <w:t xml:space="preserve"> within the meaning of Art. 4 No. 7 GDPR. This Agreement establishes no processing on behalf of a controller under Art. 28 GDPR.</w:t>
      </w:r>
    </w:p>
    <w:p w14:paraId="7307AB93"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10.2</w:t>
      </w:r>
      <w:r>
        <w:rPr>
          <w:rFonts w:ascii="Calibri" w:hAnsi="Calibri" w:cs="Calibri"/>
          <w:b/>
          <w:bCs/>
          <w:color w:val="222233"/>
          <w:sz w:val="21"/>
          <w:szCs w:val="21"/>
        </w:rPr>
        <w:t> </w:t>
      </w:r>
    </w:p>
    <w:p w14:paraId="084E264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Each party is responsible for the lawfulness of its own processing, for its own information duties, and for assessing its own reliance on Art. 14 (5) GDPR.</w:t>
      </w:r>
    </w:p>
    <w:p w14:paraId="39205A93"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10.3</w:t>
      </w:r>
      <w:r>
        <w:rPr>
          <w:rFonts w:ascii="Calibri" w:hAnsi="Calibri" w:cs="Calibri"/>
          <w:b/>
          <w:bCs/>
          <w:color w:val="222233"/>
          <w:sz w:val="21"/>
          <w:szCs w:val="21"/>
        </w:rPr>
        <w:t> </w:t>
      </w:r>
    </w:p>
    <w:p w14:paraId="293F83E2"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The arrangement under Art. 26 / Art. 14 GDPR and the technical and organisational measures are set out in Annex 3.</w:t>
      </w:r>
    </w:p>
    <w:p w14:paraId="04B33DB6"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10.4</w:t>
      </w:r>
      <w:r>
        <w:rPr>
          <w:rFonts w:ascii="Calibri" w:hAnsi="Calibri" w:cs="Calibri"/>
          <w:b/>
          <w:bCs/>
          <w:color w:val="222233"/>
          <w:sz w:val="21"/>
          <w:szCs w:val="21"/>
        </w:rPr>
        <w:t> </w:t>
      </w:r>
    </w:p>
    <w:p w14:paraId="6B5322F7"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Each party informs the other without undue delay of a personal data breach affecting data received from the other, and forwards data-subject requests that the other must answer.</w:t>
      </w:r>
    </w:p>
    <w:p w14:paraId="6F71523E" w14:textId="77777777" w:rsidR="009C47A2" w:rsidRDefault="009C47A2">
      <w:pPr>
        <w:pStyle w:val="berschrift2"/>
        <w:rPr>
          <w:rFonts w:eastAsia="Times New Roman"/>
        </w:rPr>
      </w:pPr>
      <w:r>
        <w:rPr>
          <w:rFonts w:eastAsia="Times New Roman"/>
        </w:rPr>
        <w:t>11 Confidentiality</w:t>
      </w:r>
    </w:p>
    <w:p w14:paraId="696CFFBE"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11.1</w:t>
      </w:r>
      <w:r>
        <w:rPr>
          <w:rFonts w:ascii="Calibri" w:hAnsi="Calibri" w:cs="Calibri"/>
          <w:b/>
          <w:bCs/>
          <w:color w:val="222233"/>
          <w:sz w:val="21"/>
          <w:szCs w:val="21"/>
        </w:rPr>
        <w:t> </w:t>
      </w:r>
    </w:p>
    <w:p w14:paraId="159C1988"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Each party keeps the other's confidential information secret and uses it only for the purposes of this Agreement, during the term and for </w:t>
      </w:r>
      <w:r>
        <w:rPr>
          <w:rStyle w:val="Fett"/>
          <w:rFonts w:ascii="Calibri" w:hAnsi="Calibri" w:cs="Calibri"/>
          <w:color w:val="222233"/>
          <w:sz w:val="21"/>
          <w:szCs w:val="21"/>
        </w:rPr>
        <w:t>five years</w:t>
      </w:r>
      <w:r>
        <w:rPr>
          <w:rFonts w:ascii="Calibri" w:hAnsi="Calibri" w:cs="Calibri"/>
          <w:color w:val="222233"/>
          <w:sz w:val="21"/>
          <w:szCs w:val="21"/>
        </w:rPr>
        <w:t xml:space="preserve"> </w:t>
      </w:r>
      <w:r>
        <w:rPr>
          <w:rFonts w:ascii="Calibri" w:hAnsi="Calibri" w:cs="Calibri"/>
          <w:color w:val="222233"/>
          <w:sz w:val="21"/>
          <w:szCs w:val="21"/>
        </w:rPr>
        <w:t>thereafter. The procurement costs in Annex 2a, and the information covered by clause 6.1, are confidential.</w:t>
      </w:r>
    </w:p>
    <w:p w14:paraId="208C3366"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11.2</w:t>
      </w:r>
      <w:r>
        <w:rPr>
          <w:rFonts w:ascii="Calibri" w:hAnsi="Calibri" w:cs="Calibri"/>
          <w:b/>
          <w:bCs/>
          <w:color w:val="222233"/>
          <w:sz w:val="21"/>
          <w:szCs w:val="21"/>
        </w:rPr>
        <w:t> </w:t>
      </w:r>
    </w:p>
    <w:p w14:paraId="3D9CA459"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The obligation does not apply to information that is public, was already lawfully known, is independently developed, or must be disclosed by law or authority; in the last case the other party is informed in advance where permitted.</w:t>
      </w:r>
    </w:p>
    <w:p w14:paraId="3D59D16F" w14:textId="77777777" w:rsidR="009C47A2" w:rsidRDefault="009C47A2">
      <w:pPr>
        <w:pStyle w:val="berschrift2"/>
        <w:rPr>
          <w:rFonts w:eastAsia="Times New Roman"/>
        </w:rPr>
      </w:pPr>
      <w:r>
        <w:rPr>
          <w:rFonts w:eastAsia="Times New Roman"/>
        </w:rPr>
        <w:t>12 Warranty</w:t>
      </w:r>
    </w:p>
    <w:p w14:paraId="39C466C4"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12.1</w:t>
      </w:r>
      <w:r>
        <w:rPr>
          <w:rFonts w:ascii="Calibri" w:hAnsi="Calibri" w:cs="Calibri"/>
          <w:b/>
          <w:bCs/>
          <w:color w:val="222233"/>
          <w:sz w:val="21"/>
          <w:szCs w:val="21"/>
        </w:rPr>
        <w:t> </w:t>
      </w:r>
    </w:p>
    <w:p w14:paraId="3EA74612"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Founders1 warrants that it procures with professional diligence and that the </w:t>
      </w:r>
      <w:r>
        <w:rPr>
          <w:rStyle w:val="Fett"/>
          <w:rFonts w:ascii="Calibri" w:hAnsi="Calibri" w:cs="Calibri"/>
          <w:color w:val="222233"/>
          <w:sz w:val="21"/>
          <w:szCs w:val="21"/>
        </w:rPr>
        <w:t>provenance metadata</w:t>
      </w:r>
      <w:r>
        <w:rPr>
          <w:rFonts w:ascii="Calibri" w:hAnsi="Calibri" w:cs="Calibri"/>
          <w:color w:val="222233"/>
          <w:sz w:val="21"/>
          <w:szCs w:val="21"/>
        </w:rPr>
        <w:t xml:space="preserve"> </w:t>
      </w:r>
      <w:r>
        <w:rPr>
          <w:rFonts w:ascii="Calibri" w:hAnsi="Calibri" w:cs="Calibri"/>
          <w:color w:val="222233"/>
          <w:sz w:val="21"/>
          <w:szCs w:val="21"/>
        </w:rPr>
        <w:t>delivered with each Document — source reference, retrieval date, content date, evidence level, version — is accurate.</w:t>
      </w:r>
    </w:p>
    <w:p w14:paraId="3237E45A"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12.2</w:t>
      </w:r>
      <w:r>
        <w:rPr>
          <w:rFonts w:ascii="Calibri" w:hAnsi="Calibri" w:cs="Calibri"/>
          <w:b/>
          <w:bCs/>
          <w:color w:val="222233"/>
          <w:sz w:val="21"/>
          <w:szCs w:val="21"/>
        </w:rPr>
        <w:t> </w:t>
      </w:r>
    </w:p>
    <w:p w14:paraId="254012E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Founders1 does </w:t>
      </w:r>
      <w:r>
        <w:rPr>
          <w:rStyle w:val="Fett"/>
          <w:rFonts w:ascii="Calibri" w:hAnsi="Calibri" w:cs="Calibri"/>
          <w:color w:val="222233"/>
          <w:sz w:val="21"/>
          <w:szCs w:val="21"/>
        </w:rPr>
        <w:t>not</w:t>
      </w:r>
      <w:r>
        <w:rPr>
          <w:rFonts w:ascii="Calibri" w:hAnsi="Calibri" w:cs="Calibri"/>
          <w:color w:val="222233"/>
          <w:sz w:val="21"/>
          <w:szCs w:val="21"/>
        </w:rPr>
        <w:t xml:space="preserve"> warrant the accuracy, completeness or currency of the content of the register itself, nor that a given document exists in a given jurisdiction or for a given legal form. What is owed is the classification and the answer set out in Annex 1, including the answer “not available”.</w:t>
      </w:r>
    </w:p>
    <w:p w14:paraId="2623242E"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12.3</w:t>
      </w:r>
      <w:r>
        <w:rPr>
          <w:rFonts w:ascii="Calibri" w:hAnsi="Calibri" w:cs="Calibri"/>
          <w:b/>
          <w:bCs/>
          <w:color w:val="222233"/>
          <w:sz w:val="21"/>
          <w:szCs w:val="21"/>
        </w:rPr>
        <w:t> </w:t>
      </w:r>
    </w:p>
    <w:p w14:paraId="2D2FCBE2"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A defect exists where a Document does not correspond to the order or to its provenance metadata. Founders1 remedies it by re-procuring at no charge or by crediting the price of the Case.</w:t>
      </w:r>
    </w:p>
    <w:p w14:paraId="1DAD6868"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12.4</w:t>
      </w:r>
      <w:r>
        <w:rPr>
          <w:rFonts w:ascii="Calibri" w:hAnsi="Calibri" w:cs="Calibri"/>
          <w:b/>
          <w:bCs/>
          <w:color w:val="222233"/>
          <w:sz w:val="21"/>
          <w:szCs w:val="21"/>
        </w:rPr>
        <w:t> </w:t>
      </w:r>
    </w:p>
    <w:p w14:paraId="208B2650"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No guarantee.</w:t>
      </w:r>
      <w:r>
        <w:rPr>
          <w:rFonts w:ascii="Calibri" w:eastAsia="Times New Roman" w:hAnsi="Calibri" w:cs="Calibri"/>
          <w:color w:val="222233"/>
          <w:sz w:val="21"/>
          <w:szCs w:val="21"/>
        </w:rPr>
        <w:t xml:space="preserve"> The undertakings in this clause 12 are contractual obligations. They are </w:t>
      </w:r>
      <w:r>
        <w:rPr>
          <w:rStyle w:val="Fett"/>
          <w:rFonts w:ascii="Calibri" w:eastAsia="Times New Roman" w:hAnsi="Calibri" w:cs="Calibri"/>
          <w:color w:val="222233"/>
          <w:sz w:val="21"/>
          <w:szCs w:val="21"/>
        </w:rPr>
        <w:t>not guarantees (Garantien) or warranted characteristics within the meaning of clause 13.1</w:t>
      </w:r>
      <w:r>
        <w:rPr>
          <w:rFonts w:ascii="Calibri" w:eastAsia="Times New Roman" w:hAnsi="Calibri" w:cs="Calibri"/>
          <w:color w:val="222233"/>
          <w:sz w:val="21"/>
          <w:szCs w:val="21"/>
        </w:rPr>
        <w:t>, and neither party's conduct is to be construed as assuming one. Liability for their breach follows clause 13.2.</w:t>
      </w:r>
    </w:p>
    <w:p w14:paraId="15499E50" w14:textId="77777777" w:rsidR="009C47A2" w:rsidRDefault="009C47A2">
      <w:pPr>
        <w:pStyle w:val="berschrift2"/>
        <w:rPr>
          <w:rFonts w:eastAsia="Times New Roman"/>
        </w:rPr>
      </w:pPr>
      <w:r>
        <w:rPr>
          <w:rFonts w:eastAsia="Times New Roman"/>
        </w:rPr>
        <w:t>13 Liability</w:t>
      </w:r>
    </w:p>
    <w:p w14:paraId="444B0EF8"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13.1</w:t>
      </w:r>
      <w:r>
        <w:rPr>
          <w:rFonts w:ascii="Calibri" w:hAnsi="Calibri" w:cs="Calibri"/>
          <w:b/>
          <w:bCs/>
          <w:color w:val="222233"/>
          <w:sz w:val="21"/>
          <w:szCs w:val="21"/>
        </w:rPr>
        <w:t> </w:t>
      </w:r>
    </w:p>
    <w:p w14:paraId="0E8A2AD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Founders1 is liable without limitation for intent and gross negligence, for injury to life, body or health, under the Produkthaftungsgesetz, for guarantees given, and for fraudulently concealed defects.</w:t>
      </w:r>
    </w:p>
    <w:p w14:paraId="659B5A44"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13.2</w:t>
      </w:r>
      <w:r>
        <w:rPr>
          <w:rFonts w:ascii="Calibri" w:hAnsi="Calibri" w:cs="Calibri"/>
          <w:b/>
          <w:bCs/>
          <w:color w:val="222233"/>
          <w:sz w:val="21"/>
          <w:szCs w:val="21"/>
        </w:rPr>
        <w:t> </w:t>
      </w:r>
    </w:p>
    <w:p w14:paraId="13E2D7D2"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In cases of slight negligence Founders1 is liable only for breach of an obligation essential to the purpose of this Agreement, limited to the foreseeable damage typical for this type of contract, and in aggregate per contract year to </w:t>
      </w:r>
      <w:r>
        <w:rPr>
          <w:rStyle w:val="Fett"/>
          <w:rFonts w:ascii="Calibri" w:hAnsi="Calibri" w:cs="Calibri"/>
          <w:color w:val="222233"/>
          <w:sz w:val="21"/>
          <w:szCs w:val="21"/>
        </w:rPr>
        <w:t>Founders1's share under clause 8.2 in the preceding twelve months</w:t>
      </w:r>
      <w:r>
        <w:rPr>
          <w:rFonts w:ascii="Calibri" w:hAnsi="Calibri" w:cs="Calibri"/>
          <w:color w:val="222233"/>
          <w:sz w:val="21"/>
          <w:szCs w:val="21"/>
        </w:rPr>
        <w:t>. Procurement cost reimbursed to Founders1 under clauses 8.2, 8.3 and 8.7 is a pass-through of third-party cost and does not form part of that amount.</w:t>
      </w:r>
    </w:p>
    <w:p w14:paraId="007E4319"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13.3</w:t>
      </w:r>
      <w:r>
        <w:rPr>
          <w:rFonts w:ascii="Calibri" w:hAnsi="Calibri" w:cs="Calibri"/>
          <w:b/>
          <w:bCs/>
          <w:color w:val="222233"/>
          <w:sz w:val="21"/>
          <w:szCs w:val="21"/>
        </w:rPr>
        <w:t> </w:t>
      </w:r>
    </w:p>
    <w:p w14:paraId="06E0C537"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Founders1 is not liable for decisions taken by STP or an End Client on the basis of registry content, nor for the regulatory consequences of an End Client's own AML assessment.</w:t>
      </w:r>
    </w:p>
    <w:p w14:paraId="77FA8C1F" w14:textId="77777777" w:rsidR="009C47A2" w:rsidRDefault="009C47A2">
      <w:pPr>
        <w:pStyle w:val="berschrift2"/>
        <w:rPr>
          <w:rFonts w:eastAsia="Times New Roman"/>
        </w:rPr>
      </w:pPr>
      <w:r>
        <w:rPr>
          <w:rFonts w:eastAsia="Times New Roman"/>
        </w:rPr>
        <w:t>14 Term and termination</w:t>
      </w:r>
    </w:p>
    <w:p w14:paraId="61DE6EFE"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14.1</w:t>
      </w:r>
      <w:r>
        <w:rPr>
          <w:rFonts w:ascii="Calibri" w:hAnsi="Calibri" w:cs="Calibri"/>
          <w:b/>
          <w:bCs/>
          <w:color w:val="222233"/>
          <w:sz w:val="21"/>
          <w:szCs w:val="21"/>
        </w:rPr>
        <w:t> </w:t>
      </w:r>
    </w:p>
    <w:p w14:paraId="2D54F3E5"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The Agreement begins on signature and runs for an initial term of </w:t>
      </w:r>
      <w:r>
        <w:rPr>
          <w:rStyle w:val="Fett"/>
          <w:rFonts w:ascii="Calibri" w:hAnsi="Calibri" w:cs="Calibri"/>
          <w:color w:val="222233"/>
          <w:sz w:val="21"/>
          <w:szCs w:val="21"/>
        </w:rPr>
        <w:t>24 months</w:t>
      </w:r>
      <w:r>
        <w:rPr>
          <w:rFonts w:ascii="Calibri" w:hAnsi="Calibri" w:cs="Calibri"/>
          <w:color w:val="222233"/>
          <w:sz w:val="21"/>
          <w:szCs w:val="21"/>
        </w:rPr>
        <w:t>. It renews by 12 months at a time unless terminated with three months' notice to the end of a term.</w:t>
      </w:r>
    </w:p>
    <w:p w14:paraId="2F1D6811"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14.2</w:t>
      </w:r>
      <w:r>
        <w:rPr>
          <w:rFonts w:ascii="Calibri" w:hAnsi="Calibri" w:cs="Calibri"/>
          <w:b/>
          <w:bCs/>
          <w:color w:val="222233"/>
          <w:sz w:val="21"/>
          <w:szCs w:val="21"/>
        </w:rPr>
        <w:t> </w:t>
      </w:r>
    </w:p>
    <w:p w14:paraId="162E1FC8"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The right to terminate for cause remains unaffected.</w:t>
      </w:r>
    </w:p>
    <w:p w14:paraId="0285F9B3"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14.2a</w:t>
      </w:r>
      <w:r>
        <w:rPr>
          <w:rFonts w:ascii="Calibri" w:hAnsi="Calibri" w:cs="Calibri"/>
          <w:b/>
          <w:bCs/>
          <w:color w:val="222233"/>
          <w:sz w:val="21"/>
          <w:szCs w:val="21"/>
        </w:rPr>
        <w:t> </w:t>
      </w:r>
    </w:p>
    <w:p w14:paraId="68C90AC9"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Loss of supply.</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Where Founders1 permanently loses the ability to procure in a jurisdiction, it notifies STP without undue delay and that jurisdiction falls away; STP owes nothing further for it. Where this affects jurisdictions accounting for more than half of the Cases placed in the preceding six months, either party may terminate this Agreement on 30 days' notice, and the minimum under clause 8.4 does not accrue after that notice.</w:t>
      </w:r>
    </w:p>
    <w:p w14:paraId="03AFBB29"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14.3</w:t>
      </w:r>
      <w:r>
        <w:rPr>
          <w:rFonts w:ascii="Calibri" w:hAnsi="Calibri" w:cs="Calibri"/>
          <w:b/>
          <w:bCs/>
          <w:color w:val="222233"/>
          <w:sz w:val="21"/>
          <w:szCs w:val="21"/>
        </w:rPr>
        <w:t> </w:t>
      </w:r>
    </w:p>
    <w:p w14:paraId="07ABBADC"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On termination the right to place Cases ends. </w:t>
      </w:r>
      <w:r>
        <w:rPr>
          <w:rStyle w:val="Fett"/>
          <w:rFonts w:ascii="Calibri" w:hAnsi="Calibri" w:cs="Calibri"/>
          <w:color w:val="222233"/>
          <w:sz w:val="21"/>
          <w:szCs w:val="21"/>
        </w:rPr>
        <w:t>Clause 3.5 survives for Documents already delivered.</w:t>
      </w:r>
      <w:r>
        <w:rPr>
          <w:rFonts w:ascii="Calibri" w:hAnsi="Calibri" w:cs="Calibri"/>
          <w:color w:val="222233"/>
          <w:sz w:val="21"/>
          <w:szCs w:val="21"/>
        </w:rPr>
        <w:t xml:space="preserve"> STP may export its Case records for 90 days. Clauses 5, 6, 10, 11 and 13 survive, clauses 5.2 and 6.1 for the periods stated in them.</w:t>
      </w:r>
    </w:p>
    <w:p w14:paraId="622C4EC7"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14.4</w:t>
      </w:r>
      <w:r>
        <w:rPr>
          <w:rFonts w:ascii="Calibri" w:hAnsi="Calibri" w:cs="Calibri"/>
          <w:b/>
          <w:bCs/>
          <w:color w:val="222233"/>
          <w:sz w:val="21"/>
          <w:szCs w:val="21"/>
        </w:rPr>
        <w:t> </w:t>
      </w:r>
    </w:p>
    <w:p w14:paraId="58D725B9"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Documents held by Founders1 are retained and deleted according to the retention rules in Annex 1.</w:t>
      </w:r>
    </w:p>
    <w:p w14:paraId="50CF0698" w14:textId="77777777" w:rsidR="009C47A2" w:rsidRDefault="009C47A2">
      <w:pPr>
        <w:pStyle w:val="berschrift2"/>
        <w:rPr>
          <w:rFonts w:eastAsia="Times New Roman"/>
        </w:rPr>
      </w:pPr>
      <w:r>
        <w:rPr>
          <w:rFonts w:eastAsia="Times New Roman"/>
        </w:rPr>
        <w:t>15 Final provisions</w:t>
      </w:r>
    </w:p>
    <w:p w14:paraId="313CCDA3"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1</w:t>
      </w:r>
    </w:p>
    <w:p w14:paraId="04A9A695"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Service description and reseller use</w:t>
      </w:r>
    </w:p>
    <w:p w14:paraId="7B6856BA"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2</w:t>
      </w:r>
    </w:p>
    <w:p w14:paraId="6CD40B0A"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Jurisdictions, procurement costs, surcharges, turnaround and end-client rights</w:t>
      </w:r>
    </w:p>
    <w:p w14:paraId="1DB86703"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2a</w:t>
      </w:r>
    </w:p>
    <w:p w14:paraId="4654929D"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Price list — procurement costs per case; incorporated, dated at signature, amended only under clause 8.6, confidential under clause 11</w:t>
      </w:r>
    </w:p>
    <w:p w14:paraId="3589778A"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3</w:t>
      </w:r>
    </w:p>
    <w:p w14:paraId="75BBAF30"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Data protection arrangement between independent controllers</w:t>
      </w:r>
    </w:p>
    <w:p w14:paraId="3C3CBE45"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4</w:t>
      </w:r>
    </w:p>
    <w:p w14:paraId="015C4466"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 xml:space="preserve">Permitted Affiliates </w:t>
      </w:r>
      <w:r>
        <w:rPr>
          <w:rStyle w:val="status"/>
          <w:rFonts w:ascii="Calibri" w:eastAsia="Times New Roman" w:hAnsi="Calibri" w:cs="Calibri"/>
          <w:color w:val="222233"/>
          <w:sz w:val="21"/>
          <w:szCs w:val="21"/>
        </w:rPr>
        <w:t>— empty at signature</w:t>
      </w:r>
    </w:p>
    <w:p w14:paraId="4BB89CAD"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5</w:t>
      </w:r>
    </w:p>
    <w:p w14:paraId="045F655B"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End-client terms to be passed through</w:t>
      </w:r>
    </w:p>
    <w:p w14:paraId="5ABFFE18"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15.1</w:t>
      </w:r>
      <w:r>
        <w:rPr>
          <w:rFonts w:ascii="Calibri" w:hAnsi="Calibri" w:cs="Calibri"/>
          <w:b/>
          <w:bCs/>
          <w:color w:val="222233"/>
          <w:sz w:val="21"/>
          <w:szCs w:val="21"/>
        </w:rPr>
        <w:t> </w:t>
      </w:r>
    </w:p>
    <w:p w14:paraId="1283B4BD"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Amendments require written form, including any amendment of this clause. There are no side agreements.</w:t>
      </w:r>
    </w:p>
    <w:p w14:paraId="61B97E37"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15.2</w:t>
      </w:r>
      <w:r>
        <w:rPr>
          <w:rFonts w:ascii="Calibri" w:hAnsi="Calibri" w:cs="Calibri"/>
          <w:b/>
          <w:bCs/>
          <w:color w:val="222233"/>
          <w:sz w:val="21"/>
          <w:szCs w:val="21"/>
        </w:rPr>
        <w:t> </w:t>
      </w:r>
    </w:p>
    <w:p w14:paraId="242BEFBB"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Neither party may assign this Agreement without the other's consent, which will not be unreasonably withheld. Consent is not required for an assignment to an Affiliate. For an assignment to a successor in the business concerned, consent may be withheld where the successor is a competitor of the other party in the services covered by this Agreement.</w:t>
      </w:r>
    </w:p>
    <w:p w14:paraId="4498940D"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15.3</w:t>
      </w:r>
      <w:r>
        <w:rPr>
          <w:rFonts w:ascii="Calibri" w:hAnsi="Calibri" w:cs="Calibri"/>
          <w:b/>
          <w:bCs/>
          <w:color w:val="222233"/>
          <w:sz w:val="21"/>
          <w:szCs w:val="21"/>
        </w:rPr>
        <w:t> </w:t>
      </w:r>
    </w:p>
    <w:p w14:paraId="2C749CA0"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German law applies, excluding the UN Convention on Contracts for the International Sale of Goods. Place of jurisdiction is </w:t>
      </w:r>
      <w:r>
        <w:rPr>
          <w:rStyle w:val="Fett"/>
          <w:rFonts w:ascii="Calibri" w:hAnsi="Calibri" w:cs="Calibri"/>
          <w:color w:val="222233"/>
          <w:sz w:val="21"/>
          <w:szCs w:val="21"/>
        </w:rPr>
        <w:t>Frankfurt am Main</w:t>
      </w:r>
      <w:r>
        <w:rPr>
          <w:rFonts w:ascii="Calibri" w:hAnsi="Calibri" w:cs="Calibri"/>
          <w:color w:val="222233"/>
          <w:sz w:val="21"/>
          <w:szCs w:val="21"/>
        </w:rPr>
        <w:t>.</w:t>
      </w:r>
    </w:p>
    <w:p w14:paraId="10A9812B"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15.4</w:t>
      </w:r>
      <w:r>
        <w:rPr>
          <w:rFonts w:ascii="Calibri" w:hAnsi="Calibri" w:cs="Calibri"/>
          <w:b/>
          <w:bCs/>
          <w:color w:val="222233"/>
          <w:sz w:val="21"/>
          <w:szCs w:val="21"/>
        </w:rPr>
        <w:t> </w:t>
      </w:r>
    </w:p>
    <w:p w14:paraId="51CCF655"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Should a provision be or become invalid, the remainder stays in force.</w:t>
      </w:r>
    </w:p>
    <w:p w14:paraId="3F12FF0F"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15.5</w:t>
      </w:r>
      <w:r>
        <w:rPr>
          <w:rFonts w:ascii="Calibri" w:hAnsi="Calibri" w:cs="Calibri"/>
          <w:b/>
          <w:bCs/>
          <w:color w:val="222233"/>
          <w:sz w:val="21"/>
          <w:szCs w:val="21"/>
        </w:rPr>
        <w:t> </w:t>
      </w:r>
    </w:p>
    <w:p w14:paraId="56CFB6AB" w14:textId="77777777" w:rsidR="009C47A2" w:rsidRDefault="009C47A2">
      <w:pPr>
        <w:rPr>
          <w:rFonts w:ascii="Calibri" w:eastAsia="Times New Roman" w:hAnsi="Calibri" w:cs="Calibri"/>
          <w:color w:val="222233"/>
          <w:sz w:val="21"/>
          <w:szCs w:val="21"/>
        </w:rPr>
      </w:pPr>
      <w:r>
        <w:rPr>
          <w:rStyle w:val="Fett"/>
          <w:rFonts w:ascii="Calibri" w:eastAsia="Times New Roman" w:hAnsi="Calibri" w:cs="Calibri"/>
          <w:color w:val="222233"/>
          <w:sz w:val="21"/>
          <w:szCs w:val="21"/>
        </w:rPr>
        <w:t>Independent parties.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STP acts as an independent reseller in its own name and for its own account (clause 2.1), sets its own prices (clause 8.1), bears the credit risk on its End Clients, and decides for itself whether and on what terms to conclude. This Agreement establishes no commercial agency (Handelsvertreterverhältnis), no commission agency (Kommission), no partnership, no joint venture and no company under German law. Neither party may bind the other. STP is not obliged to transfer its End Client base to Founders1 during </w:t>
      </w:r>
      <w:r>
        <w:rPr>
          <w:rFonts w:ascii="Calibri" w:eastAsia="Times New Roman" w:hAnsi="Calibri" w:cs="Calibri"/>
          <w:color w:val="222233"/>
          <w:sz w:val="21"/>
          <w:szCs w:val="21"/>
        </w:rPr>
        <w:t>the term or on termination; information about End Clients transmitted under clause 8.5 serves settlement and audit only, is limited to STP's own references rather than End Client names (clause 8.5), and is subject to clauses 6.2 and 6.2a.</w:t>
      </w:r>
    </w:p>
    <w:p w14:paraId="799F9E40" w14:textId="77777777" w:rsidR="009C47A2" w:rsidRDefault="009C47A2">
      <w:pPr>
        <w:pStyle w:val="cl"/>
        <w:rPr>
          <w:rFonts w:ascii="Calibri" w:hAnsi="Calibri" w:cs="Calibri"/>
          <w:color w:val="222233"/>
          <w:sz w:val="21"/>
          <w:szCs w:val="21"/>
        </w:rPr>
      </w:pPr>
      <w:r>
        <w:rPr>
          <w:rFonts w:ascii="Calibri" w:hAnsi="Calibri" w:cs="Calibri"/>
          <w:b/>
          <w:bCs/>
          <w:color w:val="222233"/>
          <w:sz w:val="21"/>
          <w:szCs w:val="21"/>
        </w:rPr>
        <w:t>15.6</w:t>
      </w:r>
      <w:r>
        <w:rPr>
          <w:rFonts w:ascii="Calibri" w:hAnsi="Calibri" w:cs="Calibri"/>
          <w:b/>
          <w:bCs/>
          <w:color w:val="222233"/>
          <w:sz w:val="21"/>
          <w:szCs w:val="21"/>
        </w:rPr>
        <w:t> </w:t>
      </w:r>
    </w:p>
    <w:p w14:paraId="7B86FF2C"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Annexes, each forming part of this Agreement:</w:t>
      </w:r>
    </w:p>
    <w:p w14:paraId="04F839FE"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1</w:t>
      </w:r>
    </w:p>
    <w:p w14:paraId="41D57441"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Service description and reseller use</w:t>
      </w:r>
    </w:p>
    <w:p w14:paraId="34D9B72F"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2</w:t>
      </w:r>
    </w:p>
    <w:p w14:paraId="1F554A30"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Jurisdictions, procurement costs, surcharges, turnaround and end-client rights</w:t>
      </w:r>
    </w:p>
    <w:p w14:paraId="260BCB30"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2a</w:t>
      </w:r>
    </w:p>
    <w:p w14:paraId="2D7EA94F"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Price list — procurement costs per case; incorporated, dated at signature, amended only under clause 8.6, confidential under clause 11</w:t>
      </w:r>
    </w:p>
    <w:p w14:paraId="6F32105E"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3</w:t>
      </w:r>
    </w:p>
    <w:p w14:paraId="6EAAC9BA"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Data protection arrangement between independent controllers</w:t>
      </w:r>
    </w:p>
    <w:p w14:paraId="2909CDD9"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4</w:t>
      </w:r>
    </w:p>
    <w:p w14:paraId="782AB93F"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 xml:space="preserve">Permitted Affiliates </w:t>
      </w:r>
      <w:r>
        <w:rPr>
          <w:rStyle w:val="status"/>
          <w:rFonts w:ascii="Calibri" w:eastAsia="Times New Roman" w:hAnsi="Calibri" w:cs="Calibri"/>
          <w:color w:val="222233"/>
          <w:sz w:val="21"/>
          <w:szCs w:val="21"/>
        </w:rPr>
        <w:t>— empty at signature</w:t>
      </w:r>
    </w:p>
    <w:p w14:paraId="1A11A7AA" w14:textId="77777777" w:rsidR="009C47A2" w:rsidRDefault="009C47A2">
      <w:pPr>
        <w:rPr>
          <w:rFonts w:ascii="Calibri" w:eastAsia="Times New Roman" w:hAnsi="Calibri" w:cs="Calibri"/>
          <w:color w:val="222233"/>
          <w:sz w:val="21"/>
          <w:szCs w:val="21"/>
        </w:rPr>
      </w:pPr>
      <w:r>
        <w:rPr>
          <w:rFonts w:ascii="Calibri" w:eastAsia="Times New Roman" w:hAnsi="Calibri" w:cs="Calibri"/>
          <w:color w:val="222233"/>
          <w:sz w:val="21"/>
          <w:szCs w:val="21"/>
        </w:rPr>
        <w:t>Annex 5</w:t>
      </w:r>
    </w:p>
    <w:p w14:paraId="3259EF50" w14:textId="77777777" w:rsidR="009C47A2" w:rsidRDefault="009C47A2">
      <w:pPr>
        <w:ind w:left="720"/>
        <w:rPr>
          <w:rFonts w:ascii="Calibri" w:eastAsia="Times New Roman" w:hAnsi="Calibri" w:cs="Calibri"/>
          <w:color w:val="222233"/>
          <w:sz w:val="21"/>
          <w:szCs w:val="21"/>
        </w:rPr>
      </w:pPr>
      <w:r>
        <w:rPr>
          <w:rFonts w:ascii="Calibri" w:eastAsia="Times New Roman" w:hAnsi="Calibri" w:cs="Calibri"/>
          <w:color w:val="222233"/>
          <w:sz w:val="21"/>
          <w:szCs w:val="21"/>
        </w:rPr>
        <w:t>End-client terms to be passed through</w:t>
      </w:r>
    </w:p>
    <w:p w14:paraId="3F3E9FA3" w14:textId="77777777" w:rsidR="009C47A2" w:rsidRDefault="009C47A2">
      <w:pPr>
        <w:pStyle w:val="berschrift2"/>
        <w:rPr>
          <w:rFonts w:eastAsia="Times New Roman"/>
        </w:rPr>
      </w:pPr>
      <w:r>
        <w:rPr>
          <w:rFonts w:eastAsia="Times New Roman"/>
        </w:rPr>
        <w:t>Signatures</w:t>
      </w:r>
    </w:p>
    <w:p w14:paraId="607F064E"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Founders1 GmbH</w:t>
      </w:r>
    </w:p>
    <w:p w14:paraId="0421D33A"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w:t>
      </w:r>
    </w:p>
    <w:p w14:paraId="20B11956"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_________________________________</w:t>
      </w:r>
    </w:p>
    <w:p w14:paraId="4525B3BC" w14:textId="77777777" w:rsidR="009C47A2" w:rsidRDefault="009C47A2">
      <w:pPr>
        <w:pStyle w:val="meta"/>
        <w:rPr>
          <w:rFonts w:ascii="Calibri" w:hAnsi="Calibri" w:cs="Calibri"/>
        </w:rPr>
      </w:pPr>
      <w:r>
        <w:rPr>
          <w:rFonts w:ascii="Calibri" w:hAnsi="Calibri" w:cs="Calibri"/>
        </w:rPr>
        <w:t>Place, date, signature — Eckhard Ortwein</w:t>
      </w:r>
    </w:p>
    <w:p w14:paraId="526D15AD"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STP Business Information GmbH</w:t>
      </w:r>
    </w:p>
    <w:p w14:paraId="3DE57AA5"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w:t>
      </w:r>
    </w:p>
    <w:p w14:paraId="279EDBE4"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_________________________________</w:t>
      </w:r>
    </w:p>
    <w:p w14:paraId="14668C67" w14:textId="77777777" w:rsidR="009C47A2" w:rsidRDefault="009C47A2">
      <w:pPr>
        <w:pStyle w:val="meta"/>
        <w:rPr>
          <w:rFonts w:ascii="Calibri" w:hAnsi="Calibri" w:cs="Calibri"/>
        </w:rPr>
      </w:pPr>
      <w:r>
        <w:rPr>
          <w:rFonts w:ascii="Calibri" w:hAnsi="Calibri" w:cs="Calibri"/>
        </w:rPr>
        <w:t>Place, date, signature</w:t>
      </w:r>
    </w:p>
    <w:p w14:paraId="3D250557" w14:textId="77777777" w:rsidR="009C47A2" w:rsidRDefault="009C47A2">
      <w:pPr>
        <w:pStyle w:val="pagebreak"/>
        <w:spacing w:after="120"/>
        <w:rPr>
          <w:rFonts w:ascii="Calibri" w:hAnsi="Calibri" w:cs="Calibri"/>
          <w:color w:val="222233"/>
          <w:sz w:val="21"/>
          <w:szCs w:val="21"/>
        </w:rPr>
      </w:pPr>
      <w:r>
        <w:rPr>
          <w:rFonts w:ascii="Calibri" w:hAnsi="Calibri" w:cs="Calibri"/>
          <w:color w:val="222233"/>
          <w:sz w:val="21"/>
          <w:szCs w:val="21"/>
        </w:rPr>
        <w:t> </w:t>
      </w:r>
    </w:p>
    <w:p w14:paraId="504A9DBE" w14:textId="77777777" w:rsidR="009C47A2" w:rsidRDefault="009C47A2">
      <w:pPr>
        <w:pStyle w:val="kicker"/>
        <w:rPr>
          <w:rFonts w:ascii="Calibri" w:hAnsi="Calibri" w:cs="Calibri"/>
        </w:rPr>
      </w:pPr>
      <w:r>
        <w:rPr>
          <w:rFonts w:ascii="Calibri" w:hAnsi="Calibri" w:cs="Calibri"/>
        </w:rPr>
        <w:t>Annex 1 to the Reseller Agreement</w:t>
      </w:r>
    </w:p>
    <w:p w14:paraId="59925245" w14:textId="77777777" w:rsidR="009C47A2" w:rsidRDefault="009C47A2">
      <w:pPr>
        <w:pStyle w:val="berschrift1"/>
        <w:rPr>
          <w:rFonts w:eastAsia="Times New Roman"/>
        </w:rPr>
      </w:pPr>
      <w:r>
        <w:rPr>
          <w:rFonts w:eastAsia="Times New Roman"/>
        </w:rPr>
        <w:t>Service description and reseller use</w:t>
      </w:r>
    </w:p>
    <w:p w14:paraId="5D6B0F82" w14:textId="77777777" w:rsidR="009C47A2" w:rsidRDefault="009C47A2">
      <w:pPr>
        <w:pStyle w:val="meta"/>
        <w:rPr>
          <w:rFonts w:ascii="Calibri" w:hAnsi="Calibri" w:cs="Calibri"/>
        </w:rPr>
      </w:pPr>
      <w:r>
        <w:rPr>
          <w:rFonts w:ascii="Calibri" w:hAnsi="Calibri" w:cs="Calibri"/>
        </w:rPr>
        <w:t>Founders1 GmbH — STP Business Information GmbH · Draft, 14 September 2026</w:t>
      </w:r>
    </w:p>
    <w:p w14:paraId="6F3EE463" w14:textId="77777777" w:rsidR="009C47A2" w:rsidRDefault="009C47A2">
      <w:pPr>
        <w:pStyle w:val="berschrift2"/>
        <w:rPr>
          <w:rFonts w:eastAsia="Times New Roman"/>
        </w:rPr>
      </w:pPr>
      <w:r>
        <w:rPr>
          <w:rFonts w:eastAsia="Times New Roman"/>
        </w:rPr>
        <w:t>1.1 What the service provides</w:t>
      </w:r>
    </w:p>
    <w:p w14:paraId="5ACC94F6"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Founders1 supplies </w:t>
      </w:r>
      <w:r>
        <w:rPr>
          <w:rStyle w:val="Fett"/>
          <w:rFonts w:ascii="Calibri" w:hAnsi="Calibri" w:cs="Calibri"/>
          <w:color w:val="222233"/>
          <w:sz w:val="21"/>
          <w:szCs w:val="21"/>
        </w:rPr>
        <w:t>company registry documents and registry data</w:t>
      </w:r>
      <w:r>
        <w:rPr>
          <w:rFonts w:ascii="Calibri" w:hAnsi="Calibri" w:cs="Calibri"/>
          <w:color w:val="222233"/>
          <w:sz w:val="21"/>
          <w:szCs w:val="21"/>
        </w:rPr>
        <w:t xml:space="preserve"> for the jurisdictions listed in Annex 2, through BetterCo. Per company — one </w:t>
      </w:r>
      <w:r>
        <w:rPr>
          <w:rStyle w:val="Fett"/>
          <w:rFonts w:ascii="Calibri" w:hAnsi="Calibri" w:cs="Calibri"/>
          <w:color w:val="222233"/>
          <w:sz w:val="21"/>
          <w:szCs w:val="21"/>
        </w:rPr>
        <w:t>case</w:t>
      </w:r>
      <w:r>
        <w:rPr>
          <w:rFonts w:ascii="Calibri" w:hAnsi="Calibri" w:cs="Calibri"/>
          <w:color w:val="222233"/>
          <w:sz w:val="21"/>
          <w:szCs w:val="21"/>
        </w:rPr>
        <w:t xml:space="preserve"> </w:t>
      </w:r>
      <w:r>
        <w:rPr>
          <w:rFonts w:ascii="Calibri" w:hAnsi="Calibri" w:cs="Calibri"/>
          <w:color w:val="222233"/>
          <w:sz w:val="21"/>
          <w:szCs w:val="21"/>
        </w:rPr>
        <w:t>— Founders1 procures and delivers:</w:t>
      </w:r>
    </w:p>
    <w:p w14:paraId="757B89E4" w14:textId="77777777" w:rsidR="009C47A2" w:rsidRDefault="009C47A2">
      <w:pPr>
        <w:numPr>
          <w:ilvl w:val="0"/>
          <w:numId w:val="1"/>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the </w:t>
      </w:r>
      <w:r>
        <w:rPr>
          <w:rStyle w:val="Fett"/>
          <w:rFonts w:ascii="Calibri" w:eastAsia="Times New Roman" w:hAnsi="Calibri" w:cs="Calibri"/>
          <w:color w:val="222233"/>
          <w:sz w:val="21"/>
          <w:szCs w:val="21"/>
        </w:rPr>
        <w:t>registry extract</w:t>
      </w:r>
      <w:r>
        <w:rPr>
          <w:rFonts w:ascii="Calibri" w:eastAsia="Times New Roman" w:hAnsi="Calibri" w:cs="Calibri"/>
          <w:color w:val="222233"/>
          <w:sz w:val="21"/>
          <w:szCs w:val="21"/>
        </w:rPr>
        <w:t xml:space="preserve">, the </w:t>
      </w:r>
      <w:r>
        <w:rPr>
          <w:rStyle w:val="Fett"/>
          <w:rFonts w:ascii="Calibri" w:eastAsia="Times New Roman" w:hAnsi="Calibri" w:cs="Calibri"/>
          <w:color w:val="222233"/>
          <w:sz w:val="21"/>
          <w:szCs w:val="21"/>
        </w:rPr>
        <w:t>articles of association</w:t>
      </w:r>
      <w:r>
        <w:rPr>
          <w:rFonts w:ascii="Calibri" w:eastAsia="Times New Roman" w:hAnsi="Calibri" w:cs="Calibri"/>
          <w:color w:val="222233"/>
          <w:sz w:val="21"/>
          <w:szCs w:val="21"/>
        </w:rPr>
        <w:t xml:space="preserve"> and, where the register evidences it, the </w:t>
      </w:r>
      <w:r>
        <w:rPr>
          <w:rStyle w:val="Fett"/>
          <w:rFonts w:ascii="Calibri" w:eastAsia="Times New Roman" w:hAnsi="Calibri" w:cs="Calibri"/>
          <w:color w:val="222233"/>
          <w:sz w:val="21"/>
          <w:szCs w:val="21"/>
        </w:rPr>
        <w:t>shareholder record</w:t>
      </w:r>
      <w:r>
        <w:rPr>
          <w:rFonts w:ascii="Calibri" w:eastAsia="Times New Roman" w:hAnsi="Calibri" w:cs="Calibri"/>
          <w:color w:val="222233"/>
          <w:sz w:val="21"/>
          <w:szCs w:val="21"/>
        </w:rPr>
        <w:t>, together with the structured registry data;</w:t>
      </w:r>
    </w:p>
    <w:p w14:paraId="1F65D895" w14:textId="77777777" w:rsidR="009C47A2" w:rsidRDefault="009C47A2">
      <w:pPr>
        <w:numPr>
          <w:ilvl w:val="0"/>
          <w:numId w:val="1"/>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for every document: the source reference at the register, the </w:t>
      </w:r>
      <w:r>
        <w:rPr>
          <w:rStyle w:val="Fett"/>
          <w:rFonts w:ascii="Calibri" w:eastAsia="Times New Roman" w:hAnsi="Calibri" w:cs="Calibri"/>
          <w:color w:val="222233"/>
          <w:sz w:val="21"/>
          <w:szCs w:val="21"/>
        </w:rPr>
        <w:t>retrieval date</w:t>
      </w:r>
      <w:r>
        <w:rPr>
          <w:rFonts w:ascii="Calibri" w:eastAsia="Times New Roman" w:hAnsi="Calibri" w:cs="Calibri"/>
          <w:color w:val="222233"/>
          <w:sz w:val="21"/>
          <w:szCs w:val="21"/>
        </w:rPr>
        <w:t xml:space="preserve"> and, where the document carries one, the </w:t>
      </w:r>
      <w:r>
        <w:rPr>
          <w:rStyle w:val="Fett"/>
          <w:rFonts w:ascii="Calibri" w:eastAsia="Times New Roman" w:hAnsi="Calibri" w:cs="Calibri"/>
          <w:color w:val="222233"/>
          <w:sz w:val="21"/>
          <w:szCs w:val="21"/>
        </w:rPr>
        <w:t>content date</w:t>
      </w:r>
      <w:r>
        <w:rPr>
          <w:rFonts w:ascii="Calibri" w:eastAsia="Times New Roman" w:hAnsi="Calibri" w:cs="Calibri"/>
          <w:color w:val="222233"/>
          <w:sz w:val="21"/>
          <w:szCs w:val="21"/>
        </w:rPr>
        <w:t>, the document version, the evidence level, and — where the document allows it — a machine-readable text layer, since registry documents are frequently scans without one;</w:t>
      </w:r>
    </w:p>
    <w:p w14:paraId="21327D36" w14:textId="77777777" w:rsidR="009C47A2" w:rsidRDefault="009C47A2">
      <w:pPr>
        <w:numPr>
          <w:ilvl w:val="0"/>
          <w:numId w:val="1"/>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an explicit answer where a document does not exist.</w:t>
      </w:r>
    </w:p>
    <w:p w14:paraId="28FA331F" w14:textId="77777777" w:rsidR="009C47A2" w:rsidRDefault="009C47A2">
      <w:pPr>
        <w:pStyle w:val="berschrift2"/>
        <w:rPr>
          <w:rFonts w:eastAsia="Times New Roman"/>
        </w:rPr>
      </w:pPr>
      <w:r>
        <w:rPr>
          <w:rFonts w:eastAsia="Times New Roman"/>
        </w:rPr>
        <w:t>1.2 Evidence level</w:t>
      </w:r>
    </w:p>
    <w:p w14:paraId="2187F013"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Not every document that carries an item of information is also evidence of it. Each delivery therefore states an </w:t>
      </w:r>
      <w:r>
        <w:rPr>
          <w:rStyle w:val="Fett"/>
          <w:rFonts w:ascii="Calibri" w:hAnsi="Calibri" w:cs="Calibri"/>
          <w:color w:val="222233"/>
          <w:sz w:val="21"/>
          <w:szCs w:val="21"/>
        </w:rPr>
        <w:t>evidence level</w:t>
      </w:r>
      <w:r>
        <w:rPr>
          <w:rFonts w:ascii="Calibri" w:hAnsi="Calibri" w:cs="Calibri"/>
          <w:color w:val="222233"/>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1030"/>
        <w:gridCol w:w="5076"/>
        <w:gridCol w:w="3306"/>
      </w:tblGrid>
      <w:tr w:rsidR="00000000" w14:paraId="5E61494F" w14:textId="77777777">
        <w:trPr>
          <w:tblHeader/>
        </w:trPr>
        <w:tc>
          <w:tcPr>
            <w:tcW w:w="0" w:type="auto"/>
            <w:shd w:val="clear" w:color="auto" w:fill="1A2340"/>
            <w:tcMar>
              <w:top w:w="80" w:type="dxa"/>
              <w:left w:w="120" w:type="dxa"/>
              <w:bottom w:w="80" w:type="dxa"/>
              <w:right w:w="120" w:type="dxa"/>
            </w:tcMar>
            <w:vAlign w:val="center"/>
            <w:hideMark/>
          </w:tcPr>
          <w:p w14:paraId="7711CB23"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Level</w:t>
            </w:r>
          </w:p>
        </w:tc>
        <w:tc>
          <w:tcPr>
            <w:tcW w:w="0" w:type="auto"/>
            <w:shd w:val="clear" w:color="auto" w:fill="1A2340"/>
            <w:tcMar>
              <w:top w:w="80" w:type="dxa"/>
              <w:left w:w="120" w:type="dxa"/>
              <w:bottom w:w="80" w:type="dxa"/>
              <w:right w:w="120" w:type="dxa"/>
            </w:tcMar>
            <w:vAlign w:val="center"/>
            <w:hideMark/>
          </w:tcPr>
          <w:p w14:paraId="00AAED70"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Meaning</w:t>
            </w:r>
          </w:p>
        </w:tc>
        <w:tc>
          <w:tcPr>
            <w:tcW w:w="0" w:type="auto"/>
            <w:shd w:val="clear" w:color="auto" w:fill="1A2340"/>
            <w:tcMar>
              <w:top w:w="80" w:type="dxa"/>
              <w:left w:w="120" w:type="dxa"/>
              <w:bottom w:w="80" w:type="dxa"/>
              <w:right w:w="120" w:type="dxa"/>
            </w:tcMar>
            <w:vAlign w:val="center"/>
            <w:hideMark/>
          </w:tcPr>
          <w:p w14:paraId="38638E92"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Example</w:t>
            </w:r>
          </w:p>
        </w:tc>
      </w:tr>
      <w:tr w:rsidR="00000000" w14:paraId="5518D425" w14:textId="77777777">
        <w:tc>
          <w:tcPr>
            <w:tcW w:w="0" w:type="auto"/>
            <w:tcBorders>
              <w:bottom w:val="single" w:sz="4" w:space="0" w:color="E5E7EB"/>
            </w:tcBorders>
            <w:tcMar>
              <w:top w:w="80" w:type="dxa"/>
              <w:left w:w="120" w:type="dxa"/>
              <w:bottom w:w="80" w:type="dxa"/>
              <w:right w:w="120" w:type="dxa"/>
            </w:tcMar>
            <w:hideMark/>
          </w:tcPr>
          <w:p w14:paraId="554651EF"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data</w:t>
            </w:r>
          </w:p>
        </w:tc>
        <w:tc>
          <w:tcPr>
            <w:tcW w:w="0" w:type="auto"/>
            <w:tcBorders>
              <w:bottom w:val="single" w:sz="4" w:space="0" w:color="E5E7EB"/>
            </w:tcBorders>
            <w:tcMar>
              <w:top w:w="80" w:type="dxa"/>
              <w:left w:w="120" w:type="dxa"/>
              <w:bottom w:w="80" w:type="dxa"/>
              <w:right w:w="120" w:type="dxa"/>
            </w:tcMar>
            <w:hideMark/>
          </w:tcPr>
          <w:p w14:paraId="05C22FCB"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an item of information, not a document — never evidence in itself</w:t>
            </w:r>
          </w:p>
        </w:tc>
        <w:tc>
          <w:tcPr>
            <w:tcW w:w="0" w:type="auto"/>
            <w:tcBorders>
              <w:bottom w:val="single" w:sz="4" w:space="0" w:color="E5E7EB"/>
            </w:tcBorders>
            <w:tcMar>
              <w:top w:w="80" w:type="dxa"/>
              <w:left w:w="120" w:type="dxa"/>
              <w:bottom w:w="80" w:type="dxa"/>
              <w:right w:w="120" w:type="dxa"/>
            </w:tcMar>
            <w:hideMark/>
          </w:tcPr>
          <w:p w14:paraId="05B03CCA"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structured shareholder particulars</w:t>
            </w:r>
          </w:p>
        </w:tc>
      </w:tr>
      <w:tr w:rsidR="00000000" w14:paraId="026D2996" w14:textId="77777777">
        <w:tc>
          <w:tcPr>
            <w:tcW w:w="0" w:type="auto"/>
            <w:tcBorders>
              <w:bottom w:val="single" w:sz="4" w:space="0" w:color="E5E7EB"/>
            </w:tcBorders>
            <w:tcMar>
              <w:top w:w="80" w:type="dxa"/>
              <w:left w:w="120" w:type="dxa"/>
              <w:bottom w:w="80" w:type="dxa"/>
              <w:right w:w="120" w:type="dxa"/>
            </w:tcMar>
            <w:hideMark/>
          </w:tcPr>
          <w:p w14:paraId="348F6336"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document</w:t>
            </w:r>
          </w:p>
        </w:tc>
        <w:tc>
          <w:tcPr>
            <w:tcW w:w="0" w:type="auto"/>
            <w:tcBorders>
              <w:bottom w:val="single" w:sz="4" w:space="0" w:color="E5E7EB"/>
            </w:tcBorders>
            <w:tcMar>
              <w:top w:w="80" w:type="dxa"/>
              <w:left w:w="120" w:type="dxa"/>
              <w:bottom w:w="80" w:type="dxa"/>
              <w:right w:w="120" w:type="dxa"/>
            </w:tcMar>
            <w:hideMark/>
          </w:tcPr>
          <w:p w14:paraId="7BDDEB4D"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 document actually filed with the register, without a seal</w:t>
            </w:r>
          </w:p>
        </w:tc>
        <w:tc>
          <w:tcPr>
            <w:tcW w:w="0" w:type="auto"/>
            <w:tcBorders>
              <w:bottom w:val="single" w:sz="4" w:space="0" w:color="E5E7EB"/>
            </w:tcBorders>
            <w:tcMar>
              <w:top w:w="80" w:type="dxa"/>
              <w:left w:w="120" w:type="dxa"/>
              <w:bottom w:w="80" w:type="dxa"/>
              <w:right w:w="120" w:type="dxa"/>
            </w:tcMar>
            <w:hideMark/>
          </w:tcPr>
          <w:p w14:paraId="0B98DD44"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articles of association from the register</w:t>
            </w:r>
          </w:p>
        </w:tc>
      </w:tr>
      <w:tr w:rsidR="00000000" w14:paraId="5AADC9D6" w14:textId="77777777">
        <w:tc>
          <w:tcPr>
            <w:tcW w:w="0" w:type="auto"/>
            <w:tcBorders>
              <w:bottom w:val="single" w:sz="4" w:space="0" w:color="E5E7EB"/>
            </w:tcBorders>
            <w:tcMar>
              <w:top w:w="80" w:type="dxa"/>
              <w:left w:w="120" w:type="dxa"/>
              <w:bottom w:w="80" w:type="dxa"/>
              <w:right w:w="120" w:type="dxa"/>
            </w:tcMar>
            <w:hideMark/>
          </w:tcPr>
          <w:p w14:paraId="30E11597"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certified</w:t>
            </w:r>
          </w:p>
        </w:tc>
        <w:tc>
          <w:tcPr>
            <w:tcW w:w="0" w:type="auto"/>
            <w:tcBorders>
              <w:bottom w:val="single" w:sz="4" w:space="0" w:color="E5E7EB"/>
            </w:tcBorders>
            <w:tcMar>
              <w:top w:w="80" w:type="dxa"/>
              <w:left w:w="120" w:type="dxa"/>
              <w:bottom w:w="80" w:type="dxa"/>
              <w:right w:w="120" w:type="dxa"/>
            </w:tcMar>
            <w:hideMark/>
          </w:tcPr>
          <w:p w14:paraId="4606213E"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issued and sealed by the registry authority</w:t>
            </w:r>
          </w:p>
        </w:tc>
        <w:tc>
          <w:tcPr>
            <w:tcW w:w="0" w:type="auto"/>
            <w:tcBorders>
              <w:bottom w:val="single" w:sz="4" w:space="0" w:color="E5E7EB"/>
            </w:tcBorders>
            <w:tcMar>
              <w:top w:w="80" w:type="dxa"/>
              <w:left w:w="120" w:type="dxa"/>
              <w:bottom w:w="80" w:type="dxa"/>
              <w:right w:w="120" w:type="dxa"/>
            </w:tcMar>
            <w:hideMark/>
          </w:tcPr>
          <w:p w14:paraId="74361AC4"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Kbis, certified commercial register extract</w:t>
            </w:r>
          </w:p>
        </w:tc>
      </w:tr>
    </w:tbl>
    <w:p w14:paraId="582501AA" w14:textId="77777777" w:rsidR="009C47A2" w:rsidRDefault="009C47A2">
      <w:pPr>
        <w:pStyle w:val="StandardWeb"/>
        <w:rPr>
          <w:rFonts w:ascii="Calibri" w:hAnsi="Calibri" w:cs="Calibri"/>
          <w:color w:val="222233"/>
          <w:sz w:val="21"/>
          <w:szCs w:val="21"/>
        </w:rPr>
      </w:pPr>
      <w:r>
        <w:rPr>
          <w:rStyle w:val="Fett"/>
          <w:rFonts w:ascii="Calibri" w:hAnsi="Calibri" w:cs="Calibri"/>
          <w:color w:val="222233"/>
          <w:sz w:val="21"/>
          <w:szCs w:val="21"/>
        </w:rPr>
        <w:t>STP does not have to specify the level when ordering.</w:t>
      </w:r>
      <w:r>
        <w:rPr>
          <w:rFonts w:ascii="Calibri" w:hAnsi="Calibri" w:cs="Calibri"/>
          <w:color w:val="222233"/>
          <w:sz w:val="21"/>
          <w:szCs w:val="21"/>
        </w:rPr>
        <w:t xml:space="preserve"> Where more than one level is obtainable for a document kind in a jurisdiction, Founders1 delivers the highest obtainable level and labels it. An apostille is a property of a certified document, not a fourth level.</w:t>
      </w:r>
    </w:p>
    <w:p w14:paraId="1EBDB851" w14:textId="77777777" w:rsidR="009C47A2" w:rsidRDefault="009C47A2">
      <w:pPr>
        <w:pStyle w:val="berschrift2"/>
        <w:rPr>
          <w:rFonts w:eastAsia="Times New Roman"/>
        </w:rPr>
      </w:pPr>
      <w:r>
        <w:rPr>
          <w:rFonts w:eastAsia="Times New Roman"/>
        </w:rPr>
        <w:t>1.3 Availability</w:t>
      </w:r>
    </w:p>
    <w:p w14:paraId="6F54C1EE"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Availability is classified per jurisdiction × legal form × document kind. Exactly one of four cases applies, and the fourth is a definitive answer rather than an error:</w:t>
      </w:r>
    </w:p>
    <w:tbl>
      <w:tblPr>
        <w:tblW w:w="5000" w:type="pct"/>
        <w:tblCellMar>
          <w:top w:w="15" w:type="dxa"/>
          <w:left w:w="15" w:type="dxa"/>
          <w:bottom w:w="15" w:type="dxa"/>
          <w:right w:w="15" w:type="dxa"/>
        </w:tblCellMar>
        <w:tblLook w:val="04A0" w:firstRow="1" w:lastRow="0" w:firstColumn="1" w:lastColumn="0" w:noHBand="0" w:noVBand="1"/>
      </w:tblPr>
      <w:tblGrid>
        <w:gridCol w:w="1433"/>
        <w:gridCol w:w="2817"/>
        <w:gridCol w:w="5162"/>
      </w:tblGrid>
      <w:tr w:rsidR="00000000" w14:paraId="22CBBA04" w14:textId="77777777">
        <w:trPr>
          <w:tblHeader/>
        </w:trPr>
        <w:tc>
          <w:tcPr>
            <w:tcW w:w="0" w:type="auto"/>
            <w:shd w:val="clear" w:color="auto" w:fill="1A2340"/>
            <w:tcMar>
              <w:top w:w="80" w:type="dxa"/>
              <w:left w:w="120" w:type="dxa"/>
              <w:bottom w:w="80" w:type="dxa"/>
              <w:right w:w="120" w:type="dxa"/>
            </w:tcMar>
            <w:vAlign w:val="center"/>
            <w:hideMark/>
          </w:tcPr>
          <w:p w14:paraId="21A0C4BE"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Case</w:t>
            </w:r>
          </w:p>
        </w:tc>
        <w:tc>
          <w:tcPr>
            <w:tcW w:w="0" w:type="auto"/>
            <w:shd w:val="clear" w:color="auto" w:fill="1A2340"/>
            <w:tcMar>
              <w:top w:w="80" w:type="dxa"/>
              <w:left w:w="120" w:type="dxa"/>
              <w:bottom w:w="80" w:type="dxa"/>
              <w:right w:w="120" w:type="dxa"/>
            </w:tcMar>
            <w:vAlign w:val="center"/>
            <w:hideMark/>
          </w:tcPr>
          <w:p w14:paraId="2FA87B7A"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Meaning</w:t>
            </w:r>
          </w:p>
        </w:tc>
        <w:tc>
          <w:tcPr>
            <w:tcW w:w="0" w:type="auto"/>
            <w:shd w:val="clear" w:color="auto" w:fill="1A2340"/>
            <w:tcMar>
              <w:top w:w="80" w:type="dxa"/>
              <w:left w:w="120" w:type="dxa"/>
              <w:bottom w:w="80" w:type="dxa"/>
              <w:right w:w="120" w:type="dxa"/>
            </w:tcMar>
            <w:vAlign w:val="center"/>
            <w:hideMark/>
          </w:tcPr>
          <w:p w14:paraId="6D95B19D"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Price effect</w:t>
            </w:r>
          </w:p>
        </w:tc>
      </w:tr>
      <w:tr w:rsidR="00000000" w14:paraId="5CA6FC8D" w14:textId="77777777">
        <w:tc>
          <w:tcPr>
            <w:tcW w:w="0" w:type="auto"/>
            <w:tcBorders>
              <w:bottom w:val="single" w:sz="4" w:space="0" w:color="E5E7EB"/>
            </w:tcBorders>
            <w:tcMar>
              <w:top w:w="80" w:type="dxa"/>
              <w:left w:w="120" w:type="dxa"/>
              <w:bottom w:w="80" w:type="dxa"/>
              <w:right w:w="120" w:type="dxa"/>
            </w:tcMar>
            <w:hideMark/>
          </w:tcPr>
          <w:p w14:paraId="7CABE72B"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Base document</w:t>
            </w:r>
          </w:p>
        </w:tc>
        <w:tc>
          <w:tcPr>
            <w:tcW w:w="0" w:type="auto"/>
            <w:tcBorders>
              <w:bottom w:val="single" w:sz="4" w:space="0" w:color="E5E7EB"/>
            </w:tcBorders>
            <w:tcMar>
              <w:top w:w="80" w:type="dxa"/>
              <w:left w:w="120" w:type="dxa"/>
              <w:bottom w:w="80" w:type="dxa"/>
              <w:right w:w="120" w:type="dxa"/>
            </w:tcMar>
            <w:hideMark/>
          </w:tcPr>
          <w:p w14:paraId="69D053E8"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part of the standard retrieval</w:t>
            </w:r>
          </w:p>
        </w:tc>
        <w:tc>
          <w:tcPr>
            <w:tcW w:w="0" w:type="auto"/>
            <w:tcBorders>
              <w:bottom w:val="single" w:sz="4" w:space="0" w:color="E5E7EB"/>
            </w:tcBorders>
            <w:tcMar>
              <w:top w:w="80" w:type="dxa"/>
              <w:left w:w="120" w:type="dxa"/>
              <w:bottom w:w="80" w:type="dxa"/>
              <w:right w:w="120" w:type="dxa"/>
            </w:tcMar>
            <w:hideMark/>
          </w:tcPr>
          <w:p w14:paraId="782FCBB6"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included in the base price</w:t>
            </w:r>
          </w:p>
        </w:tc>
      </w:tr>
      <w:tr w:rsidR="00000000" w14:paraId="7A29D6DF" w14:textId="77777777">
        <w:tc>
          <w:tcPr>
            <w:tcW w:w="0" w:type="auto"/>
            <w:tcBorders>
              <w:bottom w:val="single" w:sz="4" w:space="0" w:color="E5E7EB"/>
            </w:tcBorders>
            <w:tcMar>
              <w:top w:w="80" w:type="dxa"/>
              <w:left w:w="120" w:type="dxa"/>
              <w:bottom w:w="80" w:type="dxa"/>
              <w:right w:w="120" w:type="dxa"/>
            </w:tcMar>
            <w:hideMark/>
          </w:tcPr>
          <w:p w14:paraId="0D339BBF"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Additional document</w:t>
            </w:r>
          </w:p>
        </w:tc>
        <w:tc>
          <w:tcPr>
            <w:tcW w:w="0" w:type="auto"/>
            <w:tcBorders>
              <w:bottom w:val="single" w:sz="4" w:space="0" w:color="E5E7EB"/>
            </w:tcBorders>
            <w:tcMar>
              <w:top w:w="80" w:type="dxa"/>
              <w:left w:w="120" w:type="dxa"/>
              <w:bottom w:w="80" w:type="dxa"/>
              <w:right w:w="120" w:type="dxa"/>
            </w:tcMar>
            <w:hideMark/>
          </w:tcPr>
          <w:p w14:paraId="0FEA9ECB"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held by the register, not part of the standard retrieval</w:t>
            </w:r>
          </w:p>
        </w:tc>
        <w:tc>
          <w:tcPr>
            <w:tcW w:w="0" w:type="auto"/>
            <w:tcBorders>
              <w:bottom w:val="single" w:sz="4" w:space="0" w:color="E5E7EB"/>
            </w:tcBorders>
            <w:tcMar>
              <w:top w:w="80" w:type="dxa"/>
              <w:left w:w="120" w:type="dxa"/>
              <w:bottom w:w="80" w:type="dxa"/>
              <w:right w:w="120" w:type="dxa"/>
            </w:tcMar>
            <w:hideMark/>
          </w:tcPr>
          <w:p w14:paraId="36DA9243"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surcharge per Annex 2</w:t>
            </w:r>
          </w:p>
        </w:tc>
      </w:tr>
      <w:tr w:rsidR="00000000" w14:paraId="49050A63" w14:textId="77777777">
        <w:tc>
          <w:tcPr>
            <w:tcW w:w="0" w:type="auto"/>
            <w:tcBorders>
              <w:bottom w:val="single" w:sz="4" w:space="0" w:color="E5E7EB"/>
            </w:tcBorders>
            <w:tcMar>
              <w:top w:w="80" w:type="dxa"/>
              <w:left w:w="120" w:type="dxa"/>
              <w:bottom w:w="80" w:type="dxa"/>
              <w:right w:w="120" w:type="dxa"/>
            </w:tcMar>
            <w:hideMark/>
          </w:tcPr>
          <w:p w14:paraId="3225349B"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Data only</w:t>
            </w:r>
          </w:p>
        </w:tc>
        <w:tc>
          <w:tcPr>
            <w:tcW w:w="0" w:type="auto"/>
            <w:tcBorders>
              <w:bottom w:val="single" w:sz="4" w:space="0" w:color="E5E7EB"/>
            </w:tcBorders>
            <w:tcMar>
              <w:top w:w="80" w:type="dxa"/>
              <w:left w:w="120" w:type="dxa"/>
              <w:bottom w:w="80" w:type="dxa"/>
              <w:right w:w="120" w:type="dxa"/>
            </w:tcMar>
            <w:hideMark/>
          </w:tcPr>
          <w:p w14:paraId="585FE112"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 document, but structured particulars from the register</w:t>
            </w:r>
          </w:p>
        </w:tc>
        <w:tc>
          <w:tcPr>
            <w:tcW w:w="0" w:type="auto"/>
            <w:tcBorders>
              <w:bottom w:val="single" w:sz="4" w:space="0" w:color="E5E7EB"/>
            </w:tcBorders>
            <w:tcMar>
              <w:top w:w="80" w:type="dxa"/>
              <w:left w:w="120" w:type="dxa"/>
              <w:bottom w:w="80" w:type="dxa"/>
              <w:right w:w="120" w:type="dxa"/>
            </w:tcMar>
            <w:hideMark/>
          </w:tcPr>
          <w:p w14:paraId="714A434E"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included in the base price</w:t>
            </w:r>
          </w:p>
        </w:tc>
      </w:tr>
      <w:tr w:rsidR="00000000" w14:paraId="68E44496" w14:textId="77777777">
        <w:tc>
          <w:tcPr>
            <w:tcW w:w="0" w:type="auto"/>
            <w:tcBorders>
              <w:bottom w:val="single" w:sz="4" w:space="0" w:color="E5E7EB"/>
            </w:tcBorders>
            <w:tcMar>
              <w:top w:w="80" w:type="dxa"/>
              <w:left w:w="120" w:type="dxa"/>
              <w:bottom w:w="80" w:type="dxa"/>
              <w:right w:w="120" w:type="dxa"/>
            </w:tcMar>
            <w:hideMark/>
          </w:tcPr>
          <w:p w14:paraId="616C45F7"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Not available</w:t>
            </w:r>
          </w:p>
        </w:tc>
        <w:tc>
          <w:tcPr>
            <w:tcW w:w="0" w:type="auto"/>
            <w:tcBorders>
              <w:bottom w:val="single" w:sz="4" w:space="0" w:color="E5E7EB"/>
            </w:tcBorders>
            <w:tcMar>
              <w:top w:w="80" w:type="dxa"/>
              <w:left w:w="120" w:type="dxa"/>
              <w:bottom w:w="80" w:type="dxa"/>
              <w:right w:w="120" w:type="dxa"/>
            </w:tcMar>
            <w:hideMark/>
          </w:tcPr>
          <w:p w14:paraId="11C4F1F2"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not obtainable in this jurisdiction for this legal form</w:t>
            </w:r>
          </w:p>
        </w:tc>
        <w:tc>
          <w:tcPr>
            <w:tcW w:w="0" w:type="auto"/>
            <w:tcBorders>
              <w:bottom w:val="single" w:sz="4" w:space="0" w:color="E5E7EB"/>
            </w:tcBorders>
            <w:tcMar>
              <w:top w:w="80" w:type="dxa"/>
              <w:left w:w="120" w:type="dxa"/>
              <w:bottom w:w="80" w:type="dxa"/>
              <w:right w:w="120" w:type="dxa"/>
            </w:tcMar>
            <w:hideMark/>
          </w:tcPr>
          <w:p w14:paraId="4B8282E4"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no charge where this is known before procurement; where a Case had to be procured to establish it, clause 8.7 applies</w:t>
            </w:r>
          </w:p>
        </w:tc>
      </w:tr>
    </w:tbl>
    <w:p w14:paraId="18280D94"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STP reads exclusively from BetterCo. The procurement routes behind it are not visible or addressable — not as an endpoint, a field name, or a status value.</w:t>
      </w:r>
    </w:p>
    <w:p w14:paraId="539DAD7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BetterCo is the system of record: documents are held, versioned and re-served there. When Founders1 adds or changes a procurement route, STP sees it in cost and provenance — </w:t>
      </w:r>
      <w:r>
        <w:rPr>
          <w:rStyle w:val="Fett"/>
          <w:rFonts w:ascii="Calibri" w:hAnsi="Calibri" w:cs="Calibri"/>
          <w:color w:val="222233"/>
          <w:sz w:val="21"/>
          <w:szCs w:val="21"/>
        </w:rPr>
        <w:t>not in code</w:t>
      </w:r>
      <w:r>
        <w:rPr>
          <w:rFonts w:ascii="Calibri" w:hAnsi="Calibri" w:cs="Calibri"/>
          <w:color w:val="222233"/>
          <w:sz w:val="21"/>
          <w:szCs w:val="21"/>
        </w:rPr>
        <w:t>.</w:t>
      </w:r>
    </w:p>
    <w:p w14:paraId="6315CCF5" w14:textId="77777777" w:rsidR="009C47A2" w:rsidRDefault="009C47A2">
      <w:pPr>
        <w:pStyle w:val="berschrift2"/>
        <w:rPr>
          <w:rFonts w:eastAsia="Times New Roman"/>
        </w:rPr>
      </w:pPr>
      <w:r>
        <w:rPr>
          <w:rFonts w:eastAsia="Times New Roman"/>
        </w:rPr>
        <w:t>1.4 How STP uses the service with its clients</w:t>
      </w:r>
    </w:p>
    <w:p w14:paraId="5664BB74"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STP integrates the service into its own onboarding, KYC and client-file workflows and offers it to its clients under its own name. Founders1 does not appear towards the end client and has no contractual relationship with them. Per end-client company:</w:t>
      </w:r>
    </w:p>
    <w:p w14:paraId="717832EB" w14:textId="77777777" w:rsidR="009C47A2" w:rsidRDefault="009C47A2">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STP opens a case: jurisdiction, legal form, company identifiers and the document kinds required.</w:t>
      </w:r>
    </w:p>
    <w:p w14:paraId="2B466326" w14:textId="77777777" w:rsidR="009C47A2" w:rsidRDefault="009C47A2">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Procurement runs </w:t>
      </w:r>
      <w:r>
        <w:rPr>
          <w:rStyle w:val="Fett"/>
          <w:rFonts w:ascii="Calibri" w:eastAsia="Times New Roman" w:hAnsi="Calibri" w:cs="Calibri"/>
          <w:color w:val="222233"/>
          <w:sz w:val="21"/>
          <w:szCs w:val="21"/>
        </w:rPr>
        <w:t>asynchronously</w:t>
      </w:r>
      <w:r>
        <w:rPr>
          <w:rFonts w:ascii="Calibri" w:eastAsia="Times New Roman" w:hAnsi="Calibri" w:cs="Calibri"/>
          <w:color w:val="222233"/>
          <w:sz w:val="21"/>
          <w:szCs w:val="21"/>
        </w:rPr>
        <w:t xml:space="preserve">. Some routes take minutes; manual registry routes take hours to days. Progress is reported by callback, and each document kind carries its own state: </w:t>
      </w:r>
    </w:p>
    <w:p w14:paraId="4656735C" w14:textId="77777777" w:rsidR="009C47A2" w:rsidRDefault="009C47A2">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requested</w:t>
      </w:r>
      <w:r>
        <w:rPr>
          <w:rFonts w:ascii="Calibri" w:eastAsia="Times New Roman" w:hAnsi="Calibri" w:cs="Calibri"/>
          <w:color w:val="222233"/>
          <w:sz w:val="21"/>
          <w:szCs w:val="21"/>
        </w:rPr>
        <w:t xml:space="preserve"> — the document kind has been asked for</w:t>
      </w:r>
    </w:p>
    <w:p w14:paraId="7D945FFE" w14:textId="77777777" w:rsidR="009C47A2" w:rsidRDefault="009C47A2">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ordered</w:t>
      </w:r>
      <w:r>
        <w:rPr>
          <w:rFonts w:ascii="Calibri" w:eastAsia="Times New Roman" w:hAnsi="Calibri" w:cs="Calibri"/>
          <w:color w:val="222233"/>
          <w:sz w:val="21"/>
          <w:szCs w:val="21"/>
        </w:rPr>
        <w:t xml:space="preserve"> — procurement has been triggered</w:t>
      </w:r>
    </w:p>
    <w:p w14:paraId="40338FBB" w14:textId="77777777" w:rsidR="009C47A2" w:rsidRDefault="009C47A2">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delivered</w:t>
      </w:r>
      <w:r>
        <w:rPr>
          <w:rFonts w:ascii="Calibri" w:eastAsia="Times New Roman" w:hAnsi="Calibri" w:cs="Calibri"/>
          <w:color w:val="222233"/>
          <w:sz w:val="21"/>
          <w:szCs w:val="21"/>
        </w:rPr>
        <w:t xml:space="preserve"> — the document has arrived at BetterCo</w:t>
      </w:r>
    </w:p>
    <w:p w14:paraId="151DC789" w14:textId="77777777" w:rsidR="009C47A2" w:rsidRDefault="009C47A2">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stored</w:t>
      </w:r>
      <w:r>
        <w:rPr>
          <w:rFonts w:ascii="Calibri" w:eastAsia="Times New Roman" w:hAnsi="Calibri" w:cs="Calibri"/>
          <w:color w:val="222233"/>
          <w:sz w:val="21"/>
          <w:szCs w:val="21"/>
        </w:rPr>
        <w:t xml:space="preserve"> — it is held and retrievable by STP</w:t>
      </w:r>
    </w:p>
    <w:p w14:paraId="327C9B00" w14:textId="77777777" w:rsidR="009C47A2" w:rsidRDefault="009C47A2">
      <w:pPr>
        <w:numPr>
          <w:ilvl w:val="1"/>
          <w:numId w:val="2"/>
        </w:numPr>
        <w:spacing w:after="80"/>
        <w:ind w:left="2160"/>
        <w:rPr>
          <w:rFonts w:ascii="Calibri" w:eastAsia="Times New Roman" w:hAnsi="Calibri" w:cs="Calibri"/>
          <w:color w:val="222233"/>
          <w:sz w:val="21"/>
          <w:szCs w:val="21"/>
        </w:rPr>
      </w:pPr>
      <w:r>
        <w:rPr>
          <w:rFonts w:ascii="Calibri" w:eastAsia="Times New Roman" w:hAnsi="Calibri" w:cs="Calibri"/>
          <w:b/>
          <w:bCs/>
          <w:color w:val="222233"/>
          <w:sz w:val="21"/>
          <w:szCs w:val="21"/>
        </w:rPr>
        <w:t>failed</w:t>
      </w:r>
      <w:r>
        <w:rPr>
          <w:rFonts w:ascii="Calibri" w:eastAsia="Times New Roman" w:hAnsi="Calibri" w:cs="Calibri"/>
          <w:color w:val="222233"/>
          <w:sz w:val="21"/>
          <w:szCs w:val="21"/>
        </w:rPr>
        <w:t xml:space="preserve"> or </w:t>
      </w:r>
      <w:r>
        <w:rPr>
          <w:rFonts w:ascii="Calibri" w:eastAsia="Times New Roman" w:hAnsi="Calibri" w:cs="Calibri"/>
          <w:b/>
          <w:bCs/>
          <w:color w:val="222233"/>
          <w:sz w:val="21"/>
          <w:szCs w:val="21"/>
        </w:rPr>
        <w:t>not available</w:t>
      </w:r>
      <w:r>
        <w:rPr>
          <w:rFonts w:ascii="Calibri" w:eastAsia="Times New Roman" w:hAnsi="Calibri" w:cs="Calibri"/>
          <w:color w:val="222233"/>
          <w:sz w:val="21"/>
          <w:szCs w:val="21"/>
        </w:rPr>
        <w:t xml:space="preserve"> — the two end states that carry no document</w:t>
      </w:r>
    </w:p>
    <w:p w14:paraId="71532CBC" w14:textId="77777777" w:rsidR="009C47A2" w:rsidRDefault="009C47A2">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STP retrieves the documents and their provenance from BetterCo and files t</w:t>
      </w:r>
      <w:r>
        <w:rPr>
          <w:rFonts w:ascii="Calibri" w:eastAsia="Times New Roman" w:hAnsi="Calibri" w:cs="Calibri"/>
          <w:color w:val="222233"/>
          <w:sz w:val="21"/>
          <w:szCs w:val="21"/>
        </w:rPr>
        <w:t>hem in the client's file. Case and document identifiers are BetterCo identifiers and stay stable across a change of source.</w:t>
      </w:r>
    </w:p>
    <w:p w14:paraId="1EE80B0E" w14:textId="77777777" w:rsidR="009C47A2" w:rsidRDefault="009C47A2">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Where a document of the required kind is already held for that company and still current, it is re-served without a new procurement and without a new charge. Founders1 determines the currency criteria per jurisdiction and document kind and states them in Annex 2a.</w:t>
      </w:r>
    </w:p>
    <w:p w14:paraId="46FCDB26" w14:textId="77777777" w:rsidR="009C47A2" w:rsidRDefault="009C47A2">
      <w:pPr>
        <w:numPr>
          <w:ilvl w:val="0"/>
          <w:numId w:val="2"/>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Where the register provides it, each document carries two dates: the </w:t>
      </w:r>
      <w:r>
        <w:rPr>
          <w:rStyle w:val="Fett"/>
          <w:rFonts w:ascii="Calibri" w:eastAsia="Times New Roman" w:hAnsi="Calibri" w:cs="Calibri"/>
          <w:color w:val="222233"/>
          <w:sz w:val="21"/>
          <w:szCs w:val="21"/>
        </w:rPr>
        <w:t>retrieval date</w:t>
      </w:r>
      <w:r>
        <w:rPr>
          <w:rFonts w:ascii="Calibri" w:eastAsia="Times New Roman" w:hAnsi="Calibri" w:cs="Calibri"/>
          <w:color w:val="222233"/>
          <w:sz w:val="21"/>
          <w:szCs w:val="21"/>
        </w:rPr>
        <w:t xml:space="preserve"> and the </w:t>
      </w:r>
      <w:r>
        <w:rPr>
          <w:rStyle w:val="Fett"/>
          <w:rFonts w:ascii="Calibri" w:eastAsia="Times New Roman" w:hAnsi="Calibri" w:cs="Calibri"/>
          <w:color w:val="222233"/>
          <w:sz w:val="21"/>
          <w:szCs w:val="21"/>
        </w:rPr>
        <w:t>content date</w:t>
      </w:r>
      <w:r>
        <w:rPr>
          <w:rFonts w:ascii="Calibri" w:eastAsia="Times New Roman" w:hAnsi="Calibri" w:cs="Calibri"/>
          <w:color w:val="222233"/>
          <w:sz w:val="21"/>
          <w:szCs w:val="21"/>
        </w:rPr>
        <w:t>. They are often not the same — a shareholding statement retrieved today may reproduce a much earlier filing. Founders1 delivers both wherever the documents allow, and suggests that STP's own currency rules build on the content date where its process permits.</w:t>
      </w:r>
    </w:p>
    <w:p w14:paraId="6D700A15" w14:textId="77777777" w:rsidR="009C47A2" w:rsidRDefault="009C47A2">
      <w:pPr>
        <w:pStyle w:val="pagebreak"/>
        <w:spacing w:after="120"/>
        <w:rPr>
          <w:rFonts w:ascii="Calibri" w:hAnsi="Calibri" w:cs="Calibri"/>
          <w:color w:val="222233"/>
          <w:sz w:val="21"/>
          <w:szCs w:val="21"/>
        </w:rPr>
      </w:pPr>
      <w:r>
        <w:rPr>
          <w:rFonts w:ascii="Calibri" w:hAnsi="Calibri" w:cs="Calibri"/>
          <w:color w:val="222233"/>
          <w:sz w:val="21"/>
          <w:szCs w:val="21"/>
        </w:rPr>
        <w:t> </w:t>
      </w:r>
    </w:p>
    <w:p w14:paraId="7E3FBA31" w14:textId="77777777" w:rsidR="009C47A2" w:rsidRDefault="009C47A2">
      <w:pPr>
        <w:pStyle w:val="kicker"/>
        <w:rPr>
          <w:rFonts w:ascii="Calibri" w:hAnsi="Calibri" w:cs="Calibri"/>
        </w:rPr>
      </w:pPr>
      <w:r>
        <w:rPr>
          <w:rFonts w:ascii="Calibri" w:hAnsi="Calibri" w:cs="Calibri"/>
        </w:rPr>
        <w:t>Annex 2 to the Reseller Agreement</w:t>
      </w:r>
    </w:p>
    <w:p w14:paraId="6DD6DFA9" w14:textId="77777777" w:rsidR="009C47A2" w:rsidRDefault="009C47A2">
      <w:pPr>
        <w:pStyle w:val="berschrift1"/>
        <w:rPr>
          <w:rFonts w:eastAsia="Times New Roman"/>
        </w:rPr>
      </w:pPr>
      <w:r>
        <w:rPr>
          <w:rFonts w:eastAsia="Times New Roman"/>
        </w:rPr>
        <w:t>Jurisdictions, prices and end-client rights</w:t>
      </w:r>
    </w:p>
    <w:p w14:paraId="674F4BF4" w14:textId="77777777" w:rsidR="009C47A2" w:rsidRDefault="009C47A2">
      <w:pPr>
        <w:pStyle w:val="meta"/>
        <w:rPr>
          <w:rFonts w:ascii="Calibri" w:hAnsi="Calibri" w:cs="Calibri"/>
        </w:rPr>
      </w:pPr>
      <w:r>
        <w:rPr>
          <w:rFonts w:ascii="Calibri" w:hAnsi="Calibri" w:cs="Calibri"/>
        </w:rPr>
        <w:t>Founders1 GmbH — STP Business Information GmbH · Draft, 14 September 2026</w:t>
      </w:r>
    </w:p>
    <w:p w14:paraId="6821CFB1" w14:textId="77777777" w:rsidR="009C47A2" w:rsidRDefault="009C47A2">
      <w:pPr>
        <w:pStyle w:val="berschrift2"/>
        <w:rPr>
          <w:rFonts w:eastAsia="Times New Roman"/>
        </w:rPr>
      </w:pPr>
      <w:r>
        <w:rPr>
          <w:rFonts w:eastAsia="Times New Roman"/>
        </w:rPr>
        <w:t>2.1 Price tiers</w:t>
      </w:r>
    </w:p>
    <w:p w14:paraId="7429A365"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The price depends on the jurisdiction, not on the number of documents. One case covers the standard retrieval with all base documents and the structured data, whether that is one document or five. Every covered jurisdiction sits in one of four </w:t>
      </w:r>
      <w:r>
        <w:rPr>
          <w:rStyle w:val="Fett"/>
          <w:rFonts w:ascii="Calibri" w:hAnsi="Calibri" w:cs="Calibri"/>
          <w:color w:val="222233"/>
          <w:sz w:val="21"/>
          <w:szCs w:val="21"/>
        </w:rPr>
        <w:t>price tiers</w:t>
      </w:r>
      <w:r>
        <w:rPr>
          <w:rFonts w:ascii="Calibri" w:hAnsi="Calibri" w:cs="Calibri"/>
          <w:color w:val="222233"/>
          <w:sz w:val="21"/>
          <w:szCs w:val="21"/>
        </w:rPr>
        <w:t xml:space="preserve">, and each tier carries a </w:t>
      </w:r>
      <w:r>
        <w:rPr>
          <w:rStyle w:val="Fett"/>
          <w:rFonts w:ascii="Calibri" w:hAnsi="Calibri" w:cs="Calibri"/>
          <w:color w:val="222233"/>
          <w:sz w:val="21"/>
          <w:szCs w:val="21"/>
        </w:rPr>
        <w:t>procurement cost</w:t>
      </w:r>
      <w:r>
        <w:rPr>
          <w:rFonts w:ascii="Calibri" w:hAnsi="Calibri" w:cs="Calibri"/>
          <w:color w:val="222233"/>
          <w:sz w:val="21"/>
          <w:szCs w:val="21"/>
        </w:rPr>
        <w:t xml:space="preserve"> per case.</w:t>
      </w:r>
    </w:p>
    <w:p w14:paraId="7C6E61A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The amounts are not stated in this Annex. They are set out in </w:t>
      </w:r>
      <w:r>
        <w:rPr>
          <w:rStyle w:val="Fett"/>
          <w:rFonts w:ascii="Calibri" w:hAnsi="Calibri" w:cs="Calibri"/>
          <w:color w:val="222233"/>
          <w:sz w:val="21"/>
          <w:szCs w:val="21"/>
        </w:rPr>
        <w:t>Annex 2a — Price List</w:t>
      </w:r>
      <w:r>
        <w:rPr>
          <w:rFonts w:ascii="Calibri" w:hAnsi="Calibri" w:cs="Calibri"/>
          <w:color w:val="222233"/>
          <w:sz w:val="21"/>
          <w:szCs w:val="21"/>
        </w:rPr>
        <w:t>, which is attached to and forms part of this Agreement in the version dated at signature. Where this Agreement refers to „the procurement cost for that jurisdiction“, it means the amount stated for that jurisdiction in Annex 2a as then in force.</w:t>
      </w:r>
    </w:p>
    <w:p w14:paraId="31A66A7D"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Annex 2a is </w:t>
      </w:r>
      <w:r>
        <w:rPr>
          <w:rStyle w:val="Fett"/>
          <w:rFonts w:ascii="Calibri" w:hAnsi="Calibri" w:cs="Calibri"/>
          <w:color w:val="222233"/>
          <w:sz w:val="21"/>
          <w:szCs w:val="21"/>
        </w:rPr>
        <w:t>amended only under clause 8.6</w:t>
      </w:r>
      <w:r>
        <w:rPr>
          <w:rFonts w:ascii="Calibri" w:hAnsi="Calibri" w:cs="Calibri"/>
          <w:color w:val="222233"/>
          <w:sz w:val="21"/>
          <w:szCs w:val="21"/>
        </w:rPr>
        <w:t xml:space="preserve"> </w:t>
      </w:r>
      <w:r>
        <w:rPr>
          <w:rFonts w:ascii="Calibri" w:hAnsi="Calibri" w:cs="Calibri"/>
          <w:color w:val="222233"/>
          <w:sz w:val="21"/>
          <w:szCs w:val="21"/>
        </w:rPr>
        <w:t>— that is, not before twelve months have run, then on 60 days' notice, and for a change in a register's own fees only on 30 days' notice with evidence of the change and STP's right to terminate the affected jurisdiction. Founders1 cannot set or alter it at will. It is kept as a separate document so that it can be replaced without re-executing this Agreement and so that its circulation can be limited; it is confidential under clause 11.</w:t>
      </w:r>
    </w:p>
    <w:tbl>
      <w:tblPr>
        <w:tblW w:w="5000" w:type="pct"/>
        <w:tblCellMar>
          <w:top w:w="15" w:type="dxa"/>
          <w:left w:w="15" w:type="dxa"/>
          <w:bottom w:w="15" w:type="dxa"/>
          <w:right w:w="15" w:type="dxa"/>
        </w:tblCellMar>
        <w:tblLook w:val="04A0" w:firstRow="1" w:lastRow="0" w:firstColumn="1" w:lastColumn="0" w:noHBand="0" w:noVBand="1"/>
      </w:tblPr>
      <w:tblGrid>
        <w:gridCol w:w="915"/>
        <w:gridCol w:w="1960"/>
        <w:gridCol w:w="6537"/>
      </w:tblGrid>
      <w:tr w:rsidR="00000000" w14:paraId="4BA7AFDA" w14:textId="77777777">
        <w:trPr>
          <w:tblHeader/>
        </w:trPr>
        <w:tc>
          <w:tcPr>
            <w:tcW w:w="0" w:type="auto"/>
            <w:shd w:val="clear" w:color="auto" w:fill="1A2340"/>
            <w:tcMar>
              <w:top w:w="80" w:type="dxa"/>
              <w:left w:w="120" w:type="dxa"/>
              <w:bottom w:w="80" w:type="dxa"/>
              <w:right w:w="120" w:type="dxa"/>
            </w:tcMar>
            <w:vAlign w:val="center"/>
            <w:hideMark/>
          </w:tcPr>
          <w:p w14:paraId="5850173F"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Tier</w:t>
            </w:r>
          </w:p>
        </w:tc>
        <w:tc>
          <w:tcPr>
            <w:tcW w:w="0" w:type="auto"/>
            <w:shd w:val="clear" w:color="auto" w:fill="1A2340"/>
            <w:tcMar>
              <w:top w:w="80" w:type="dxa"/>
              <w:left w:w="120" w:type="dxa"/>
              <w:bottom w:w="80" w:type="dxa"/>
              <w:right w:w="120" w:type="dxa"/>
            </w:tcMar>
            <w:vAlign w:val="center"/>
            <w:hideMark/>
          </w:tcPr>
          <w:p w14:paraId="1398C3ED"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Jurisdictions</w:t>
            </w:r>
          </w:p>
        </w:tc>
        <w:tc>
          <w:tcPr>
            <w:tcW w:w="0" w:type="auto"/>
            <w:shd w:val="clear" w:color="auto" w:fill="1A2340"/>
            <w:tcMar>
              <w:top w:w="80" w:type="dxa"/>
              <w:left w:w="120" w:type="dxa"/>
              <w:bottom w:w="80" w:type="dxa"/>
              <w:right w:w="120" w:type="dxa"/>
            </w:tcMar>
            <w:vAlign w:val="center"/>
            <w:hideMark/>
          </w:tcPr>
          <w:p w14:paraId="66A10E1F"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Typical registers in this tier</w:t>
            </w:r>
          </w:p>
        </w:tc>
      </w:tr>
      <w:tr w:rsidR="00000000" w14:paraId="2FB49579" w14:textId="77777777">
        <w:tc>
          <w:tcPr>
            <w:tcW w:w="0" w:type="auto"/>
            <w:tcBorders>
              <w:bottom w:val="single" w:sz="4" w:space="0" w:color="E5E7EB"/>
            </w:tcBorders>
            <w:tcMar>
              <w:top w:w="80" w:type="dxa"/>
              <w:left w:w="120" w:type="dxa"/>
              <w:bottom w:w="80" w:type="dxa"/>
              <w:right w:w="120" w:type="dxa"/>
            </w:tcMar>
            <w:hideMark/>
          </w:tcPr>
          <w:p w14:paraId="7B1209F2"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A</w:t>
            </w:r>
          </w:p>
        </w:tc>
        <w:tc>
          <w:tcPr>
            <w:tcW w:w="0" w:type="auto"/>
            <w:tcBorders>
              <w:bottom w:val="single" w:sz="4" w:space="0" w:color="E5E7EB"/>
            </w:tcBorders>
            <w:tcMar>
              <w:top w:w="80" w:type="dxa"/>
              <w:left w:w="120" w:type="dxa"/>
              <w:bottom w:w="80" w:type="dxa"/>
              <w:right w:w="120" w:type="dxa"/>
            </w:tcMar>
            <w:hideMark/>
          </w:tcPr>
          <w:p w14:paraId="7E147B40"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104</w:t>
            </w:r>
          </w:p>
        </w:tc>
        <w:tc>
          <w:tcPr>
            <w:tcW w:w="0" w:type="auto"/>
            <w:tcBorders>
              <w:bottom w:val="single" w:sz="4" w:space="0" w:color="E5E7EB"/>
            </w:tcBorders>
            <w:tcMar>
              <w:top w:w="80" w:type="dxa"/>
              <w:left w:w="120" w:type="dxa"/>
              <w:bottom w:w="80" w:type="dxa"/>
              <w:right w:w="120" w:type="dxa"/>
            </w:tcMar>
            <w:hideMark/>
          </w:tcPr>
          <w:p w14:paraId="72C94DA5"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the general case — open national registers</w:t>
            </w:r>
          </w:p>
        </w:tc>
      </w:tr>
      <w:tr w:rsidR="00000000" w14:paraId="788D9D0F" w14:textId="77777777">
        <w:tc>
          <w:tcPr>
            <w:tcW w:w="0" w:type="auto"/>
            <w:tcBorders>
              <w:bottom w:val="single" w:sz="4" w:space="0" w:color="E5E7EB"/>
            </w:tcBorders>
            <w:tcMar>
              <w:top w:w="80" w:type="dxa"/>
              <w:left w:w="120" w:type="dxa"/>
              <w:bottom w:w="80" w:type="dxa"/>
              <w:right w:w="120" w:type="dxa"/>
            </w:tcMar>
            <w:hideMark/>
          </w:tcPr>
          <w:p w14:paraId="3DD71767"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B</w:t>
            </w:r>
          </w:p>
        </w:tc>
        <w:tc>
          <w:tcPr>
            <w:tcW w:w="0" w:type="auto"/>
            <w:tcBorders>
              <w:bottom w:val="single" w:sz="4" w:space="0" w:color="E5E7EB"/>
            </w:tcBorders>
            <w:tcMar>
              <w:top w:w="80" w:type="dxa"/>
              <w:left w:w="120" w:type="dxa"/>
              <w:bottom w:w="80" w:type="dxa"/>
              <w:right w:w="120" w:type="dxa"/>
            </w:tcMar>
            <w:hideMark/>
          </w:tcPr>
          <w:p w14:paraId="7FA99917"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35</w:t>
            </w:r>
          </w:p>
        </w:tc>
        <w:tc>
          <w:tcPr>
            <w:tcW w:w="0" w:type="auto"/>
            <w:tcBorders>
              <w:bottom w:val="single" w:sz="4" w:space="0" w:color="E5E7EB"/>
            </w:tcBorders>
            <w:tcMar>
              <w:top w:w="80" w:type="dxa"/>
              <w:left w:w="120" w:type="dxa"/>
              <w:bottom w:w="80" w:type="dxa"/>
              <w:right w:w="120" w:type="dxa"/>
            </w:tcMar>
            <w:hideMark/>
          </w:tcPr>
          <w:p w14:paraId="2862FCEB"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registers charging a per-document fee</w:t>
            </w:r>
          </w:p>
        </w:tc>
      </w:tr>
      <w:tr w:rsidR="00000000" w14:paraId="4AB392EB" w14:textId="77777777">
        <w:tc>
          <w:tcPr>
            <w:tcW w:w="0" w:type="auto"/>
            <w:tcBorders>
              <w:bottom w:val="single" w:sz="4" w:space="0" w:color="E5E7EB"/>
            </w:tcBorders>
            <w:tcMar>
              <w:top w:w="80" w:type="dxa"/>
              <w:left w:w="120" w:type="dxa"/>
              <w:bottom w:w="80" w:type="dxa"/>
              <w:right w:w="120" w:type="dxa"/>
            </w:tcMar>
            <w:hideMark/>
          </w:tcPr>
          <w:p w14:paraId="6BCF328C"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C</w:t>
            </w:r>
          </w:p>
        </w:tc>
        <w:tc>
          <w:tcPr>
            <w:tcW w:w="0" w:type="auto"/>
            <w:tcBorders>
              <w:bottom w:val="single" w:sz="4" w:space="0" w:color="E5E7EB"/>
            </w:tcBorders>
            <w:tcMar>
              <w:top w:w="80" w:type="dxa"/>
              <w:left w:w="120" w:type="dxa"/>
              <w:bottom w:w="80" w:type="dxa"/>
              <w:right w:w="120" w:type="dxa"/>
            </w:tcMar>
            <w:hideMark/>
          </w:tcPr>
          <w:p w14:paraId="06D3067F"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12</w:t>
            </w:r>
          </w:p>
        </w:tc>
        <w:tc>
          <w:tcPr>
            <w:tcW w:w="0" w:type="auto"/>
            <w:tcBorders>
              <w:bottom w:val="single" w:sz="4" w:space="0" w:color="E5E7EB"/>
            </w:tcBorders>
            <w:tcMar>
              <w:top w:w="80" w:type="dxa"/>
              <w:left w:w="120" w:type="dxa"/>
              <w:bottom w:w="80" w:type="dxa"/>
              <w:right w:w="120" w:type="dxa"/>
            </w:tcMar>
            <w:hideMark/>
          </w:tcPr>
          <w:p w14:paraId="68ACDD52"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fee-heavy or court-administered registers</w:t>
            </w:r>
          </w:p>
        </w:tc>
      </w:tr>
      <w:tr w:rsidR="00000000" w14:paraId="0532AAB3" w14:textId="77777777">
        <w:tc>
          <w:tcPr>
            <w:tcW w:w="0" w:type="auto"/>
            <w:tcBorders>
              <w:bottom w:val="single" w:sz="4" w:space="0" w:color="E5E7EB"/>
            </w:tcBorders>
            <w:tcMar>
              <w:top w:w="80" w:type="dxa"/>
              <w:left w:w="120" w:type="dxa"/>
              <w:bottom w:w="80" w:type="dxa"/>
              <w:right w:w="120" w:type="dxa"/>
            </w:tcMar>
            <w:hideMark/>
          </w:tcPr>
          <w:p w14:paraId="66180C13"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w:t>
            </w:r>
          </w:p>
        </w:tc>
        <w:tc>
          <w:tcPr>
            <w:tcW w:w="0" w:type="auto"/>
            <w:tcBorders>
              <w:bottom w:val="single" w:sz="4" w:space="0" w:color="E5E7EB"/>
            </w:tcBorders>
            <w:tcMar>
              <w:top w:w="80" w:type="dxa"/>
              <w:left w:w="120" w:type="dxa"/>
              <w:bottom w:w="80" w:type="dxa"/>
              <w:right w:w="120" w:type="dxa"/>
            </w:tcMar>
            <w:hideMark/>
          </w:tcPr>
          <w:p w14:paraId="4394126A"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1</w:t>
            </w:r>
          </w:p>
        </w:tc>
        <w:tc>
          <w:tcPr>
            <w:tcW w:w="0" w:type="auto"/>
            <w:tcBorders>
              <w:bottom w:val="single" w:sz="4" w:space="0" w:color="E5E7EB"/>
            </w:tcBorders>
            <w:tcMar>
              <w:top w:w="80" w:type="dxa"/>
              <w:left w:w="120" w:type="dxa"/>
              <w:bottom w:w="80" w:type="dxa"/>
              <w:right w:w="120" w:type="dxa"/>
            </w:tcMar>
            <w:hideMark/>
          </w:tcPr>
          <w:p w14:paraId="22933A5C"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offshore registers with a special tariff</w:t>
            </w:r>
          </w:p>
        </w:tc>
      </w:tr>
    </w:tbl>
    <w:p w14:paraId="03CB4F40" w14:textId="77777777" w:rsidR="009C47A2" w:rsidRDefault="009C47A2">
      <w:pPr>
        <w:pStyle w:val="StandardWeb"/>
        <w:rPr>
          <w:rFonts w:ascii="Calibri" w:hAnsi="Calibri" w:cs="Calibri"/>
          <w:color w:val="222233"/>
          <w:sz w:val="21"/>
          <w:szCs w:val="21"/>
        </w:rPr>
      </w:pPr>
      <w:r>
        <w:rPr>
          <w:rStyle w:val="Fett"/>
          <w:rFonts w:ascii="Calibri" w:hAnsi="Calibri" w:cs="Calibri"/>
          <w:color w:val="222233"/>
          <w:sz w:val="21"/>
          <w:szCs w:val="21"/>
        </w:rPr>
        <w:t>United Kingdom, Germany, United States</w:t>
      </w:r>
      <w:r>
        <w:rPr>
          <w:rFonts w:ascii="Calibri" w:hAnsi="Calibri" w:cs="Calibri"/>
          <w:color w:val="222233"/>
          <w:sz w:val="21"/>
          <w:szCs w:val="21"/>
        </w:rPr>
        <w:t xml:space="preserve"> are priced individually rather than by tier. A case that has to be worked manually carries a surcharge. All amounts are net of VAT and are stated in Annex 2a (clause 8.6).</w:t>
      </w:r>
    </w:p>
    <w:p w14:paraId="29AC02E6" w14:textId="77777777" w:rsidR="009C47A2" w:rsidRDefault="009C47A2">
      <w:pPr>
        <w:pStyle w:val="StandardWeb"/>
        <w:rPr>
          <w:rFonts w:ascii="Calibri" w:hAnsi="Calibri" w:cs="Calibri"/>
          <w:color w:val="222233"/>
          <w:sz w:val="21"/>
          <w:szCs w:val="21"/>
        </w:rPr>
      </w:pPr>
      <w:r>
        <w:rPr>
          <w:rStyle w:val="Fett"/>
          <w:rFonts w:ascii="Calibri" w:hAnsi="Calibri" w:cs="Calibri"/>
          <w:color w:val="222233"/>
          <w:sz w:val="21"/>
          <w:szCs w:val="21"/>
        </w:rPr>
        <w:t>United States is not on a tier.</w:t>
      </w:r>
      <w:r>
        <w:rPr>
          <w:rFonts w:ascii="Calibri" w:hAnsi="Calibri" w:cs="Calibri"/>
          <w:color w:val="222233"/>
          <w:sz w:val="21"/>
          <w:szCs w:val="21"/>
        </w:rPr>
        <w:t xml:space="preserve"> </w:t>
      </w:r>
      <w:r>
        <w:rPr>
          <w:rFonts w:ascii="Calibri" w:hAnsi="Calibri" w:cs="Calibri"/>
          <w:color w:val="222233"/>
          <w:sz w:val="21"/>
          <w:szCs w:val="21"/>
        </w:rPr>
        <w:t>It has no single national register: company records are filed with each state, and availability is determined per state. It is priced individually in the price list, and Annex 2.2 marks it accordingly.</w:t>
      </w:r>
    </w:p>
    <w:p w14:paraId="46F7F152" w14:textId="77777777" w:rsidR="009C47A2" w:rsidRDefault="009C47A2">
      <w:pPr>
        <w:pStyle w:val="berschrift2"/>
        <w:rPr>
          <w:rFonts w:eastAsia="Times New Roman"/>
        </w:rPr>
      </w:pPr>
      <w:r>
        <w:rPr>
          <w:rFonts w:eastAsia="Times New Roman"/>
        </w:rPr>
        <w:t>2.2 Covered jurisdictions</w:t>
      </w:r>
    </w:p>
    <w:p w14:paraId="30F1A05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153 jurisdictions are covered. The </w:t>
      </w:r>
      <w:r>
        <w:rPr>
          <w:rStyle w:val="chip"/>
          <w:rFonts w:ascii="Calibri" w:hAnsi="Calibri" w:cs="Calibri"/>
          <w:color w:val="222233"/>
          <w:sz w:val="21"/>
          <w:szCs w:val="21"/>
        </w:rPr>
        <w:t>highlighted</w:t>
      </w:r>
      <w:r>
        <w:rPr>
          <w:rStyle w:val="chip"/>
          <w:rFonts w:ascii="Calibri" w:hAnsi="Calibri" w:cs="Calibri"/>
          <w:b/>
          <w:bCs/>
          <w:color w:val="222233"/>
          <w:sz w:val="21"/>
          <w:szCs w:val="21"/>
        </w:rPr>
        <w:t> </w:t>
      </w:r>
      <w:r>
        <w:rPr>
          <w:rFonts w:ascii="Calibri" w:hAnsi="Calibri" w:cs="Calibri"/>
          <w:color w:val="222233"/>
          <w:sz w:val="21"/>
          <w:szCs w:val="21"/>
        </w:rPr>
        <w:t xml:space="preserve"> entries are STP's fifteen priority jurisdictions; the letter is the price tier per section 2.1, and — marks a jurisdiction priced individually.</w:t>
      </w:r>
    </w:p>
    <w:p w14:paraId="40A21E39" w14:textId="77777777" w:rsidR="009C47A2" w:rsidRDefault="009C47A2">
      <w:pPr>
        <w:pStyle w:val="pagebreak"/>
        <w:spacing w:after="120"/>
        <w:rPr>
          <w:rFonts w:ascii="Calibri" w:hAnsi="Calibri" w:cs="Calibri"/>
          <w:color w:val="222233"/>
          <w:sz w:val="21"/>
          <w:szCs w:val="21"/>
        </w:rPr>
      </w:pPr>
      <w:r>
        <w:rPr>
          <w:rFonts w:ascii="Calibri" w:hAnsi="Calibri" w:cs="Calibri"/>
          <w:color w:val="222233"/>
          <w:sz w:val="21"/>
          <w:szCs w:val="21"/>
        </w:rPr>
        <w:t> </w:t>
      </w:r>
    </w:p>
    <w:p w14:paraId="266E5603" w14:textId="77777777" w:rsidR="009C47A2" w:rsidRDefault="009C47A2">
      <w:pPr>
        <w:pStyle w:val="kicker"/>
        <w:rPr>
          <w:rFonts w:ascii="Calibri" w:hAnsi="Calibri" w:cs="Calibri"/>
        </w:rPr>
      </w:pPr>
      <w:r>
        <w:rPr>
          <w:rFonts w:ascii="Calibri" w:hAnsi="Calibri" w:cs="Calibri"/>
        </w:rPr>
        <w:t>Annex 2 to the Reseller Agreement · continued</w:t>
      </w:r>
    </w:p>
    <w:p w14:paraId="71E67ABE" w14:textId="77777777" w:rsidR="009C47A2" w:rsidRDefault="009C47A2">
      <w:pPr>
        <w:pStyle w:val="berschrift1"/>
        <w:rPr>
          <w:rFonts w:eastAsia="Times New Roman"/>
        </w:rPr>
      </w:pPr>
      <w:r>
        <w:rPr>
          <w:rFonts w:eastAsia="Times New Roman"/>
        </w:rPr>
        <w:t>Surcharges, turnaround and end-client rights</w:t>
      </w:r>
    </w:p>
    <w:p w14:paraId="31FFBA12" w14:textId="77777777" w:rsidR="009C47A2" w:rsidRDefault="009C47A2">
      <w:pPr>
        <w:pStyle w:val="berschrift2"/>
        <w:rPr>
          <w:rFonts w:eastAsia="Times New Roman"/>
        </w:rPr>
      </w:pPr>
      <w:r>
        <w:rPr>
          <w:rFonts w:eastAsia="Times New Roman"/>
        </w:rPr>
        <w:t>2.3 Surcharge for additional documents</w:t>
      </w:r>
    </w:p>
    <w:p w14:paraId="3A91FF82"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Where a document kind is an </w:t>
      </w:r>
      <w:r>
        <w:rPr>
          <w:rStyle w:val="Hervorhebung"/>
          <w:rFonts w:ascii="Calibri" w:hAnsi="Calibri" w:cs="Calibri"/>
          <w:color w:val="222233"/>
          <w:sz w:val="21"/>
          <w:szCs w:val="21"/>
        </w:rPr>
        <w:t>additional document</w:t>
      </w:r>
      <w:r>
        <w:rPr>
          <w:rFonts w:ascii="Calibri" w:hAnsi="Calibri" w:cs="Calibri"/>
          <w:color w:val="222233"/>
          <w:sz w:val="21"/>
          <w:szCs w:val="21"/>
        </w:rPr>
        <w:t xml:space="preserve"> in the sense of Annex 1.3, a </w:t>
      </w:r>
      <w:r>
        <w:rPr>
          <w:rStyle w:val="Fett"/>
          <w:rFonts w:ascii="Calibri" w:hAnsi="Calibri" w:cs="Calibri"/>
          <w:color w:val="222233"/>
          <w:sz w:val="21"/>
          <w:szCs w:val="21"/>
        </w:rPr>
        <w:t>surcharge</w:t>
      </w:r>
      <w:r>
        <w:rPr>
          <w:rFonts w:ascii="Calibri" w:hAnsi="Calibri" w:cs="Calibri"/>
          <w:color w:val="222233"/>
          <w:sz w:val="21"/>
          <w:szCs w:val="21"/>
        </w:rPr>
        <w:t xml:space="preserve"> applies on top of the case price. The surcharge differs per jurisdiction and per document kind.</w:t>
      </w:r>
    </w:p>
    <w:p w14:paraId="0E03F632" w14:textId="77777777" w:rsidR="009C47A2" w:rsidRDefault="009C47A2">
      <w:pPr>
        <w:numPr>
          <w:ilvl w:val="0"/>
          <w:numId w:val="3"/>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The applicable amounts are stated in Annex 2a. </w:t>
      </w:r>
      <w:r>
        <w:rPr>
          <w:rStyle w:val="Fett"/>
          <w:rFonts w:ascii="Calibri" w:eastAsia="Times New Roman" w:hAnsi="Calibri" w:cs="Calibri"/>
          <w:color w:val="222233"/>
          <w:sz w:val="21"/>
          <w:szCs w:val="21"/>
        </w:rPr>
        <w:t>A surcharge that has not been notified to STP in advance is not charged.</w:t>
      </w:r>
    </w:p>
    <w:p w14:paraId="49089915" w14:textId="77777777" w:rsidR="009C47A2" w:rsidRDefault="009C47A2">
      <w:pPr>
        <w:numPr>
          <w:ilvl w:val="0"/>
          <w:numId w:val="3"/>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Founders1 notifies a new or changed surcharge at least 30 days before it applies.</w:t>
      </w:r>
    </w:p>
    <w:p w14:paraId="69E587F4" w14:textId="77777777" w:rsidR="009C47A2" w:rsidRDefault="009C47A2">
      <w:pPr>
        <w:numPr>
          <w:ilvl w:val="0"/>
          <w:numId w:val="3"/>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Per jurisdiction, the parties agree whether the additional document is retrieved </w:t>
      </w:r>
      <w:r>
        <w:rPr>
          <w:rStyle w:val="Fett"/>
          <w:rFonts w:ascii="Calibri" w:eastAsia="Times New Roman" w:hAnsi="Calibri" w:cs="Calibri"/>
          <w:color w:val="222233"/>
          <w:sz w:val="21"/>
          <w:szCs w:val="21"/>
        </w:rPr>
        <w:t>with every case</w:t>
      </w:r>
      <w:r>
        <w:rPr>
          <w:rFonts w:ascii="Calibri" w:eastAsia="Times New Roman" w:hAnsi="Calibri" w:cs="Calibri"/>
          <w:color w:val="222233"/>
          <w:sz w:val="21"/>
          <w:szCs w:val="21"/>
        </w:rPr>
        <w:t xml:space="preserve"> in that jurisdiction, or </w:t>
      </w:r>
      <w:r>
        <w:rPr>
          <w:rStyle w:val="Fett"/>
          <w:rFonts w:ascii="Calibri" w:eastAsia="Times New Roman" w:hAnsi="Calibri" w:cs="Calibri"/>
          <w:color w:val="222233"/>
          <w:sz w:val="21"/>
          <w:szCs w:val="21"/>
        </w:rPr>
        <w:t>only on request</w:t>
      </w:r>
      <w:r>
        <w:rPr>
          <w:rFonts w:ascii="Calibri" w:eastAsia="Times New Roman" w:hAnsi="Calibri" w:cs="Calibri"/>
          <w:color w:val="222233"/>
          <w:sz w:val="21"/>
          <w:szCs w:val="21"/>
        </w:rPr>
        <w:t xml:space="preserve"> per case. Where nothing is agreed, it is retrieved only on request.</w:t>
      </w:r>
    </w:p>
    <w:p w14:paraId="259D86DD" w14:textId="77777777" w:rsidR="009C47A2" w:rsidRDefault="009C47A2">
      <w:pPr>
        <w:pStyle w:val="berschrift2"/>
        <w:rPr>
          <w:rFonts w:eastAsia="Times New Roman"/>
        </w:rPr>
      </w:pPr>
      <w:r>
        <w:rPr>
          <w:rFonts w:eastAsia="Times New Roman"/>
        </w:rPr>
        <w:t>2.4 Turnaround</w:t>
      </w:r>
    </w:p>
    <w:p w14:paraId="274BA35B"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Procurement is asynchronous. Automated routes typically complete within minutes to hours; jurisdictions served by a manual registry route take longer, and no fixed turnaround is owed for them (clause 7.2). The expected range per jurisdiction is stated in Annex 2a; where no range is stated, none is owed.</w:t>
      </w:r>
    </w:p>
    <w:p w14:paraId="1BC69016" w14:textId="77777777" w:rsidR="009C47A2" w:rsidRDefault="009C47A2">
      <w:pPr>
        <w:pStyle w:val="berschrift2"/>
        <w:rPr>
          <w:rFonts w:eastAsia="Times New Roman"/>
        </w:rPr>
      </w:pPr>
      <w:r>
        <w:rPr>
          <w:rFonts w:eastAsia="Times New Roman"/>
        </w:rPr>
        <w:t>2.5 End-client rights</w:t>
      </w:r>
    </w:p>
    <w:p w14:paraId="2B924E0C"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What an End Client may and may not do with a Document is set out in </w:t>
      </w:r>
      <w:r>
        <w:rPr>
          <w:rStyle w:val="Fett"/>
          <w:rFonts w:ascii="Calibri" w:hAnsi="Calibri" w:cs="Calibri"/>
          <w:color w:val="222233"/>
          <w:sz w:val="21"/>
          <w:szCs w:val="21"/>
        </w:rPr>
        <w:t>Annex 5</w:t>
      </w:r>
      <w:r>
        <w:rPr>
          <w:rFonts w:ascii="Calibri" w:hAnsi="Calibri" w:cs="Calibri"/>
          <w:color w:val="222233"/>
          <w:sz w:val="21"/>
          <w:szCs w:val="21"/>
        </w:rPr>
        <w:t>, which also states the terms STP passes through under clause 9.1. The grant itself is in clause 3.5.</w:t>
      </w:r>
    </w:p>
    <w:p w14:paraId="26C8E2BA" w14:textId="77777777" w:rsidR="009C47A2" w:rsidRDefault="009C47A2">
      <w:pPr>
        <w:pStyle w:val="pagebreak"/>
        <w:spacing w:after="120"/>
        <w:rPr>
          <w:rFonts w:ascii="Calibri" w:hAnsi="Calibri" w:cs="Calibri"/>
          <w:color w:val="222233"/>
          <w:sz w:val="21"/>
          <w:szCs w:val="21"/>
        </w:rPr>
      </w:pPr>
      <w:r>
        <w:rPr>
          <w:rFonts w:ascii="Calibri" w:hAnsi="Calibri" w:cs="Calibri"/>
          <w:color w:val="222233"/>
          <w:sz w:val="21"/>
          <w:szCs w:val="21"/>
        </w:rPr>
        <w:t> </w:t>
      </w:r>
    </w:p>
    <w:p w14:paraId="03AEAE2D" w14:textId="77777777" w:rsidR="009C47A2" w:rsidRDefault="009C47A2">
      <w:pPr>
        <w:pStyle w:val="kicker"/>
        <w:rPr>
          <w:rFonts w:ascii="Calibri" w:hAnsi="Calibri" w:cs="Calibri"/>
        </w:rPr>
      </w:pPr>
      <w:r>
        <w:rPr>
          <w:rFonts w:ascii="Calibri" w:hAnsi="Calibri" w:cs="Calibri"/>
        </w:rPr>
        <w:t>Annex 3 to the Reseller Agreement</w:t>
      </w:r>
    </w:p>
    <w:p w14:paraId="5F5C9517" w14:textId="77777777" w:rsidR="009C47A2" w:rsidRDefault="009C47A2">
      <w:pPr>
        <w:pStyle w:val="berschrift1"/>
        <w:rPr>
          <w:rFonts w:eastAsia="Times New Roman"/>
        </w:rPr>
      </w:pPr>
      <w:r>
        <w:rPr>
          <w:rFonts w:eastAsia="Times New Roman"/>
        </w:rPr>
        <w:t>Data protection between independent controllers</w:t>
      </w:r>
    </w:p>
    <w:p w14:paraId="7DD07BA7" w14:textId="77777777" w:rsidR="009C47A2" w:rsidRDefault="009C47A2">
      <w:pPr>
        <w:pStyle w:val="meta"/>
        <w:rPr>
          <w:rFonts w:ascii="Calibri" w:hAnsi="Calibri" w:cs="Calibri"/>
        </w:rPr>
      </w:pPr>
      <w:r>
        <w:rPr>
          <w:rFonts w:ascii="Calibri" w:hAnsi="Calibri" w:cs="Calibri"/>
        </w:rPr>
        <w:t>Founders1 GmbH — STP Business Information GmbH · Draft, 14 September 2026</w:t>
      </w:r>
    </w:p>
    <w:p w14:paraId="4224AFE0" w14:textId="77777777" w:rsidR="009C47A2" w:rsidRDefault="009C47A2">
      <w:pPr>
        <w:pStyle w:val="berschrift2"/>
        <w:rPr>
          <w:rFonts w:eastAsia="Times New Roman"/>
        </w:rPr>
      </w:pPr>
      <w:r>
        <w:rPr>
          <w:rFonts w:eastAsia="Times New Roman"/>
        </w:rPr>
        <w:t>3.1 Roles</w:t>
      </w:r>
    </w:p>
    <w:p w14:paraId="147C081C"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Each party determines the purposes and means of its own processing and acts as an </w:t>
      </w:r>
      <w:r>
        <w:rPr>
          <w:rStyle w:val="Fett"/>
          <w:rFonts w:ascii="Calibri" w:hAnsi="Calibri" w:cs="Calibri"/>
          <w:color w:val="222233"/>
          <w:sz w:val="21"/>
          <w:szCs w:val="21"/>
        </w:rPr>
        <w:t>independent controller</w:t>
      </w:r>
      <w:r>
        <w:rPr>
          <w:rFonts w:ascii="Calibri" w:hAnsi="Calibri" w:cs="Calibri"/>
          <w:color w:val="222233"/>
          <w:sz w:val="21"/>
          <w:szCs w:val="21"/>
        </w:rPr>
        <w:t xml:space="preserve"> </w:t>
      </w:r>
      <w:r>
        <w:rPr>
          <w:rFonts w:ascii="Calibri" w:hAnsi="Calibri" w:cs="Calibri"/>
          <w:color w:val="222233"/>
          <w:sz w:val="21"/>
          <w:szCs w:val="21"/>
        </w:rPr>
        <w:t>under Art. 4 No. 7 GDPR. Neither party processes on behalf of the other; Art. 28 GDPR does not apply, and no joint controllership under Art. 26 GDPR is established. Each party is separately responsible for the lawfulness of its own processing.</w:t>
      </w:r>
    </w:p>
    <w:p w14:paraId="754FC494"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Founders1 decides which route a Case takes, what is retrieved, and how long it is held, and is the controller of that processing along its whole procurement chain; parties Founders1 engages for procurement act as its processors. Delivery to STP is therefore a transfer between two controllers, not a disclosure by a processor.</w:t>
      </w:r>
    </w:p>
    <w:p w14:paraId="10355AA1"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Founders1 also </w:t>
      </w:r>
      <w:r>
        <w:rPr>
          <w:rStyle w:val="Fett"/>
          <w:rFonts w:ascii="Calibri" w:hAnsi="Calibri" w:cs="Calibri"/>
          <w:color w:val="222233"/>
          <w:sz w:val="21"/>
          <w:szCs w:val="21"/>
        </w:rPr>
        <w:t>holds the documents it procures and re-serves them to other customers</w:t>
      </w:r>
      <w:r>
        <w:rPr>
          <w:rFonts w:ascii="Calibri" w:hAnsi="Calibri" w:cs="Calibri"/>
          <w:color w:val="222233"/>
          <w:sz w:val="21"/>
          <w:szCs w:val="21"/>
        </w:rPr>
        <w:t xml:space="preserve"> </w:t>
      </w:r>
      <w:r>
        <w:rPr>
          <w:rFonts w:ascii="Calibri" w:hAnsi="Calibri" w:cs="Calibri"/>
          <w:color w:val="222233"/>
          <w:sz w:val="21"/>
          <w:szCs w:val="21"/>
        </w:rPr>
        <w:t>where they are still current (Annex 1.4). It therefore processes for its own purposes and on its own determination, and not solely on STP's instruction, which is what distinguishes this arrangement from processing under Art. 28 GDPR.</w:t>
      </w:r>
    </w:p>
    <w:p w14:paraId="69E28583" w14:textId="77777777" w:rsidR="009C47A2" w:rsidRDefault="009C47A2">
      <w:pPr>
        <w:pStyle w:val="berschrift2"/>
        <w:rPr>
          <w:rFonts w:eastAsia="Times New Roman"/>
        </w:rPr>
      </w:pPr>
      <w:r>
        <w:rPr>
          <w:rFonts w:eastAsia="Times New Roman"/>
        </w:rPr>
        <w:t>3.2 What is processed</w:t>
      </w:r>
    </w:p>
    <w:tbl>
      <w:tblPr>
        <w:tblW w:w="5000" w:type="pct"/>
        <w:tblCellMar>
          <w:top w:w="15" w:type="dxa"/>
          <w:left w:w="15" w:type="dxa"/>
          <w:bottom w:w="15" w:type="dxa"/>
          <w:right w:w="15" w:type="dxa"/>
        </w:tblCellMar>
        <w:tblLook w:val="04A0" w:firstRow="1" w:lastRow="0" w:firstColumn="1" w:lastColumn="0" w:noHBand="0" w:noVBand="1"/>
      </w:tblPr>
      <w:tblGrid>
        <w:gridCol w:w="2314"/>
        <w:gridCol w:w="7098"/>
      </w:tblGrid>
      <w:tr w:rsidR="00000000" w14:paraId="4B0DF035" w14:textId="77777777">
        <w:trPr>
          <w:tblHeader/>
        </w:trPr>
        <w:tc>
          <w:tcPr>
            <w:tcW w:w="0" w:type="auto"/>
            <w:shd w:val="clear" w:color="auto" w:fill="1A2340"/>
            <w:tcMar>
              <w:top w:w="80" w:type="dxa"/>
              <w:left w:w="120" w:type="dxa"/>
              <w:bottom w:w="80" w:type="dxa"/>
              <w:right w:w="120" w:type="dxa"/>
            </w:tcMar>
            <w:vAlign w:val="center"/>
            <w:hideMark/>
          </w:tcPr>
          <w:p w14:paraId="3228E72E"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Data subjects</w:t>
            </w:r>
          </w:p>
        </w:tc>
        <w:tc>
          <w:tcPr>
            <w:tcW w:w="0" w:type="auto"/>
            <w:shd w:val="clear" w:color="auto" w:fill="1A2340"/>
            <w:tcMar>
              <w:top w:w="80" w:type="dxa"/>
              <w:left w:w="120" w:type="dxa"/>
              <w:bottom w:w="80" w:type="dxa"/>
              <w:right w:w="120" w:type="dxa"/>
            </w:tcMar>
            <w:vAlign w:val="center"/>
            <w:hideMark/>
          </w:tcPr>
          <w:p w14:paraId="66399B76"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Categories of data</w:t>
            </w:r>
          </w:p>
        </w:tc>
      </w:tr>
      <w:tr w:rsidR="00000000" w14:paraId="1AA14C71" w14:textId="77777777">
        <w:tc>
          <w:tcPr>
            <w:tcW w:w="0" w:type="auto"/>
            <w:tcBorders>
              <w:bottom w:val="single" w:sz="4" w:space="0" w:color="E5E7EB"/>
            </w:tcBorders>
            <w:tcMar>
              <w:top w:w="80" w:type="dxa"/>
              <w:left w:w="120" w:type="dxa"/>
              <w:bottom w:w="80" w:type="dxa"/>
              <w:right w:w="120" w:type="dxa"/>
            </w:tcMar>
            <w:hideMark/>
          </w:tcPr>
          <w:p w14:paraId="70C50222"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Directors and officers</w:t>
            </w:r>
          </w:p>
        </w:tc>
        <w:tc>
          <w:tcPr>
            <w:tcW w:w="0" w:type="auto"/>
            <w:tcBorders>
              <w:bottom w:val="single" w:sz="4" w:space="0" w:color="E5E7EB"/>
            </w:tcBorders>
            <w:tcMar>
              <w:top w:w="80" w:type="dxa"/>
              <w:left w:w="120" w:type="dxa"/>
              <w:bottom w:w="80" w:type="dxa"/>
              <w:right w:w="120" w:type="dxa"/>
            </w:tcMar>
            <w:hideMark/>
          </w:tcPr>
          <w:p w14:paraId="50EFCD3C"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function, date of birth, address as held by the register</w:t>
            </w:r>
          </w:p>
        </w:tc>
      </w:tr>
      <w:tr w:rsidR="00000000" w14:paraId="43FA9B6E" w14:textId="77777777">
        <w:tc>
          <w:tcPr>
            <w:tcW w:w="0" w:type="auto"/>
            <w:tcBorders>
              <w:bottom w:val="single" w:sz="4" w:space="0" w:color="E5E7EB"/>
            </w:tcBorders>
            <w:tcMar>
              <w:top w:w="80" w:type="dxa"/>
              <w:left w:w="120" w:type="dxa"/>
              <w:bottom w:w="80" w:type="dxa"/>
              <w:right w:w="120" w:type="dxa"/>
            </w:tcMar>
            <w:hideMark/>
          </w:tcPr>
          <w:p w14:paraId="38FE5621"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Shareholders</w:t>
            </w:r>
          </w:p>
        </w:tc>
        <w:tc>
          <w:tcPr>
            <w:tcW w:w="0" w:type="auto"/>
            <w:tcBorders>
              <w:bottom w:val="single" w:sz="4" w:space="0" w:color="E5E7EB"/>
            </w:tcBorders>
            <w:tcMar>
              <w:top w:w="80" w:type="dxa"/>
              <w:left w:w="120" w:type="dxa"/>
              <w:bottom w:w="80" w:type="dxa"/>
              <w:right w:w="120" w:type="dxa"/>
            </w:tcMar>
            <w:hideMark/>
          </w:tcPr>
          <w:p w14:paraId="103B09FB"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address, shareholding, capital contribution as held by the register</w:t>
            </w:r>
          </w:p>
        </w:tc>
      </w:tr>
      <w:tr w:rsidR="00000000" w14:paraId="333D4F84" w14:textId="77777777">
        <w:tc>
          <w:tcPr>
            <w:tcW w:w="0" w:type="auto"/>
            <w:tcBorders>
              <w:bottom w:val="single" w:sz="4" w:space="0" w:color="E5E7EB"/>
            </w:tcBorders>
            <w:tcMar>
              <w:top w:w="80" w:type="dxa"/>
              <w:left w:w="120" w:type="dxa"/>
              <w:bottom w:w="80" w:type="dxa"/>
              <w:right w:w="120" w:type="dxa"/>
            </w:tcMar>
            <w:hideMark/>
          </w:tcPr>
          <w:p w14:paraId="00299C1D"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Beneficial owners</w:t>
            </w:r>
          </w:p>
        </w:tc>
        <w:tc>
          <w:tcPr>
            <w:tcW w:w="0" w:type="auto"/>
            <w:tcBorders>
              <w:bottom w:val="single" w:sz="4" w:space="0" w:color="E5E7EB"/>
            </w:tcBorders>
            <w:tcMar>
              <w:top w:w="80" w:type="dxa"/>
              <w:left w:w="120" w:type="dxa"/>
              <w:bottom w:w="80" w:type="dxa"/>
              <w:right w:w="120" w:type="dxa"/>
            </w:tcMar>
            <w:hideMark/>
          </w:tcPr>
          <w:p w14:paraId="5756AD25"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date of birth, nationality, nature and extent of the interest</w:t>
            </w:r>
          </w:p>
        </w:tc>
      </w:tr>
      <w:tr w:rsidR="00000000" w14:paraId="0FBF2CA7" w14:textId="77777777">
        <w:tc>
          <w:tcPr>
            <w:tcW w:w="0" w:type="auto"/>
            <w:tcBorders>
              <w:bottom w:val="single" w:sz="4" w:space="0" w:color="E5E7EB"/>
            </w:tcBorders>
            <w:tcMar>
              <w:top w:w="80" w:type="dxa"/>
              <w:left w:w="120" w:type="dxa"/>
              <w:bottom w:w="80" w:type="dxa"/>
              <w:right w:w="120" w:type="dxa"/>
            </w:tcMar>
            <w:hideMark/>
          </w:tcPr>
          <w:p w14:paraId="52205278"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Users at STP</w:t>
            </w:r>
          </w:p>
        </w:tc>
        <w:tc>
          <w:tcPr>
            <w:tcW w:w="0" w:type="auto"/>
            <w:tcBorders>
              <w:bottom w:val="single" w:sz="4" w:space="0" w:color="E5E7EB"/>
            </w:tcBorders>
            <w:tcMar>
              <w:top w:w="80" w:type="dxa"/>
              <w:left w:w="120" w:type="dxa"/>
              <w:bottom w:w="80" w:type="dxa"/>
              <w:right w:w="120" w:type="dxa"/>
            </w:tcMar>
            <w:hideMark/>
          </w:tcPr>
          <w:p w14:paraId="3D08A56D"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name, business contact details, account and log data of the API</w:t>
            </w:r>
          </w:p>
        </w:tc>
      </w:tr>
    </w:tbl>
    <w:p w14:paraId="3420C548"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No special categories under Art. 9 GDPR are processed. The register content originates from public company registers; Founders1 does not obtain it from the data subject.</w:t>
      </w:r>
    </w:p>
    <w:p w14:paraId="683D20FD" w14:textId="77777777" w:rsidR="009C47A2" w:rsidRDefault="009C47A2">
      <w:pPr>
        <w:pStyle w:val="berschrift2"/>
        <w:rPr>
          <w:rFonts w:eastAsia="Times New Roman"/>
        </w:rPr>
      </w:pPr>
      <w:r>
        <w:rPr>
          <w:rFonts w:eastAsia="Times New Roman"/>
        </w:rPr>
        <w:t>3.3 Purposes and legal basis</w:t>
      </w:r>
    </w:p>
    <w:p w14:paraId="0C276ED8"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Processing serves the procurement, delivery and documentation of registry information so that STP and its End Clients can meet their obligations under money-laundering law. Each party relies on its own legal basis, as a rule Art. 6 (1) (b) or (f) GDPR, and for End Clients subject to money-laundering law additionally Art. 6 (1) (c) GDPR.</w:t>
      </w:r>
    </w:p>
    <w:p w14:paraId="5FD3FB48"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The information duty under Art. 14 GDPR falls on each party for its own processing. Each party assesses independently whether Art. 14 (5) GDPR applies.</w:t>
      </w:r>
    </w:p>
    <w:p w14:paraId="625BD671" w14:textId="77777777" w:rsidR="009C47A2" w:rsidRDefault="009C47A2">
      <w:pPr>
        <w:pStyle w:val="berschrift2"/>
        <w:rPr>
          <w:rFonts w:eastAsia="Times New Roman"/>
        </w:rPr>
      </w:pPr>
      <w:r>
        <w:rPr>
          <w:rFonts w:eastAsia="Times New Roman"/>
        </w:rPr>
        <w:t>3.4 Technical and organisational measures</w:t>
      </w:r>
    </w:p>
    <w:p w14:paraId="783E8C5B" w14:textId="77777777" w:rsidR="009C47A2" w:rsidRDefault="009C47A2">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Encryption in transit (TLS) and at rest for stored documents; access only over authenticated, rate-limited API access bound to STP's account.</w:t>
      </w:r>
    </w:p>
    <w:p w14:paraId="129B8110" w14:textId="77777777" w:rsidR="009C47A2" w:rsidRDefault="009C47A2">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Role-based access within Founders1, restricted to staff who need it; access to production data logged.</w:t>
      </w:r>
    </w:p>
    <w:p w14:paraId="72B2FBFB" w14:textId="77777777" w:rsidR="009C47A2" w:rsidRDefault="009C47A2">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Documents and case records are held within the EU/EEA. Founders1 maintains a </w:t>
      </w:r>
      <w:r>
        <w:rPr>
          <w:rStyle w:val="Fett"/>
          <w:rFonts w:ascii="Calibri" w:eastAsia="Times New Roman" w:hAnsi="Calibri" w:cs="Calibri"/>
          <w:color w:val="222233"/>
          <w:sz w:val="21"/>
          <w:szCs w:val="21"/>
        </w:rPr>
        <w:t>list of its sub-processors</w:t>
      </w:r>
      <w:r>
        <w:rPr>
          <w:rFonts w:ascii="Calibri" w:eastAsia="Times New Roman" w:hAnsi="Calibri" w:cs="Calibri"/>
          <w:color w:val="222233"/>
          <w:sz w:val="21"/>
          <w:szCs w:val="21"/>
        </w:rPr>
        <w:t>, provides it on request and keeps it current, and notifies STP at least 30 days before adding or replacing one. STP may object on reasonable grounds relating to data protection; where the objection cannot be resolved, STP may terminate the affected jurisdictions.</w:t>
      </w:r>
    </w:p>
    <w:p w14:paraId="5779BCBA" w14:textId="77777777" w:rsidR="009C47A2" w:rsidRDefault="009C47A2">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Segregation of test and production environments; backups encrypted; restore tested.</w:t>
      </w:r>
    </w:p>
    <w:p w14:paraId="7449FED0" w14:textId="77777777" w:rsidR="009C47A2" w:rsidRDefault="009C47A2">
      <w:pPr>
        <w:numPr>
          <w:ilvl w:val="0"/>
          <w:numId w:val="4"/>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Retention and deletion follow Annex 1 and clause 14.4.</w:t>
      </w:r>
    </w:p>
    <w:p w14:paraId="55C16A32" w14:textId="77777777" w:rsidR="009C47A2" w:rsidRDefault="009C47A2">
      <w:pPr>
        <w:pStyle w:val="berschrift2"/>
        <w:rPr>
          <w:rFonts w:eastAsia="Times New Roman"/>
        </w:rPr>
      </w:pPr>
      <w:r>
        <w:rPr>
          <w:rFonts w:eastAsia="Times New Roman"/>
        </w:rPr>
        <w:t>3.5 Transfers to third countries</w:t>
      </w:r>
    </w:p>
    <w:p w14:paraId="7813EB15"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Storage is in the EU/EEA (section 3.4). </w:t>
      </w:r>
      <w:r>
        <w:rPr>
          <w:rStyle w:val="Fett"/>
          <w:rFonts w:ascii="Calibri" w:hAnsi="Calibri" w:cs="Calibri"/>
          <w:color w:val="222233"/>
          <w:sz w:val="21"/>
          <w:szCs w:val="21"/>
        </w:rPr>
        <w:t>Procurement is not.</w:t>
      </w:r>
      <w:r>
        <w:rPr>
          <w:rFonts w:ascii="Calibri" w:hAnsi="Calibri" w:cs="Calibri"/>
          <w:color w:val="222233"/>
          <w:sz w:val="21"/>
          <w:szCs w:val="21"/>
        </w:rPr>
        <w:t xml:space="preserve"> </w:t>
      </w:r>
      <w:r>
        <w:rPr>
          <w:rFonts w:ascii="Calibri" w:hAnsi="Calibri" w:cs="Calibri"/>
          <w:color w:val="222233"/>
          <w:sz w:val="21"/>
          <w:szCs w:val="21"/>
        </w:rPr>
        <w:t>Retrieving a record from a register means transmitting the company identifiers, and where applicable the name of a person searched for, to the jurisdiction of that register. For the jurisdictions covered by Annex 2.2 that necessarily includes third countries without an adequacy decision.</w:t>
      </w:r>
    </w:p>
    <w:p w14:paraId="2F2E8C8D" w14:textId="77777777" w:rsidR="009C47A2" w:rsidRDefault="009C47A2">
      <w:pPr>
        <w:numPr>
          <w:ilvl w:val="0"/>
          <w:numId w:val="5"/>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 xml:space="preserve">Where a transfer is necessary to perform the Case that STP has placed, or to establish or defend legal claims, Founders1 relies on </w:t>
      </w:r>
      <w:r>
        <w:rPr>
          <w:rStyle w:val="Fett"/>
          <w:rFonts w:ascii="Calibri" w:eastAsia="Times New Roman" w:hAnsi="Calibri" w:cs="Calibri"/>
          <w:color w:val="222233"/>
          <w:sz w:val="21"/>
          <w:szCs w:val="21"/>
        </w:rPr>
        <w:t>Art. 49 (1) (b) or (e) GDPR</w:t>
      </w:r>
      <w:r>
        <w:rPr>
          <w:rFonts w:ascii="Calibri" w:eastAsia="Times New Roman" w:hAnsi="Calibri" w:cs="Calibri"/>
          <w:color w:val="222233"/>
          <w:sz w:val="21"/>
          <w:szCs w:val="21"/>
        </w:rPr>
        <w:t>. Such transfers are occasional, limited to the identifiers needed to address the register, and are not bulk.</w:t>
      </w:r>
    </w:p>
    <w:p w14:paraId="27D2C3E2" w14:textId="77777777" w:rsidR="009C47A2" w:rsidRDefault="009C47A2">
      <w:pPr>
        <w:numPr>
          <w:ilvl w:val="0"/>
          <w:numId w:val="5"/>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Documents and case records returned from a register are stored in the EU/EEA. Onward transfer of a Document by Founders1 to a third country does not take place.</w:t>
      </w:r>
    </w:p>
    <w:p w14:paraId="5BB17397" w14:textId="77777777" w:rsidR="009C47A2" w:rsidRDefault="009C47A2">
      <w:pPr>
        <w:numPr>
          <w:ilvl w:val="0"/>
          <w:numId w:val="5"/>
        </w:numPr>
        <w:spacing w:after="80"/>
        <w:ind w:left="1080"/>
        <w:rPr>
          <w:rFonts w:ascii="Calibri" w:eastAsia="Times New Roman" w:hAnsi="Calibri" w:cs="Calibri"/>
          <w:color w:val="222233"/>
          <w:sz w:val="21"/>
          <w:szCs w:val="21"/>
        </w:rPr>
      </w:pPr>
      <w:r>
        <w:rPr>
          <w:rFonts w:ascii="Calibri" w:eastAsia="Times New Roman" w:hAnsi="Calibri" w:cs="Calibri"/>
          <w:color w:val="222233"/>
          <w:sz w:val="21"/>
          <w:szCs w:val="21"/>
        </w:rPr>
        <w:t>Founders1 maintains a list of covered jurisdictions outside the EU/EEA and provides it on request. STP may exclude jurisdictions from its own use of the service at any time.</w:t>
      </w:r>
    </w:p>
    <w:p w14:paraId="41AC546D" w14:textId="77777777" w:rsidR="009C47A2" w:rsidRDefault="009C47A2">
      <w:pPr>
        <w:numPr>
          <w:ilvl w:val="0"/>
          <w:numId w:val="5"/>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Sanctions.</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A jurisdiction appearing in Annex 2.2 is a statement about register coverage, not a representation that a Case in that jurisdiction may lawfully be placed. Each party remains responsible for its own sanctions and export-control compliance, and Founders1 may decline a Case under clause 7.4 on that ground.</w:t>
      </w:r>
    </w:p>
    <w:p w14:paraId="0B2FBB02" w14:textId="77777777" w:rsidR="009C47A2" w:rsidRDefault="009C47A2">
      <w:pPr>
        <w:pStyle w:val="berschrift2"/>
        <w:rPr>
          <w:rFonts w:eastAsia="Times New Roman"/>
        </w:rPr>
      </w:pPr>
      <w:r>
        <w:rPr>
          <w:rFonts w:eastAsia="Times New Roman"/>
        </w:rPr>
        <w:t>3.6 Cooperation</w:t>
      </w:r>
    </w:p>
    <w:p w14:paraId="4125F44C"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Each party informs the other without undue delay of a personal data breach affecting data received from the other, with the information needed for that party's own notification duties. Data-subject requests are answered by the party that received them; where a request concerns the other party's processing, it is forwarded without undue delay. Each party names a contact point for data protection matters on signature.</w:t>
      </w:r>
    </w:p>
    <w:p w14:paraId="6819E6C4" w14:textId="77777777" w:rsidR="009C47A2" w:rsidRDefault="009C47A2">
      <w:pPr>
        <w:pStyle w:val="pagebreak"/>
        <w:spacing w:after="120"/>
        <w:rPr>
          <w:rFonts w:ascii="Calibri" w:hAnsi="Calibri" w:cs="Calibri"/>
          <w:color w:val="222233"/>
          <w:sz w:val="21"/>
          <w:szCs w:val="21"/>
        </w:rPr>
      </w:pPr>
      <w:r>
        <w:rPr>
          <w:rFonts w:ascii="Calibri" w:hAnsi="Calibri" w:cs="Calibri"/>
          <w:color w:val="222233"/>
          <w:sz w:val="21"/>
          <w:szCs w:val="21"/>
        </w:rPr>
        <w:t> </w:t>
      </w:r>
    </w:p>
    <w:p w14:paraId="44B6E144" w14:textId="77777777" w:rsidR="009C47A2" w:rsidRDefault="009C47A2">
      <w:pPr>
        <w:pStyle w:val="kicker"/>
        <w:rPr>
          <w:rFonts w:ascii="Calibri" w:hAnsi="Calibri" w:cs="Calibri"/>
        </w:rPr>
      </w:pPr>
      <w:r>
        <w:rPr>
          <w:rFonts w:ascii="Calibri" w:hAnsi="Calibri" w:cs="Calibri"/>
        </w:rPr>
        <w:t>Annex 4 to the Reseller Agreement</w:t>
      </w:r>
    </w:p>
    <w:p w14:paraId="36ECD568" w14:textId="77777777" w:rsidR="009C47A2" w:rsidRDefault="009C47A2">
      <w:pPr>
        <w:pStyle w:val="berschrift1"/>
        <w:rPr>
          <w:rFonts w:eastAsia="Times New Roman"/>
        </w:rPr>
      </w:pPr>
      <w:r>
        <w:rPr>
          <w:rFonts w:eastAsia="Times New Roman"/>
        </w:rPr>
        <w:t>Permitted Affiliates</w:t>
      </w:r>
    </w:p>
    <w:p w14:paraId="36C3B93E" w14:textId="77777777" w:rsidR="009C47A2" w:rsidRDefault="009C47A2">
      <w:pPr>
        <w:pStyle w:val="meta"/>
        <w:rPr>
          <w:rFonts w:ascii="Calibri" w:hAnsi="Calibri" w:cs="Calibri"/>
        </w:rPr>
      </w:pPr>
      <w:r>
        <w:rPr>
          <w:rFonts w:ascii="Calibri" w:hAnsi="Calibri" w:cs="Calibri"/>
        </w:rPr>
        <w:t>Founders1 GmbH — STP Business Information GmbH · Draft, 14 September 2026</w:t>
      </w:r>
    </w:p>
    <w:p w14:paraId="0DA65DC9" w14:textId="77777777" w:rsidR="009C47A2" w:rsidRDefault="009C47A2">
      <w:pPr>
        <w:pStyle w:val="berschrift2"/>
        <w:rPr>
          <w:rFonts w:eastAsia="Times New Roman"/>
        </w:rPr>
      </w:pPr>
      <w:r>
        <w:rPr>
          <w:rFonts w:eastAsia="Times New Roman"/>
        </w:rPr>
        <w:t>4.1 Admitted affiliates</w:t>
      </w:r>
    </w:p>
    <w:p w14:paraId="4268AED4"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The following members of the Septeo Group are admitted as Permitted Affiliates under clause 4 and may exercise the rights under clauses 3.1 to 3.5. STP remains the sole contracting and billing party for all of them.</w:t>
      </w:r>
    </w:p>
    <w:tbl>
      <w:tblPr>
        <w:tblW w:w="5000" w:type="pct"/>
        <w:tblCellMar>
          <w:top w:w="15" w:type="dxa"/>
          <w:left w:w="15" w:type="dxa"/>
          <w:bottom w:w="15" w:type="dxa"/>
          <w:right w:w="15" w:type="dxa"/>
        </w:tblCellMar>
        <w:tblLook w:val="04A0" w:firstRow="1" w:lastRow="0" w:firstColumn="1" w:lastColumn="0" w:noHBand="0" w:noVBand="1"/>
      </w:tblPr>
      <w:tblGrid>
        <w:gridCol w:w="1341"/>
        <w:gridCol w:w="2691"/>
        <w:gridCol w:w="3085"/>
        <w:gridCol w:w="2295"/>
      </w:tblGrid>
      <w:tr w:rsidR="00000000" w14:paraId="10C69B72" w14:textId="77777777">
        <w:trPr>
          <w:tblHeader/>
        </w:trPr>
        <w:tc>
          <w:tcPr>
            <w:tcW w:w="0" w:type="auto"/>
            <w:shd w:val="clear" w:color="auto" w:fill="1A2340"/>
            <w:tcMar>
              <w:top w:w="80" w:type="dxa"/>
              <w:left w:w="120" w:type="dxa"/>
              <w:bottom w:w="80" w:type="dxa"/>
              <w:right w:w="120" w:type="dxa"/>
            </w:tcMar>
            <w:vAlign w:val="center"/>
            <w:hideMark/>
          </w:tcPr>
          <w:p w14:paraId="4507C771"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Entity</w:t>
            </w:r>
          </w:p>
        </w:tc>
        <w:tc>
          <w:tcPr>
            <w:tcW w:w="0" w:type="auto"/>
            <w:shd w:val="clear" w:color="auto" w:fill="1A2340"/>
            <w:tcMar>
              <w:top w:w="80" w:type="dxa"/>
              <w:left w:w="120" w:type="dxa"/>
              <w:bottom w:w="80" w:type="dxa"/>
              <w:right w:w="120" w:type="dxa"/>
            </w:tcMar>
            <w:vAlign w:val="center"/>
            <w:hideMark/>
          </w:tcPr>
          <w:p w14:paraId="567B1E61"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Registered seat</w:t>
            </w:r>
          </w:p>
        </w:tc>
        <w:tc>
          <w:tcPr>
            <w:tcW w:w="0" w:type="auto"/>
            <w:shd w:val="clear" w:color="auto" w:fill="1A2340"/>
            <w:tcMar>
              <w:top w:w="80" w:type="dxa"/>
              <w:left w:w="120" w:type="dxa"/>
              <w:bottom w:w="80" w:type="dxa"/>
              <w:right w:w="120" w:type="dxa"/>
            </w:tcMar>
            <w:vAlign w:val="center"/>
            <w:hideMark/>
          </w:tcPr>
          <w:p w14:paraId="4C495165"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Register / number</w:t>
            </w:r>
          </w:p>
        </w:tc>
        <w:tc>
          <w:tcPr>
            <w:tcW w:w="0" w:type="auto"/>
            <w:shd w:val="clear" w:color="auto" w:fill="1A2340"/>
            <w:tcMar>
              <w:top w:w="80" w:type="dxa"/>
              <w:left w:w="120" w:type="dxa"/>
              <w:bottom w:w="80" w:type="dxa"/>
              <w:right w:w="120" w:type="dxa"/>
            </w:tcMar>
            <w:vAlign w:val="center"/>
            <w:hideMark/>
          </w:tcPr>
          <w:p w14:paraId="33C46795" w14:textId="77777777" w:rsidR="009C47A2" w:rsidRDefault="009C47A2">
            <w:pPr>
              <w:spacing w:before="120" w:after="200"/>
              <w:rPr>
                <w:rFonts w:ascii="Calibri" w:eastAsia="Times New Roman" w:hAnsi="Calibri" w:cs="Calibri"/>
                <w:b/>
                <w:bCs/>
                <w:color w:val="FFFFFF"/>
                <w:sz w:val="16"/>
                <w:szCs w:val="16"/>
              </w:rPr>
            </w:pPr>
            <w:r>
              <w:rPr>
                <w:rFonts w:ascii="Calibri" w:eastAsia="Times New Roman" w:hAnsi="Calibri" w:cs="Calibri"/>
                <w:b/>
                <w:bCs/>
                <w:color w:val="FFFFFF"/>
                <w:sz w:val="16"/>
                <w:szCs w:val="16"/>
              </w:rPr>
              <w:t>Admitted on</w:t>
            </w:r>
          </w:p>
        </w:tc>
      </w:tr>
      <w:tr w:rsidR="00000000" w14:paraId="034C5284" w14:textId="77777777">
        <w:tc>
          <w:tcPr>
            <w:tcW w:w="0" w:type="auto"/>
            <w:tcBorders>
              <w:bottom w:val="single" w:sz="4" w:space="0" w:color="E5E7EB"/>
            </w:tcBorders>
            <w:tcMar>
              <w:top w:w="80" w:type="dxa"/>
              <w:left w:w="120" w:type="dxa"/>
              <w:bottom w:w="80" w:type="dxa"/>
              <w:right w:w="120" w:type="dxa"/>
            </w:tcMar>
            <w:hideMark/>
          </w:tcPr>
          <w:p w14:paraId="2E460F80"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c>
          <w:tcPr>
            <w:tcW w:w="0" w:type="auto"/>
            <w:tcBorders>
              <w:bottom w:val="single" w:sz="4" w:space="0" w:color="E5E7EB"/>
            </w:tcBorders>
            <w:tcMar>
              <w:top w:w="80" w:type="dxa"/>
              <w:left w:w="120" w:type="dxa"/>
              <w:bottom w:w="80" w:type="dxa"/>
              <w:right w:w="120" w:type="dxa"/>
            </w:tcMar>
            <w:hideMark/>
          </w:tcPr>
          <w:p w14:paraId="50CD65FC"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c>
          <w:tcPr>
            <w:tcW w:w="0" w:type="auto"/>
            <w:tcBorders>
              <w:bottom w:val="single" w:sz="4" w:space="0" w:color="E5E7EB"/>
            </w:tcBorders>
            <w:tcMar>
              <w:top w:w="80" w:type="dxa"/>
              <w:left w:w="120" w:type="dxa"/>
              <w:bottom w:w="80" w:type="dxa"/>
              <w:right w:w="120" w:type="dxa"/>
            </w:tcMar>
            <w:hideMark/>
          </w:tcPr>
          <w:p w14:paraId="72CE4F22"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c>
          <w:tcPr>
            <w:tcW w:w="0" w:type="auto"/>
            <w:tcBorders>
              <w:bottom w:val="single" w:sz="4" w:space="0" w:color="E5E7EB"/>
            </w:tcBorders>
            <w:tcMar>
              <w:top w:w="80" w:type="dxa"/>
              <w:left w:w="120" w:type="dxa"/>
              <w:bottom w:w="80" w:type="dxa"/>
              <w:right w:w="120" w:type="dxa"/>
            </w:tcMar>
            <w:hideMark/>
          </w:tcPr>
          <w:p w14:paraId="6FBEBC57"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r>
      <w:tr w:rsidR="00000000" w14:paraId="2F3BBD90" w14:textId="77777777">
        <w:tc>
          <w:tcPr>
            <w:tcW w:w="0" w:type="auto"/>
            <w:tcBorders>
              <w:bottom w:val="single" w:sz="4" w:space="0" w:color="E5E7EB"/>
            </w:tcBorders>
            <w:tcMar>
              <w:top w:w="80" w:type="dxa"/>
              <w:left w:w="120" w:type="dxa"/>
              <w:bottom w:w="80" w:type="dxa"/>
              <w:right w:w="120" w:type="dxa"/>
            </w:tcMar>
            <w:hideMark/>
          </w:tcPr>
          <w:p w14:paraId="22063DA3"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c>
          <w:tcPr>
            <w:tcW w:w="0" w:type="auto"/>
            <w:tcBorders>
              <w:bottom w:val="single" w:sz="4" w:space="0" w:color="E5E7EB"/>
            </w:tcBorders>
            <w:tcMar>
              <w:top w:w="80" w:type="dxa"/>
              <w:left w:w="120" w:type="dxa"/>
              <w:bottom w:w="80" w:type="dxa"/>
              <w:right w:w="120" w:type="dxa"/>
            </w:tcMar>
            <w:hideMark/>
          </w:tcPr>
          <w:p w14:paraId="64776C15"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c>
          <w:tcPr>
            <w:tcW w:w="0" w:type="auto"/>
            <w:tcBorders>
              <w:bottom w:val="single" w:sz="4" w:space="0" w:color="E5E7EB"/>
            </w:tcBorders>
            <w:tcMar>
              <w:top w:w="80" w:type="dxa"/>
              <w:left w:w="120" w:type="dxa"/>
              <w:bottom w:w="80" w:type="dxa"/>
              <w:right w:w="120" w:type="dxa"/>
            </w:tcMar>
            <w:hideMark/>
          </w:tcPr>
          <w:p w14:paraId="547A589D"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c>
          <w:tcPr>
            <w:tcW w:w="0" w:type="auto"/>
            <w:tcBorders>
              <w:bottom w:val="single" w:sz="4" w:space="0" w:color="E5E7EB"/>
            </w:tcBorders>
            <w:tcMar>
              <w:top w:w="80" w:type="dxa"/>
              <w:left w:w="120" w:type="dxa"/>
              <w:bottom w:w="80" w:type="dxa"/>
              <w:right w:w="120" w:type="dxa"/>
            </w:tcMar>
            <w:hideMark/>
          </w:tcPr>
          <w:p w14:paraId="74A669F4"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r>
      <w:tr w:rsidR="00000000" w14:paraId="10648814" w14:textId="77777777">
        <w:tc>
          <w:tcPr>
            <w:tcW w:w="0" w:type="auto"/>
            <w:tcBorders>
              <w:bottom w:val="single" w:sz="4" w:space="0" w:color="E5E7EB"/>
            </w:tcBorders>
            <w:tcMar>
              <w:top w:w="80" w:type="dxa"/>
              <w:left w:w="120" w:type="dxa"/>
              <w:bottom w:w="80" w:type="dxa"/>
              <w:right w:w="120" w:type="dxa"/>
            </w:tcMar>
            <w:hideMark/>
          </w:tcPr>
          <w:p w14:paraId="21E403F9"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c>
          <w:tcPr>
            <w:tcW w:w="0" w:type="auto"/>
            <w:tcBorders>
              <w:bottom w:val="single" w:sz="4" w:space="0" w:color="E5E7EB"/>
            </w:tcBorders>
            <w:tcMar>
              <w:top w:w="80" w:type="dxa"/>
              <w:left w:w="120" w:type="dxa"/>
              <w:bottom w:w="80" w:type="dxa"/>
              <w:right w:w="120" w:type="dxa"/>
            </w:tcMar>
            <w:hideMark/>
          </w:tcPr>
          <w:p w14:paraId="437925F3"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c>
          <w:tcPr>
            <w:tcW w:w="0" w:type="auto"/>
            <w:tcBorders>
              <w:bottom w:val="single" w:sz="4" w:space="0" w:color="E5E7EB"/>
            </w:tcBorders>
            <w:tcMar>
              <w:top w:w="80" w:type="dxa"/>
              <w:left w:w="120" w:type="dxa"/>
              <w:bottom w:w="80" w:type="dxa"/>
              <w:right w:w="120" w:type="dxa"/>
            </w:tcMar>
            <w:hideMark/>
          </w:tcPr>
          <w:p w14:paraId="19B1A17D"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c>
          <w:tcPr>
            <w:tcW w:w="0" w:type="auto"/>
            <w:tcBorders>
              <w:bottom w:val="single" w:sz="4" w:space="0" w:color="E5E7EB"/>
            </w:tcBorders>
            <w:tcMar>
              <w:top w:w="80" w:type="dxa"/>
              <w:left w:w="120" w:type="dxa"/>
              <w:bottom w:w="80" w:type="dxa"/>
              <w:right w:w="120" w:type="dxa"/>
            </w:tcMar>
            <w:hideMark/>
          </w:tcPr>
          <w:p w14:paraId="4E8CF374" w14:textId="77777777" w:rsidR="009C47A2" w:rsidRDefault="009C47A2">
            <w:pPr>
              <w:spacing w:before="120" w:after="200"/>
              <w:rPr>
                <w:rFonts w:ascii="Calibri" w:eastAsia="Times New Roman" w:hAnsi="Calibri" w:cs="Calibri"/>
                <w:color w:val="222233"/>
                <w:sz w:val="19"/>
                <w:szCs w:val="19"/>
              </w:rPr>
            </w:pPr>
            <w:r>
              <w:rPr>
                <w:rFonts w:ascii="Calibri" w:eastAsia="Times New Roman" w:hAnsi="Calibri" w:cs="Calibri"/>
                <w:color w:val="222233"/>
                <w:sz w:val="19"/>
                <w:szCs w:val="19"/>
              </w:rPr>
              <w:t>—</w:t>
            </w:r>
          </w:p>
        </w:tc>
      </w:tr>
    </w:tbl>
    <w:p w14:paraId="7BC5200F"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This Annex is empty at signature. Admission follows clause 4.1: STP notifies the affiliate in text form, and it is admitted upon confirmation by Founders1. An admission updates this Annex without requiring an amendment to the Agreement.</w:t>
      </w:r>
    </w:p>
    <w:p w14:paraId="546BD383" w14:textId="77777777" w:rsidR="009C47A2" w:rsidRDefault="009C47A2">
      <w:pPr>
        <w:pStyle w:val="berschrift2"/>
        <w:rPr>
          <w:rFonts w:eastAsia="Times New Roman"/>
        </w:rPr>
      </w:pPr>
      <w:r>
        <w:rPr>
          <w:rFonts w:eastAsia="Times New Roman"/>
        </w:rPr>
        <w:t>4.2 Leaving the group</w:t>
      </w:r>
    </w:p>
    <w:p w14:paraId="479E305E"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An entity that ceases to belong to the Septeo Group ceases to be a Permitted Affiliate at that point and is struck from this Annex. STP notifies Founders1 without undue delay. Rights already granted to End Clients under clause 3.5 for Documents already delivered remain unaffected.</w:t>
      </w:r>
    </w:p>
    <w:p w14:paraId="1AB24F95" w14:textId="77777777" w:rsidR="009C47A2" w:rsidRDefault="009C47A2">
      <w:pPr>
        <w:pStyle w:val="pagebreak"/>
        <w:spacing w:after="120"/>
        <w:rPr>
          <w:rFonts w:ascii="Calibri" w:hAnsi="Calibri" w:cs="Calibri"/>
          <w:color w:val="222233"/>
          <w:sz w:val="21"/>
          <w:szCs w:val="21"/>
        </w:rPr>
      </w:pPr>
      <w:r>
        <w:rPr>
          <w:rFonts w:ascii="Calibri" w:hAnsi="Calibri" w:cs="Calibri"/>
          <w:color w:val="222233"/>
          <w:sz w:val="21"/>
          <w:szCs w:val="21"/>
        </w:rPr>
        <w:t> </w:t>
      </w:r>
    </w:p>
    <w:p w14:paraId="45A3BAE8" w14:textId="77777777" w:rsidR="009C47A2" w:rsidRDefault="009C47A2">
      <w:pPr>
        <w:pStyle w:val="kicker"/>
        <w:rPr>
          <w:rFonts w:ascii="Calibri" w:hAnsi="Calibri" w:cs="Calibri"/>
        </w:rPr>
      </w:pPr>
      <w:r>
        <w:rPr>
          <w:rFonts w:ascii="Calibri" w:hAnsi="Calibri" w:cs="Calibri"/>
        </w:rPr>
        <w:t>Annex 5 to the Reseller Agreement</w:t>
      </w:r>
    </w:p>
    <w:p w14:paraId="35461D77" w14:textId="77777777" w:rsidR="009C47A2" w:rsidRDefault="009C47A2">
      <w:pPr>
        <w:pStyle w:val="berschrift1"/>
        <w:rPr>
          <w:rFonts w:eastAsia="Times New Roman"/>
        </w:rPr>
      </w:pPr>
      <w:r>
        <w:rPr>
          <w:rFonts w:eastAsia="Times New Roman"/>
        </w:rPr>
        <w:t>End-client terms to be passed through</w:t>
      </w:r>
    </w:p>
    <w:p w14:paraId="5DE52722" w14:textId="77777777" w:rsidR="009C47A2" w:rsidRDefault="009C47A2">
      <w:pPr>
        <w:pStyle w:val="meta"/>
        <w:rPr>
          <w:rFonts w:ascii="Calibri" w:hAnsi="Calibri" w:cs="Calibri"/>
        </w:rPr>
      </w:pPr>
      <w:r>
        <w:rPr>
          <w:rFonts w:ascii="Calibri" w:hAnsi="Calibri" w:cs="Calibri"/>
        </w:rPr>
        <w:t>Founders1 GmbH — STP Business Information GmbH · Draft, 14 September 2026</w:t>
      </w:r>
    </w:p>
    <w:p w14:paraId="3B1B3970" w14:textId="77777777" w:rsidR="009C47A2" w:rsidRDefault="009C47A2">
      <w:pPr>
        <w:pStyle w:val="berschrift2"/>
        <w:rPr>
          <w:rFonts w:eastAsia="Times New Roman"/>
        </w:rPr>
      </w:pPr>
      <w:r>
        <w:rPr>
          <w:rFonts w:eastAsia="Times New Roman"/>
        </w:rPr>
        <w:t>5.1 How this Annex works</w:t>
      </w:r>
    </w:p>
    <w:p w14:paraId="1E7761B8"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 xml:space="preserve">Under clause 9.1, STP ensures that its terms with each End Client include, </w:t>
      </w:r>
      <w:r>
        <w:rPr>
          <w:rStyle w:val="Fett"/>
          <w:rFonts w:ascii="Calibri" w:hAnsi="Calibri" w:cs="Calibri"/>
          <w:color w:val="222233"/>
          <w:sz w:val="21"/>
          <w:szCs w:val="21"/>
        </w:rPr>
        <w:t>in substance</w:t>
      </w:r>
      <w:r>
        <w:rPr>
          <w:rFonts w:ascii="Calibri" w:hAnsi="Calibri" w:cs="Calibri"/>
          <w:color w:val="222233"/>
          <w:sz w:val="21"/>
          <w:szCs w:val="21"/>
        </w:rPr>
        <w:t>, the terms below. STP chooses its own wording and may carry them in its general terms of business. It does not have to reproduce this Annex verbatim, name Founders1, or disclose the Agreement.</w:t>
      </w:r>
    </w:p>
    <w:p w14:paraId="64EC9620"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This Annex obliges STP. It grants Founders1 no rights against an End Client and creates no contract between them. Where STP's existing terms already cover a point in substance, that point is satisfied.</w:t>
      </w:r>
    </w:p>
    <w:p w14:paraId="63483200"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Where a Document carries a register-specific restriction notified with it under section 5.2 (e), that restriction prevails over anything more permissive in STP's own terms.</w:t>
      </w:r>
    </w:p>
    <w:p w14:paraId="63B304D0" w14:textId="77777777" w:rsidR="009C47A2" w:rsidRDefault="009C47A2">
      <w:pPr>
        <w:pStyle w:val="berschrift2"/>
        <w:rPr>
          <w:rFonts w:eastAsia="Times New Roman"/>
        </w:rPr>
      </w:pPr>
      <w:r>
        <w:rPr>
          <w:rFonts w:eastAsia="Times New Roman"/>
        </w:rPr>
        <w:t>5.2 The terms</w:t>
      </w:r>
    </w:p>
    <w:p w14:paraId="65CC7F18" w14:textId="77777777" w:rsidR="009C47A2" w:rsidRDefault="009C47A2">
      <w:pPr>
        <w:numPr>
          <w:ilvl w:val="0"/>
          <w:numId w:val="6"/>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(a) Purpose.</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The End Client may use the documents and registry data delivered for it for its own know-your-customer and anti-money-laundering checks, client and supplier onboarding, advisory work, and its own record-keeping. This includes documents about the End Client's own customers, counterparties and suppliers, obtained to discharge the End Client's own obligations. It does not cover discharging another person's compliance obligations, or providing the documents to another person for that purpose.</w:t>
      </w:r>
    </w:p>
    <w:p w14:paraId="7134AC42" w14:textId="77777777" w:rsidR="009C47A2" w:rsidRDefault="009C47A2">
      <w:pPr>
        <w:numPr>
          <w:ilvl w:val="0"/>
          <w:numId w:val="6"/>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(b) Retention.</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The End Client may retain what was delivered for it for as long as its own statutory retention obligation requires, including after its contract with STP ends and after the Agreement between STP and Founders1 ends. Beyond that period, and for any use outside the purpose in (a), the rights follow what Founders1 holds in the underlying content; the applicable scope is stated with each Document.</w:t>
      </w:r>
    </w:p>
    <w:p w14:paraId="0CC15970" w14:textId="77777777" w:rsidR="009C47A2" w:rsidRDefault="009C47A2">
      <w:pPr>
        <w:numPr>
          <w:ilvl w:val="0"/>
          <w:numId w:val="6"/>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(c) No redistribution.</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 xml:space="preserve">The documents are for the End Client's own file. The End Client does not pass them on to third parties, does not sell or license the structured data as a dataset, does not publish it, and does not extract it in bulk. Three disclosures are permitted: to its own advisers and auditors bound to confidentiality; to a supervisory authority where required; and to </w:t>
      </w:r>
      <w:r>
        <w:rPr>
          <w:rStyle w:val="Fett"/>
          <w:rFonts w:ascii="Calibri" w:eastAsia="Times New Roman" w:hAnsi="Calibri" w:cs="Calibri"/>
          <w:color w:val="222233"/>
          <w:sz w:val="21"/>
          <w:szCs w:val="21"/>
        </w:rPr>
        <w:t>the company a document concerns</w:t>
      </w:r>
      <w:r>
        <w:rPr>
          <w:rFonts w:ascii="Calibri" w:eastAsia="Times New Roman" w:hAnsi="Calibri" w:cs="Calibri"/>
          <w:color w:val="222233"/>
          <w:sz w:val="21"/>
          <w:szCs w:val="21"/>
        </w:rPr>
        <w:t>, in connection with the End Client's own check on that company.</w:t>
      </w:r>
    </w:p>
    <w:p w14:paraId="7090E218" w14:textId="77777777" w:rsidR="009C47A2" w:rsidRDefault="009C47A2">
      <w:pPr>
        <w:numPr>
          <w:ilvl w:val="0"/>
          <w:numId w:val="6"/>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(d) No competing use.</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The End Client does not use the documents, the registry data or the availability information to build, train, operate or supply a company-data, registry-aggregation or document-procurement product or service for third parties.</w:t>
      </w:r>
    </w:p>
    <w:p w14:paraId="013EACB5" w14:textId="77777777" w:rsidR="009C47A2" w:rsidRDefault="009C47A2">
      <w:pPr>
        <w:numPr>
          <w:ilvl w:val="0"/>
          <w:numId w:val="6"/>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(e) Register restrictions.</w:t>
      </w:r>
      <w:r>
        <w:rPr>
          <w:rFonts w:ascii="Calibri" w:eastAsia="Times New Roman" w:hAnsi="Calibri" w:cs="Calibri"/>
          <w:color w:val="222233"/>
          <w:sz w:val="21"/>
          <w:szCs w:val="21"/>
        </w:rPr>
        <w:t xml:space="preserve"> Some registers restrict what may be done with their content. Where such a restriction is notified with a document, it applies to the End Client and prevails over the permissions above.</w:t>
      </w:r>
    </w:p>
    <w:p w14:paraId="5C744424" w14:textId="77777777" w:rsidR="009C47A2" w:rsidRDefault="009C47A2">
      <w:pPr>
        <w:numPr>
          <w:ilvl w:val="0"/>
          <w:numId w:val="6"/>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(f) The register is the source.</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Registry content is reproduced as it was filed or held. Neither STP nor its supplier warrants that the register itself is accurate, complete or up to date, and a document reproduces the state of the register at the retrieval date stated with it.</w:t>
      </w:r>
    </w:p>
    <w:p w14:paraId="7366EF3E" w14:textId="77777777" w:rsidR="009C47A2" w:rsidRDefault="009C47A2">
      <w:pPr>
        <w:numPr>
          <w:ilvl w:val="0"/>
          <w:numId w:val="6"/>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(g) Data protection.</w:t>
      </w:r>
      <w:r>
        <w:rPr>
          <w:rFonts w:ascii="Calibri" w:eastAsia="Times New Roman" w:hAnsi="Calibri" w:cs="Calibri"/>
          <w:color w:val="222233"/>
          <w:sz w:val="21"/>
          <w:szCs w:val="21"/>
        </w:rPr>
        <w:t xml:space="preserve"> </w:t>
      </w:r>
      <w:r>
        <w:rPr>
          <w:rFonts w:ascii="Calibri" w:eastAsia="Times New Roman" w:hAnsi="Calibri" w:cs="Calibri"/>
          <w:color w:val="222233"/>
          <w:sz w:val="21"/>
          <w:szCs w:val="21"/>
        </w:rPr>
        <w:t>The documents contain personal data of directors, shareholders and beneficial owners. The End Client is an independent controller for its own use of them and is responsible for the lawfulness of that use, for its own information duties, and for its own assessment of Art. 14 (5) GDPR.</w:t>
      </w:r>
    </w:p>
    <w:p w14:paraId="4EF524D8" w14:textId="77777777" w:rsidR="009C47A2" w:rsidRDefault="009C47A2">
      <w:pPr>
        <w:numPr>
          <w:ilvl w:val="0"/>
          <w:numId w:val="6"/>
        </w:numPr>
        <w:spacing w:after="80"/>
        <w:ind w:left="1080"/>
        <w:rPr>
          <w:rFonts w:ascii="Calibri" w:eastAsia="Times New Roman" w:hAnsi="Calibri" w:cs="Calibri"/>
          <w:color w:val="222233"/>
          <w:sz w:val="21"/>
          <w:szCs w:val="21"/>
        </w:rPr>
      </w:pPr>
      <w:r>
        <w:rPr>
          <w:rStyle w:val="Fett"/>
          <w:rFonts w:ascii="Calibri" w:eastAsia="Times New Roman" w:hAnsi="Calibri" w:cs="Calibri"/>
          <w:color w:val="222233"/>
          <w:sz w:val="21"/>
          <w:szCs w:val="21"/>
        </w:rPr>
        <w:t>(h) No further rights.</w:t>
      </w:r>
      <w:r>
        <w:rPr>
          <w:rFonts w:ascii="Calibri" w:eastAsia="Times New Roman" w:hAnsi="Calibri" w:cs="Calibri"/>
          <w:color w:val="222233"/>
          <w:sz w:val="21"/>
          <w:szCs w:val="21"/>
        </w:rPr>
        <w:t xml:space="preserve"> The End Client acquires no rights in the platform, the interface, the coverage and routing data, or the jurisdiction and document-kind classification behind the service.</w:t>
      </w:r>
    </w:p>
    <w:p w14:paraId="2D934E1C" w14:textId="77777777" w:rsidR="009C47A2" w:rsidRDefault="009C47A2">
      <w:pPr>
        <w:pStyle w:val="berschrift2"/>
        <w:rPr>
          <w:rFonts w:eastAsia="Times New Roman"/>
        </w:rPr>
      </w:pPr>
      <w:r>
        <w:rPr>
          <w:rFonts w:eastAsia="Times New Roman"/>
        </w:rPr>
        <w:t>5.3 Changes</w:t>
      </w:r>
    </w:p>
    <w:p w14:paraId="07284145" w14:textId="77777777" w:rsidR="009C47A2" w:rsidRDefault="009C47A2">
      <w:pPr>
        <w:pStyle w:val="StandardWeb"/>
        <w:rPr>
          <w:rFonts w:ascii="Calibri" w:hAnsi="Calibri" w:cs="Calibri"/>
          <w:color w:val="222233"/>
          <w:sz w:val="21"/>
          <w:szCs w:val="21"/>
        </w:rPr>
      </w:pPr>
      <w:r>
        <w:rPr>
          <w:rFonts w:ascii="Calibri" w:hAnsi="Calibri" w:cs="Calibri"/>
          <w:color w:val="222233"/>
          <w:sz w:val="21"/>
          <w:szCs w:val="21"/>
        </w:rPr>
        <w:t>Founders1 may amend this Annex where a register, a supplier or applicable law requires it, on 30 days' notice, evidencing the requirement. STP applies the change to End Client terms concluded or renewed after it takes effect; it does not have to reopen terms already agreed.</w:t>
      </w:r>
    </w:p>
    <w:sectPr w:rsidR="009C47A2" w:rsidSect="00077F44">
      <w:pgSz w:w="11906" w:h="16838"/>
      <w:pgMar w:top="1134" w:right="1247" w:bottom="1134" w:left="124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008E"/>
    <w:multiLevelType w:val="multilevel"/>
    <w:tmpl w:val="E7FC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DF10F4"/>
    <w:multiLevelType w:val="multilevel"/>
    <w:tmpl w:val="9C98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C861C3"/>
    <w:multiLevelType w:val="multilevel"/>
    <w:tmpl w:val="8FF0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82677"/>
    <w:multiLevelType w:val="multilevel"/>
    <w:tmpl w:val="D824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F1488"/>
    <w:multiLevelType w:val="multilevel"/>
    <w:tmpl w:val="8E32B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BD62B4"/>
    <w:multiLevelType w:val="multilevel"/>
    <w:tmpl w:val="CEB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438860">
    <w:abstractNumId w:val="1"/>
  </w:num>
  <w:num w:numId="2" w16cid:durableId="537856359">
    <w:abstractNumId w:val="4"/>
  </w:num>
  <w:num w:numId="3" w16cid:durableId="1476945510">
    <w:abstractNumId w:val="3"/>
  </w:num>
  <w:num w:numId="4" w16cid:durableId="369888768">
    <w:abstractNumId w:val="5"/>
  </w:num>
  <w:num w:numId="5" w16cid:durableId="625818562">
    <w:abstractNumId w:val="2"/>
  </w:num>
  <w:num w:numId="6" w16cid:durableId="125708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trackRevisions/>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7F44"/>
    <w:rsid w:val="00077F44"/>
    <w:rsid w:val="00442FD6"/>
    <w:rsid w:val="009C47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8A071D"/>
  <w15:chartTrackingRefBased/>
  <w15:docId w15:val="{57D63ACC-121A-4704-BDDA-5163D0C1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after="80"/>
      <w:outlineLvl w:val="0"/>
    </w:pPr>
    <w:rPr>
      <w:rFonts w:ascii="Calibri" w:hAnsi="Calibri" w:cs="Calibri"/>
      <w:b/>
      <w:bCs/>
      <w:color w:val="1A2340"/>
      <w:kern w:val="36"/>
      <w:sz w:val="38"/>
      <w:szCs w:val="38"/>
    </w:rPr>
  </w:style>
  <w:style w:type="paragraph" w:styleId="berschrift2">
    <w:name w:val="heading 2"/>
    <w:basedOn w:val="Standard"/>
    <w:link w:val="berschrift2Zchn"/>
    <w:uiPriority w:val="9"/>
    <w:qFormat/>
    <w:pPr>
      <w:pBdr>
        <w:bottom w:val="single" w:sz="8" w:space="2" w:color="6895FF"/>
      </w:pBdr>
      <w:spacing w:before="320" w:after="120"/>
      <w:outlineLvl w:val="1"/>
    </w:pPr>
    <w:rPr>
      <w:rFonts w:ascii="Calibri" w:hAnsi="Calibri" w:cs="Calibri"/>
      <w:b/>
      <w:bCs/>
      <w:color w:val="1A2340"/>
    </w:rPr>
  </w:style>
  <w:style w:type="paragraph" w:styleId="berschrift3">
    <w:name w:val="heading 3"/>
    <w:basedOn w:val="Standard"/>
    <w:link w:val="berschrift3Zchn"/>
    <w:uiPriority w:val="9"/>
    <w:qFormat/>
    <w:pPr>
      <w:spacing w:before="240" w:after="80"/>
      <w:outlineLvl w:val="2"/>
    </w:pPr>
    <w:rPr>
      <w:b/>
      <w:bCs/>
      <w:color w:val="1A2340"/>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Standard"/>
    <w:pPr>
      <w:spacing w:after="120"/>
    </w:pPr>
  </w:style>
  <w:style w:type="paragraph" w:styleId="StandardWeb">
    <w:name w:val="Normal (Web)"/>
    <w:basedOn w:val="Standard"/>
    <w:uiPriority w:val="99"/>
    <w:semiHidden/>
    <w:unhideWhenUsed/>
    <w:pPr>
      <w:spacing w:after="120"/>
    </w:pPr>
  </w:style>
  <w:style w:type="paragraph" w:customStyle="1" w:styleId="cl">
    <w:name w:val="cl"/>
    <w:basedOn w:val="Standard"/>
    <w:pPr>
      <w:spacing w:after="120"/>
    </w:pPr>
  </w:style>
  <w:style w:type="paragraph" w:customStyle="1" w:styleId="kicker">
    <w:name w:val="kicker"/>
    <w:basedOn w:val="Standard"/>
    <w:pPr>
      <w:spacing w:after="40"/>
    </w:pPr>
    <w:rPr>
      <w:color w:val="6895FF"/>
      <w:spacing w:val="20"/>
      <w:sz w:val="16"/>
      <w:szCs w:val="16"/>
    </w:rPr>
  </w:style>
  <w:style w:type="paragraph" w:customStyle="1" w:styleId="meta">
    <w:name w:val="meta"/>
    <w:basedOn w:val="Standard"/>
    <w:pPr>
      <w:spacing w:after="60"/>
    </w:pPr>
    <w:rPr>
      <w:color w:val="6B7280"/>
      <w:sz w:val="18"/>
      <w:szCs w:val="18"/>
    </w:rPr>
  </w:style>
  <w:style w:type="paragraph" w:customStyle="1" w:styleId="pagebreak">
    <w:name w:val="pagebreak"/>
    <w:basedOn w:val="Standard"/>
    <w:pPr>
      <w:pageBreakBefore/>
      <w:spacing w:after="80"/>
    </w:p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character" w:customStyle="1" w:styleId="status">
    <w:name w:val="status"/>
    <w:basedOn w:val="Absatz-Standardschriftart"/>
  </w:style>
  <w:style w:type="character" w:customStyle="1" w:styleId="chip">
    <w:name w:val="chip"/>
    <w:basedOn w:val="Absatz-Standardschriftar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6542</Words>
  <Characters>31926</Characters>
  <Application>Microsoft Office Word</Application>
  <DocSecurity>0</DocSecurity>
  <Lines>1330</Lines>
  <Paragraphs>1326</Paragraphs>
  <ScaleCrop>false</ScaleCrop>
  <Company/>
  <LinksUpToDate>false</LinksUpToDate>
  <CharactersWithSpaces>37142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Reseller Agreement</dc:title>
  <dc:subject/>
  <dc:creator>Eckhard Ortwein</dc:creator>
  <cp:keywords/>
  <dc:description/>
  <cp:lastModifiedBy>Eckhard Ortwein</cp:lastModifiedBy>
  <cp:revision>3</cp:revision>
  <dcterms:created xsi:type="dcterms:W3CDTF">2026-09-15T10:39:00Z</dcterms:created>
  <dcterms:modified xsi:type="dcterms:W3CDTF">2026-09-15T10:39:00Z</dcterms:modified>
</cp:coreProperties>
</file>