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4D14A" w14:textId="357DC479" w:rsidR="004C30B2" w:rsidRDefault="004C30B2" w:rsidP="004C30B2">
      <w:pPr>
        <w:pStyle w:val="berschrift1"/>
      </w:pPr>
      <w:bookmarkStart w:id="0" w:name="_Toc241436690"/>
      <w:r>
        <w:t>Contents</w:t>
      </w:r>
      <w:bookmarkEnd w:id="0"/>
    </w:p>
    <w:p w14:paraId="57E6C4B4" w14:textId="522BBA80" w:rsidR="004C30B2" w:rsidRDefault="004C30B2" w:rsidP="004C30B2">
      <w:pPr>
        <w:pStyle w:val="Verzeichnis1"/>
        <w:tabs>
          <w:tab w:val="right" w:leader="dot" w:pos="9402"/>
        </w:tabs>
        <w:rPr>
          <w:rFonts w:asciiTheme="minorHAnsi" w:hAnsiTheme="minorHAnsi" w:cstheme="minorBidi"/>
          <w:noProof/>
          <w:kern w:val="2"/>
          <w14:ligatures w14:val="standardContextual"/>
        </w:rPr>
      </w:pPr>
      <w:r>
        <w:rPr>
          <w:b/>
          <w:bCs/>
          <w:color w:val="6895FF"/>
          <w:spacing w:val="20"/>
          <w:sz w:val="16"/>
          <w:szCs w:val="16"/>
        </w:rPr>
        <w:fldChar w:fldCharType="begin"/>
      </w:r>
      <w:r>
        <w:rPr>
          <w:b/>
          <w:bCs/>
          <w:color w:val="6895FF"/>
          <w:spacing w:val="20"/>
          <w:sz w:val="16"/>
          <w:szCs w:val="16"/>
        </w:rPr>
        <w:instrText xml:space="preserve"> TOC \o "1-2" </w:instrText>
      </w:r>
      <w:r>
        <w:rPr>
          <w:b/>
          <w:bCs/>
          <w:color w:val="6895FF"/>
          <w:spacing w:val="20"/>
          <w:sz w:val="16"/>
          <w:szCs w:val="16"/>
        </w:rPr>
        <w:fldChar w:fldCharType="separate"/>
      </w:r>
      <w:r>
        <w:rPr>
          <w:noProof/>
        </w:rPr>
        <w:t>Contents</w:t>
      </w:r>
      <w:r>
        <w:rPr>
          <w:noProof/>
        </w:rPr>
        <w:tab/>
      </w:r>
      <w:r>
        <w:rPr>
          <w:noProof/>
        </w:rPr>
        <w:fldChar w:fldCharType="begin"/>
      </w:r>
      <w:r>
        <w:rPr>
          <w:noProof/>
        </w:rPr>
        <w:instrText xml:space="preserve"> PAGEREF _Toc241436690 \h </w:instrText>
      </w:r>
      <w:r>
        <w:rPr>
          <w:noProof/>
        </w:rPr>
      </w:r>
      <w:r>
        <w:rPr>
          <w:noProof/>
        </w:rPr>
        <w:fldChar w:fldCharType="separate"/>
      </w:r>
      <w:r>
        <w:rPr>
          <w:noProof/>
        </w:rPr>
        <w:t>1</w:t>
      </w:r>
      <w:r>
        <w:rPr>
          <w:noProof/>
        </w:rPr>
        <w:fldChar w:fldCharType="end"/>
      </w:r>
    </w:p>
    <w:p w14:paraId="4B151504" w14:textId="4899B887" w:rsidR="004C30B2" w:rsidRDefault="004C30B2" w:rsidP="004C30B2">
      <w:pPr>
        <w:pStyle w:val="Verzeichnis1"/>
        <w:tabs>
          <w:tab w:val="right" w:leader="dot" w:pos="9402"/>
        </w:tabs>
        <w:rPr>
          <w:rFonts w:asciiTheme="minorHAnsi" w:hAnsiTheme="minorHAnsi" w:cstheme="minorBidi"/>
          <w:noProof/>
          <w:kern w:val="2"/>
          <w14:ligatures w14:val="standardContextual"/>
        </w:rPr>
      </w:pPr>
      <w:r w:rsidRPr="002F6B62">
        <w:rPr>
          <w:rFonts w:eastAsia="Times New Roman"/>
          <w:noProof/>
        </w:rPr>
        <w:t>Reselling of company registry documents and registry data</w:t>
      </w:r>
      <w:r>
        <w:rPr>
          <w:noProof/>
        </w:rPr>
        <w:tab/>
      </w:r>
      <w:r>
        <w:rPr>
          <w:noProof/>
        </w:rPr>
        <w:fldChar w:fldCharType="begin"/>
      </w:r>
      <w:r>
        <w:rPr>
          <w:noProof/>
        </w:rPr>
        <w:instrText xml:space="preserve"> PAGEREF _Toc241436691 \h </w:instrText>
      </w:r>
      <w:r>
        <w:rPr>
          <w:noProof/>
        </w:rPr>
      </w:r>
      <w:r>
        <w:rPr>
          <w:noProof/>
        </w:rPr>
        <w:fldChar w:fldCharType="separate"/>
      </w:r>
      <w:r>
        <w:rPr>
          <w:noProof/>
        </w:rPr>
        <w:t>2</w:t>
      </w:r>
      <w:r>
        <w:rPr>
          <w:noProof/>
        </w:rPr>
        <w:fldChar w:fldCharType="end"/>
      </w:r>
    </w:p>
    <w:p w14:paraId="02D41C50" w14:textId="26A2D588"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1 Definitions</w:t>
      </w:r>
      <w:r>
        <w:rPr>
          <w:noProof/>
        </w:rPr>
        <w:tab/>
      </w:r>
      <w:r>
        <w:rPr>
          <w:noProof/>
        </w:rPr>
        <w:fldChar w:fldCharType="begin"/>
      </w:r>
      <w:r>
        <w:rPr>
          <w:noProof/>
        </w:rPr>
        <w:instrText xml:space="preserve"> PAGEREF _Toc241436692 \h </w:instrText>
      </w:r>
      <w:r>
        <w:rPr>
          <w:noProof/>
        </w:rPr>
      </w:r>
      <w:r>
        <w:rPr>
          <w:noProof/>
        </w:rPr>
        <w:fldChar w:fldCharType="separate"/>
      </w:r>
      <w:r>
        <w:rPr>
          <w:noProof/>
        </w:rPr>
        <w:t>2</w:t>
      </w:r>
      <w:r>
        <w:rPr>
          <w:noProof/>
        </w:rPr>
        <w:fldChar w:fldCharType="end"/>
      </w:r>
    </w:p>
    <w:p w14:paraId="1E4EE515" w14:textId="5A364EE4"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2 Subject matter</w:t>
      </w:r>
      <w:r>
        <w:rPr>
          <w:noProof/>
        </w:rPr>
        <w:tab/>
      </w:r>
      <w:r>
        <w:rPr>
          <w:noProof/>
        </w:rPr>
        <w:fldChar w:fldCharType="begin"/>
      </w:r>
      <w:r>
        <w:rPr>
          <w:noProof/>
        </w:rPr>
        <w:instrText xml:space="preserve"> PAGEREF _Toc241436693 \h </w:instrText>
      </w:r>
      <w:r>
        <w:rPr>
          <w:noProof/>
        </w:rPr>
      </w:r>
      <w:r>
        <w:rPr>
          <w:noProof/>
        </w:rPr>
        <w:fldChar w:fldCharType="separate"/>
      </w:r>
      <w:r>
        <w:rPr>
          <w:noProof/>
        </w:rPr>
        <w:t>2</w:t>
      </w:r>
      <w:r>
        <w:rPr>
          <w:noProof/>
        </w:rPr>
        <w:fldChar w:fldCharType="end"/>
      </w:r>
    </w:p>
    <w:p w14:paraId="53B71D10" w14:textId="13262E24"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3 Grant of rights</w:t>
      </w:r>
      <w:r>
        <w:rPr>
          <w:noProof/>
        </w:rPr>
        <w:tab/>
      </w:r>
      <w:r>
        <w:rPr>
          <w:noProof/>
        </w:rPr>
        <w:fldChar w:fldCharType="begin"/>
      </w:r>
      <w:r>
        <w:rPr>
          <w:noProof/>
        </w:rPr>
        <w:instrText xml:space="preserve"> PAGEREF _Toc241436694 \h </w:instrText>
      </w:r>
      <w:r>
        <w:rPr>
          <w:noProof/>
        </w:rPr>
      </w:r>
      <w:r>
        <w:rPr>
          <w:noProof/>
        </w:rPr>
        <w:fldChar w:fldCharType="separate"/>
      </w:r>
      <w:r>
        <w:rPr>
          <w:noProof/>
        </w:rPr>
        <w:t>3</w:t>
      </w:r>
      <w:r>
        <w:rPr>
          <w:noProof/>
        </w:rPr>
        <w:fldChar w:fldCharType="end"/>
      </w:r>
    </w:p>
    <w:p w14:paraId="32E2D5C4" w14:textId="2E934876"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4 (deleted)</w:t>
      </w:r>
      <w:r>
        <w:rPr>
          <w:noProof/>
        </w:rPr>
        <w:tab/>
      </w:r>
      <w:r>
        <w:rPr>
          <w:noProof/>
        </w:rPr>
        <w:fldChar w:fldCharType="begin"/>
      </w:r>
      <w:r>
        <w:rPr>
          <w:noProof/>
        </w:rPr>
        <w:instrText xml:space="preserve"> PAGEREF _Toc241436695 \h </w:instrText>
      </w:r>
      <w:r>
        <w:rPr>
          <w:noProof/>
        </w:rPr>
      </w:r>
      <w:r>
        <w:rPr>
          <w:noProof/>
        </w:rPr>
        <w:fldChar w:fldCharType="separate"/>
      </w:r>
      <w:r>
        <w:rPr>
          <w:noProof/>
        </w:rPr>
        <w:t>3</w:t>
      </w:r>
      <w:r>
        <w:rPr>
          <w:noProof/>
        </w:rPr>
        <w:fldChar w:fldCharType="end"/>
      </w:r>
    </w:p>
    <w:p w14:paraId="432F89B5" w14:textId="01DC3135"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5 Restrictions</w:t>
      </w:r>
      <w:r>
        <w:rPr>
          <w:noProof/>
        </w:rPr>
        <w:tab/>
      </w:r>
      <w:r>
        <w:rPr>
          <w:noProof/>
        </w:rPr>
        <w:fldChar w:fldCharType="begin"/>
      </w:r>
      <w:r>
        <w:rPr>
          <w:noProof/>
        </w:rPr>
        <w:instrText xml:space="preserve"> PAGEREF _Toc241436696 \h </w:instrText>
      </w:r>
      <w:r>
        <w:rPr>
          <w:noProof/>
        </w:rPr>
      </w:r>
      <w:r>
        <w:rPr>
          <w:noProof/>
        </w:rPr>
        <w:fldChar w:fldCharType="separate"/>
      </w:r>
      <w:r>
        <w:rPr>
          <w:noProof/>
        </w:rPr>
        <w:t>3</w:t>
      </w:r>
      <w:r>
        <w:rPr>
          <w:noProof/>
        </w:rPr>
        <w:fldChar w:fldCharType="end"/>
      </w:r>
    </w:p>
    <w:p w14:paraId="11C2C5DD" w14:textId="1799DE67"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6 Procurement routes and non-circumvention</w:t>
      </w:r>
      <w:r>
        <w:rPr>
          <w:noProof/>
        </w:rPr>
        <w:tab/>
      </w:r>
      <w:r>
        <w:rPr>
          <w:noProof/>
        </w:rPr>
        <w:fldChar w:fldCharType="begin"/>
      </w:r>
      <w:r>
        <w:rPr>
          <w:noProof/>
        </w:rPr>
        <w:instrText xml:space="preserve"> PAGEREF _Toc241436697 \h </w:instrText>
      </w:r>
      <w:r>
        <w:rPr>
          <w:noProof/>
        </w:rPr>
      </w:r>
      <w:r>
        <w:rPr>
          <w:noProof/>
        </w:rPr>
        <w:fldChar w:fldCharType="separate"/>
      </w:r>
      <w:r>
        <w:rPr>
          <w:noProof/>
        </w:rPr>
        <w:t>4</w:t>
      </w:r>
      <w:r>
        <w:rPr>
          <w:noProof/>
        </w:rPr>
        <w:fldChar w:fldCharType="end"/>
      </w:r>
    </w:p>
    <w:p w14:paraId="782D7258" w14:textId="66A6EE27"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7 Ordering and performance</w:t>
      </w:r>
      <w:r>
        <w:rPr>
          <w:noProof/>
        </w:rPr>
        <w:tab/>
      </w:r>
      <w:r>
        <w:rPr>
          <w:noProof/>
        </w:rPr>
        <w:fldChar w:fldCharType="begin"/>
      </w:r>
      <w:r>
        <w:rPr>
          <w:noProof/>
        </w:rPr>
        <w:instrText xml:space="preserve"> PAGEREF _Toc241436698 \h </w:instrText>
      </w:r>
      <w:r>
        <w:rPr>
          <w:noProof/>
        </w:rPr>
      </w:r>
      <w:r>
        <w:rPr>
          <w:noProof/>
        </w:rPr>
        <w:fldChar w:fldCharType="separate"/>
      </w:r>
      <w:r>
        <w:rPr>
          <w:noProof/>
        </w:rPr>
        <w:t>4</w:t>
      </w:r>
      <w:r>
        <w:rPr>
          <w:noProof/>
        </w:rPr>
        <w:fldChar w:fldCharType="end"/>
      </w:r>
    </w:p>
    <w:p w14:paraId="0288899E" w14:textId="20D99D17"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8 Prices, invoicing, price changes</w:t>
      </w:r>
      <w:r>
        <w:rPr>
          <w:noProof/>
        </w:rPr>
        <w:tab/>
      </w:r>
      <w:r>
        <w:rPr>
          <w:noProof/>
        </w:rPr>
        <w:fldChar w:fldCharType="begin"/>
      </w:r>
      <w:r>
        <w:rPr>
          <w:noProof/>
        </w:rPr>
        <w:instrText xml:space="preserve"> PAGEREF _Toc241436699 \h </w:instrText>
      </w:r>
      <w:r>
        <w:rPr>
          <w:noProof/>
        </w:rPr>
      </w:r>
      <w:r>
        <w:rPr>
          <w:noProof/>
        </w:rPr>
        <w:fldChar w:fldCharType="separate"/>
      </w:r>
      <w:r>
        <w:rPr>
          <w:noProof/>
        </w:rPr>
        <w:t>5</w:t>
      </w:r>
      <w:r>
        <w:rPr>
          <w:noProof/>
        </w:rPr>
        <w:fldChar w:fldCharType="end"/>
      </w:r>
    </w:p>
    <w:p w14:paraId="4B141863" w14:textId="6DC3223C"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9 STP's obligations</w:t>
      </w:r>
      <w:r>
        <w:rPr>
          <w:noProof/>
        </w:rPr>
        <w:tab/>
      </w:r>
      <w:r>
        <w:rPr>
          <w:noProof/>
        </w:rPr>
        <w:fldChar w:fldCharType="begin"/>
      </w:r>
      <w:r>
        <w:rPr>
          <w:noProof/>
        </w:rPr>
        <w:instrText xml:space="preserve"> PAGEREF _Toc241436700 \h </w:instrText>
      </w:r>
      <w:r>
        <w:rPr>
          <w:noProof/>
        </w:rPr>
      </w:r>
      <w:r>
        <w:rPr>
          <w:noProof/>
        </w:rPr>
        <w:fldChar w:fldCharType="separate"/>
      </w:r>
      <w:r>
        <w:rPr>
          <w:noProof/>
        </w:rPr>
        <w:t>5</w:t>
      </w:r>
      <w:r>
        <w:rPr>
          <w:noProof/>
        </w:rPr>
        <w:fldChar w:fldCharType="end"/>
      </w:r>
    </w:p>
    <w:p w14:paraId="5CF86B54" w14:textId="52304832"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10 Data protection</w:t>
      </w:r>
      <w:r>
        <w:rPr>
          <w:noProof/>
        </w:rPr>
        <w:tab/>
      </w:r>
      <w:r>
        <w:rPr>
          <w:noProof/>
        </w:rPr>
        <w:fldChar w:fldCharType="begin"/>
      </w:r>
      <w:r>
        <w:rPr>
          <w:noProof/>
        </w:rPr>
        <w:instrText xml:space="preserve"> PAGEREF _Toc241436701 \h </w:instrText>
      </w:r>
      <w:r>
        <w:rPr>
          <w:noProof/>
        </w:rPr>
      </w:r>
      <w:r>
        <w:rPr>
          <w:noProof/>
        </w:rPr>
        <w:fldChar w:fldCharType="separate"/>
      </w:r>
      <w:r>
        <w:rPr>
          <w:noProof/>
        </w:rPr>
        <w:t>6</w:t>
      </w:r>
      <w:r>
        <w:rPr>
          <w:noProof/>
        </w:rPr>
        <w:fldChar w:fldCharType="end"/>
      </w:r>
    </w:p>
    <w:p w14:paraId="413A4C6F" w14:textId="5AE4FFCB"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11 Confidentiality</w:t>
      </w:r>
      <w:r>
        <w:rPr>
          <w:noProof/>
        </w:rPr>
        <w:tab/>
      </w:r>
      <w:r>
        <w:rPr>
          <w:noProof/>
        </w:rPr>
        <w:fldChar w:fldCharType="begin"/>
      </w:r>
      <w:r>
        <w:rPr>
          <w:noProof/>
        </w:rPr>
        <w:instrText xml:space="preserve"> PAGEREF _Toc241436702 \h </w:instrText>
      </w:r>
      <w:r>
        <w:rPr>
          <w:noProof/>
        </w:rPr>
      </w:r>
      <w:r>
        <w:rPr>
          <w:noProof/>
        </w:rPr>
        <w:fldChar w:fldCharType="separate"/>
      </w:r>
      <w:r>
        <w:rPr>
          <w:noProof/>
        </w:rPr>
        <w:t>7</w:t>
      </w:r>
      <w:r>
        <w:rPr>
          <w:noProof/>
        </w:rPr>
        <w:fldChar w:fldCharType="end"/>
      </w:r>
    </w:p>
    <w:p w14:paraId="74930CC5" w14:textId="17A6B775"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12 Warranty</w:t>
      </w:r>
      <w:r>
        <w:rPr>
          <w:noProof/>
        </w:rPr>
        <w:tab/>
      </w:r>
      <w:r>
        <w:rPr>
          <w:noProof/>
        </w:rPr>
        <w:fldChar w:fldCharType="begin"/>
      </w:r>
      <w:r>
        <w:rPr>
          <w:noProof/>
        </w:rPr>
        <w:instrText xml:space="preserve"> PAGEREF _Toc241436703 \h </w:instrText>
      </w:r>
      <w:r>
        <w:rPr>
          <w:noProof/>
        </w:rPr>
      </w:r>
      <w:r>
        <w:rPr>
          <w:noProof/>
        </w:rPr>
        <w:fldChar w:fldCharType="separate"/>
      </w:r>
      <w:r>
        <w:rPr>
          <w:noProof/>
        </w:rPr>
        <w:t>7</w:t>
      </w:r>
      <w:r>
        <w:rPr>
          <w:noProof/>
        </w:rPr>
        <w:fldChar w:fldCharType="end"/>
      </w:r>
    </w:p>
    <w:p w14:paraId="485DE896" w14:textId="22BF838C"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13 Liability</w:t>
      </w:r>
      <w:r>
        <w:rPr>
          <w:noProof/>
        </w:rPr>
        <w:tab/>
      </w:r>
      <w:r>
        <w:rPr>
          <w:noProof/>
        </w:rPr>
        <w:fldChar w:fldCharType="begin"/>
      </w:r>
      <w:r>
        <w:rPr>
          <w:noProof/>
        </w:rPr>
        <w:instrText xml:space="preserve"> PAGEREF _Toc241436704 \h </w:instrText>
      </w:r>
      <w:r>
        <w:rPr>
          <w:noProof/>
        </w:rPr>
      </w:r>
      <w:r>
        <w:rPr>
          <w:noProof/>
        </w:rPr>
        <w:fldChar w:fldCharType="separate"/>
      </w:r>
      <w:r>
        <w:rPr>
          <w:noProof/>
        </w:rPr>
        <w:t>7</w:t>
      </w:r>
      <w:r>
        <w:rPr>
          <w:noProof/>
        </w:rPr>
        <w:fldChar w:fldCharType="end"/>
      </w:r>
    </w:p>
    <w:p w14:paraId="55B0A89E" w14:textId="60BA34D7"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14 Term and termination</w:t>
      </w:r>
      <w:r>
        <w:rPr>
          <w:noProof/>
        </w:rPr>
        <w:tab/>
      </w:r>
      <w:r>
        <w:rPr>
          <w:noProof/>
        </w:rPr>
        <w:fldChar w:fldCharType="begin"/>
      </w:r>
      <w:r>
        <w:rPr>
          <w:noProof/>
        </w:rPr>
        <w:instrText xml:space="preserve"> PAGEREF _Toc241436705 \h </w:instrText>
      </w:r>
      <w:r>
        <w:rPr>
          <w:noProof/>
        </w:rPr>
      </w:r>
      <w:r>
        <w:rPr>
          <w:noProof/>
        </w:rPr>
        <w:fldChar w:fldCharType="separate"/>
      </w:r>
      <w:r>
        <w:rPr>
          <w:noProof/>
        </w:rPr>
        <w:t>7</w:t>
      </w:r>
      <w:r>
        <w:rPr>
          <w:noProof/>
        </w:rPr>
        <w:fldChar w:fldCharType="end"/>
      </w:r>
    </w:p>
    <w:p w14:paraId="7541A557" w14:textId="6653210B"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15 Final provisions</w:t>
      </w:r>
      <w:r>
        <w:rPr>
          <w:noProof/>
        </w:rPr>
        <w:tab/>
      </w:r>
      <w:r>
        <w:rPr>
          <w:noProof/>
        </w:rPr>
        <w:fldChar w:fldCharType="begin"/>
      </w:r>
      <w:r>
        <w:rPr>
          <w:noProof/>
        </w:rPr>
        <w:instrText xml:space="preserve"> PAGEREF _Toc241436706 \h </w:instrText>
      </w:r>
      <w:r>
        <w:rPr>
          <w:noProof/>
        </w:rPr>
      </w:r>
      <w:r>
        <w:rPr>
          <w:noProof/>
        </w:rPr>
        <w:fldChar w:fldCharType="separate"/>
      </w:r>
      <w:r>
        <w:rPr>
          <w:noProof/>
        </w:rPr>
        <w:t>8</w:t>
      </w:r>
      <w:r>
        <w:rPr>
          <w:noProof/>
        </w:rPr>
        <w:fldChar w:fldCharType="end"/>
      </w:r>
    </w:p>
    <w:p w14:paraId="7270E2AE" w14:textId="6EE3CD45"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Signatures</w:t>
      </w:r>
      <w:r>
        <w:rPr>
          <w:noProof/>
        </w:rPr>
        <w:tab/>
      </w:r>
      <w:r>
        <w:rPr>
          <w:noProof/>
        </w:rPr>
        <w:fldChar w:fldCharType="begin"/>
      </w:r>
      <w:r>
        <w:rPr>
          <w:noProof/>
        </w:rPr>
        <w:instrText xml:space="preserve"> PAGEREF _Toc241436707 \h </w:instrText>
      </w:r>
      <w:r>
        <w:rPr>
          <w:noProof/>
        </w:rPr>
      </w:r>
      <w:r>
        <w:rPr>
          <w:noProof/>
        </w:rPr>
        <w:fldChar w:fldCharType="separate"/>
      </w:r>
      <w:r>
        <w:rPr>
          <w:noProof/>
        </w:rPr>
        <w:t>9</w:t>
      </w:r>
      <w:r>
        <w:rPr>
          <w:noProof/>
        </w:rPr>
        <w:fldChar w:fldCharType="end"/>
      </w:r>
    </w:p>
    <w:p w14:paraId="6FB51296" w14:textId="198E9163" w:rsidR="004C30B2" w:rsidRDefault="004C30B2" w:rsidP="004C30B2">
      <w:pPr>
        <w:pStyle w:val="Verzeichnis1"/>
        <w:tabs>
          <w:tab w:val="right" w:leader="dot" w:pos="9402"/>
        </w:tabs>
        <w:rPr>
          <w:rFonts w:asciiTheme="minorHAnsi" w:hAnsiTheme="minorHAnsi" w:cstheme="minorBidi"/>
          <w:noProof/>
          <w:kern w:val="2"/>
          <w14:ligatures w14:val="standardContextual"/>
        </w:rPr>
      </w:pPr>
      <w:r w:rsidRPr="002F6B62">
        <w:rPr>
          <w:rFonts w:eastAsia="Times New Roman"/>
          <w:noProof/>
        </w:rPr>
        <w:t>Service description and reseller use</w:t>
      </w:r>
      <w:r>
        <w:rPr>
          <w:noProof/>
        </w:rPr>
        <w:tab/>
      </w:r>
      <w:r>
        <w:rPr>
          <w:noProof/>
        </w:rPr>
        <w:fldChar w:fldCharType="begin"/>
      </w:r>
      <w:r>
        <w:rPr>
          <w:noProof/>
        </w:rPr>
        <w:instrText xml:space="preserve"> PAGEREF _Toc241436708 \h </w:instrText>
      </w:r>
      <w:r>
        <w:rPr>
          <w:noProof/>
        </w:rPr>
      </w:r>
      <w:r>
        <w:rPr>
          <w:noProof/>
        </w:rPr>
        <w:fldChar w:fldCharType="separate"/>
      </w:r>
      <w:r>
        <w:rPr>
          <w:noProof/>
        </w:rPr>
        <w:t>10</w:t>
      </w:r>
      <w:r>
        <w:rPr>
          <w:noProof/>
        </w:rPr>
        <w:fldChar w:fldCharType="end"/>
      </w:r>
    </w:p>
    <w:p w14:paraId="1096FB8E" w14:textId="0EC71851"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1.1 What the service provides</w:t>
      </w:r>
      <w:r>
        <w:rPr>
          <w:noProof/>
        </w:rPr>
        <w:tab/>
      </w:r>
      <w:r>
        <w:rPr>
          <w:noProof/>
        </w:rPr>
        <w:fldChar w:fldCharType="begin"/>
      </w:r>
      <w:r>
        <w:rPr>
          <w:noProof/>
        </w:rPr>
        <w:instrText xml:space="preserve"> PAGEREF _Toc241436709 \h </w:instrText>
      </w:r>
      <w:r>
        <w:rPr>
          <w:noProof/>
        </w:rPr>
      </w:r>
      <w:r>
        <w:rPr>
          <w:noProof/>
        </w:rPr>
        <w:fldChar w:fldCharType="separate"/>
      </w:r>
      <w:r>
        <w:rPr>
          <w:noProof/>
        </w:rPr>
        <w:t>10</w:t>
      </w:r>
      <w:r>
        <w:rPr>
          <w:noProof/>
        </w:rPr>
        <w:fldChar w:fldCharType="end"/>
      </w:r>
    </w:p>
    <w:p w14:paraId="0B3D4231" w14:textId="227EA008"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1.2 Evidence level</w:t>
      </w:r>
      <w:r>
        <w:rPr>
          <w:noProof/>
        </w:rPr>
        <w:tab/>
      </w:r>
      <w:r>
        <w:rPr>
          <w:noProof/>
        </w:rPr>
        <w:fldChar w:fldCharType="begin"/>
      </w:r>
      <w:r>
        <w:rPr>
          <w:noProof/>
        </w:rPr>
        <w:instrText xml:space="preserve"> PAGEREF _Toc241436710 \h </w:instrText>
      </w:r>
      <w:r>
        <w:rPr>
          <w:noProof/>
        </w:rPr>
      </w:r>
      <w:r>
        <w:rPr>
          <w:noProof/>
        </w:rPr>
        <w:fldChar w:fldCharType="separate"/>
      </w:r>
      <w:r>
        <w:rPr>
          <w:noProof/>
        </w:rPr>
        <w:t>10</w:t>
      </w:r>
      <w:r>
        <w:rPr>
          <w:noProof/>
        </w:rPr>
        <w:fldChar w:fldCharType="end"/>
      </w:r>
    </w:p>
    <w:p w14:paraId="48210FD7" w14:textId="72F6F6D4"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1.3 Availability</w:t>
      </w:r>
      <w:r>
        <w:rPr>
          <w:noProof/>
        </w:rPr>
        <w:tab/>
      </w:r>
      <w:r>
        <w:rPr>
          <w:noProof/>
        </w:rPr>
        <w:fldChar w:fldCharType="begin"/>
      </w:r>
      <w:r>
        <w:rPr>
          <w:noProof/>
        </w:rPr>
        <w:instrText xml:space="preserve"> PAGEREF _Toc241436711 \h </w:instrText>
      </w:r>
      <w:r>
        <w:rPr>
          <w:noProof/>
        </w:rPr>
      </w:r>
      <w:r>
        <w:rPr>
          <w:noProof/>
        </w:rPr>
        <w:fldChar w:fldCharType="separate"/>
      </w:r>
      <w:r>
        <w:rPr>
          <w:noProof/>
        </w:rPr>
        <w:t>10</w:t>
      </w:r>
      <w:r>
        <w:rPr>
          <w:noProof/>
        </w:rPr>
        <w:fldChar w:fldCharType="end"/>
      </w:r>
    </w:p>
    <w:p w14:paraId="3769943B" w14:textId="3F5001C8"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1.4 How STP uses the service with its clients</w:t>
      </w:r>
      <w:r>
        <w:rPr>
          <w:noProof/>
        </w:rPr>
        <w:tab/>
      </w:r>
      <w:r>
        <w:rPr>
          <w:noProof/>
        </w:rPr>
        <w:fldChar w:fldCharType="begin"/>
      </w:r>
      <w:r>
        <w:rPr>
          <w:noProof/>
        </w:rPr>
        <w:instrText xml:space="preserve"> PAGEREF _Toc241436712 \h </w:instrText>
      </w:r>
      <w:r>
        <w:rPr>
          <w:noProof/>
        </w:rPr>
      </w:r>
      <w:r>
        <w:rPr>
          <w:noProof/>
        </w:rPr>
        <w:fldChar w:fldCharType="separate"/>
      </w:r>
      <w:r>
        <w:rPr>
          <w:noProof/>
        </w:rPr>
        <w:t>11</w:t>
      </w:r>
      <w:r>
        <w:rPr>
          <w:noProof/>
        </w:rPr>
        <w:fldChar w:fldCharType="end"/>
      </w:r>
    </w:p>
    <w:p w14:paraId="68686F34" w14:textId="5C75F524" w:rsidR="004C30B2" w:rsidRDefault="004C30B2" w:rsidP="004C30B2">
      <w:pPr>
        <w:pStyle w:val="Verzeichnis1"/>
        <w:tabs>
          <w:tab w:val="right" w:leader="dot" w:pos="9402"/>
        </w:tabs>
        <w:rPr>
          <w:rFonts w:asciiTheme="minorHAnsi" w:hAnsiTheme="minorHAnsi" w:cstheme="minorBidi"/>
          <w:noProof/>
          <w:kern w:val="2"/>
          <w14:ligatures w14:val="standardContextual"/>
        </w:rPr>
      </w:pPr>
      <w:r w:rsidRPr="002F6B62">
        <w:rPr>
          <w:rFonts w:eastAsia="Times New Roman"/>
          <w:noProof/>
        </w:rPr>
        <w:t>Jurisdictions, prices and end-client rights</w:t>
      </w:r>
      <w:r>
        <w:rPr>
          <w:noProof/>
        </w:rPr>
        <w:tab/>
      </w:r>
      <w:r>
        <w:rPr>
          <w:noProof/>
        </w:rPr>
        <w:fldChar w:fldCharType="begin"/>
      </w:r>
      <w:r>
        <w:rPr>
          <w:noProof/>
        </w:rPr>
        <w:instrText xml:space="preserve"> PAGEREF _Toc241436713 \h </w:instrText>
      </w:r>
      <w:r>
        <w:rPr>
          <w:noProof/>
        </w:rPr>
      </w:r>
      <w:r>
        <w:rPr>
          <w:noProof/>
        </w:rPr>
        <w:fldChar w:fldCharType="separate"/>
      </w:r>
      <w:r>
        <w:rPr>
          <w:noProof/>
        </w:rPr>
        <w:t>12</w:t>
      </w:r>
      <w:r>
        <w:rPr>
          <w:noProof/>
        </w:rPr>
        <w:fldChar w:fldCharType="end"/>
      </w:r>
    </w:p>
    <w:p w14:paraId="097EFA95" w14:textId="216B960F"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2.1 Price tiers</w:t>
      </w:r>
      <w:r>
        <w:rPr>
          <w:noProof/>
        </w:rPr>
        <w:tab/>
      </w:r>
      <w:r>
        <w:rPr>
          <w:noProof/>
        </w:rPr>
        <w:fldChar w:fldCharType="begin"/>
      </w:r>
      <w:r>
        <w:rPr>
          <w:noProof/>
        </w:rPr>
        <w:instrText xml:space="preserve"> PAGEREF _Toc241436714 \h </w:instrText>
      </w:r>
      <w:r>
        <w:rPr>
          <w:noProof/>
        </w:rPr>
      </w:r>
      <w:r>
        <w:rPr>
          <w:noProof/>
        </w:rPr>
        <w:fldChar w:fldCharType="separate"/>
      </w:r>
      <w:r>
        <w:rPr>
          <w:noProof/>
        </w:rPr>
        <w:t>12</w:t>
      </w:r>
      <w:r>
        <w:rPr>
          <w:noProof/>
        </w:rPr>
        <w:fldChar w:fldCharType="end"/>
      </w:r>
    </w:p>
    <w:p w14:paraId="675FCDB0" w14:textId="40EE55A9"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2.2 Covered jurisdictions</w:t>
      </w:r>
      <w:r>
        <w:rPr>
          <w:noProof/>
        </w:rPr>
        <w:tab/>
      </w:r>
      <w:r>
        <w:rPr>
          <w:noProof/>
        </w:rPr>
        <w:fldChar w:fldCharType="begin"/>
      </w:r>
      <w:r>
        <w:rPr>
          <w:noProof/>
        </w:rPr>
        <w:instrText xml:space="preserve"> PAGEREF _Toc241436715 \h </w:instrText>
      </w:r>
      <w:r>
        <w:rPr>
          <w:noProof/>
        </w:rPr>
      </w:r>
      <w:r>
        <w:rPr>
          <w:noProof/>
        </w:rPr>
        <w:fldChar w:fldCharType="separate"/>
      </w:r>
      <w:r>
        <w:rPr>
          <w:noProof/>
        </w:rPr>
        <w:t>12</w:t>
      </w:r>
      <w:r>
        <w:rPr>
          <w:noProof/>
        </w:rPr>
        <w:fldChar w:fldCharType="end"/>
      </w:r>
    </w:p>
    <w:p w14:paraId="6162D58B" w14:textId="7DAC23A8" w:rsidR="004C30B2" w:rsidRDefault="004C30B2" w:rsidP="004C30B2">
      <w:pPr>
        <w:pStyle w:val="Verzeichnis1"/>
        <w:tabs>
          <w:tab w:val="right" w:leader="dot" w:pos="9402"/>
        </w:tabs>
        <w:rPr>
          <w:rFonts w:asciiTheme="minorHAnsi" w:hAnsiTheme="minorHAnsi" w:cstheme="minorBidi"/>
          <w:noProof/>
          <w:kern w:val="2"/>
          <w14:ligatures w14:val="standardContextual"/>
        </w:rPr>
      </w:pPr>
      <w:r w:rsidRPr="002F6B62">
        <w:rPr>
          <w:rFonts w:eastAsia="Times New Roman"/>
          <w:noProof/>
        </w:rPr>
        <w:t>Surcharges, turnaround and end-client rights</w:t>
      </w:r>
      <w:r>
        <w:rPr>
          <w:noProof/>
        </w:rPr>
        <w:tab/>
      </w:r>
      <w:r>
        <w:rPr>
          <w:noProof/>
        </w:rPr>
        <w:fldChar w:fldCharType="begin"/>
      </w:r>
      <w:r>
        <w:rPr>
          <w:noProof/>
        </w:rPr>
        <w:instrText xml:space="preserve"> PAGEREF _Toc241436716 \h </w:instrText>
      </w:r>
      <w:r>
        <w:rPr>
          <w:noProof/>
        </w:rPr>
      </w:r>
      <w:r>
        <w:rPr>
          <w:noProof/>
        </w:rPr>
        <w:fldChar w:fldCharType="separate"/>
      </w:r>
      <w:r>
        <w:rPr>
          <w:noProof/>
        </w:rPr>
        <w:t>14</w:t>
      </w:r>
      <w:r>
        <w:rPr>
          <w:noProof/>
        </w:rPr>
        <w:fldChar w:fldCharType="end"/>
      </w:r>
    </w:p>
    <w:p w14:paraId="27A711F6" w14:textId="7EA9C5AF"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2.3 Surcharge for additional documents</w:t>
      </w:r>
      <w:r>
        <w:rPr>
          <w:noProof/>
        </w:rPr>
        <w:tab/>
      </w:r>
      <w:r>
        <w:rPr>
          <w:noProof/>
        </w:rPr>
        <w:fldChar w:fldCharType="begin"/>
      </w:r>
      <w:r>
        <w:rPr>
          <w:noProof/>
        </w:rPr>
        <w:instrText xml:space="preserve"> PAGEREF _Toc241436717 \h </w:instrText>
      </w:r>
      <w:r>
        <w:rPr>
          <w:noProof/>
        </w:rPr>
      </w:r>
      <w:r>
        <w:rPr>
          <w:noProof/>
        </w:rPr>
        <w:fldChar w:fldCharType="separate"/>
      </w:r>
      <w:r>
        <w:rPr>
          <w:noProof/>
        </w:rPr>
        <w:t>14</w:t>
      </w:r>
      <w:r>
        <w:rPr>
          <w:noProof/>
        </w:rPr>
        <w:fldChar w:fldCharType="end"/>
      </w:r>
    </w:p>
    <w:p w14:paraId="4F68C363" w14:textId="0CE84549"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2.4 Turnaround</w:t>
      </w:r>
      <w:r>
        <w:rPr>
          <w:noProof/>
        </w:rPr>
        <w:tab/>
      </w:r>
      <w:r>
        <w:rPr>
          <w:noProof/>
        </w:rPr>
        <w:fldChar w:fldCharType="begin"/>
      </w:r>
      <w:r>
        <w:rPr>
          <w:noProof/>
        </w:rPr>
        <w:instrText xml:space="preserve"> PAGEREF _Toc241436718 \h </w:instrText>
      </w:r>
      <w:r>
        <w:rPr>
          <w:noProof/>
        </w:rPr>
      </w:r>
      <w:r>
        <w:rPr>
          <w:noProof/>
        </w:rPr>
        <w:fldChar w:fldCharType="separate"/>
      </w:r>
      <w:r>
        <w:rPr>
          <w:noProof/>
        </w:rPr>
        <w:t>14</w:t>
      </w:r>
      <w:r>
        <w:rPr>
          <w:noProof/>
        </w:rPr>
        <w:fldChar w:fldCharType="end"/>
      </w:r>
    </w:p>
    <w:p w14:paraId="011C8F93" w14:textId="0EABFC68"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2.5 End-client rights</w:t>
      </w:r>
      <w:r>
        <w:rPr>
          <w:noProof/>
        </w:rPr>
        <w:tab/>
      </w:r>
      <w:r>
        <w:rPr>
          <w:noProof/>
        </w:rPr>
        <w:fldChar w:fldCharType="begin"/>
      </w:r>
      <w:r>
        <w:rPr>
          <w:noProof/>
        </w:rPr>
        <w:instrText xml:space="preserve"> PAGEREF _Toc241436719 \h </w:instrText>
      </w:r>
      <w:r>
        <w:rPr>
          <w:noProof/>
        </w:rPr>
      </w:r>
      <w:r>
        <w:rPr>
          <w:noProof/>
        </w:rPr>
        <w:fldChar w:fldCharType="separate"/>
      </w:r>
      <w:r>
        <w:rPr>
          <w:noProof/>
        </w:rPr>
        <w:t>14</w:t>
      </w:r>
      <w:r>
        <w:rPr>
          <w:noProof/>
        </w:rPr>
        <w:fldChar w:fldCharType="end"/>
      </w:r>
    </w:p>
    <w:p w14:paraId="3FBCAF61" w14:textId="27FD8586" w:rsidR="004C30B2" w:rsidRDefault="004C30B2" w:rsidP="004C30B2">
      <w:pPr>
        <w:pStyle w:val="Verzeichnis1"/>
        <w:tabs>
          <w:tab w:val="right" w:leader="dot" w:pos="9402"/>
        </w:tabs>
        <w:rPr>
          <w:rFonts w:asciiTheme="minorHAnsi" w:hAnsiTheme="minorHAnsi" w:cstheme="minorBidi"/>
          <w:noProof/>
          <w:kern w:val="2"/>
          <w14:ligatures w14:val="standardContextual"/>
        </w:rPr>
      </w:pPr>
      <w:r w:rsidRPr="002F6B62">
        <w:rPr>
          <w:rFonts w:eastAsia="Times New Roman"/>
          <w:noProof/>
        </w:rPr>
        <w:t>Data protection between independent controllers</w:t>
      </w:r>
      <w:r>
        <w:rPr>
          <w:noProof/>
        </w:rPr>
        <w:tab/>
      </w:r>
      <w:r>
        <w:rPr>
          <w:noProof/>
        </w:rPr>
        <w:fldChar w:fldCharType="begin"/>
      </w:r>
      <w:r>
        <w:rPr>
          <w:noProof/>
        </w:rPr>
        <w:instrText xml:space="preserve"> PAGEREF _Toc241436720 \h </w:instrText>
      </w:r>
      <w:r>
        <w:rPr>
          <w:noProof/>
        </w:rPr>
      </w:r>
      <w:r>
        <w:rPr>
          <w:noProof/>
        </w:rPr>
        <w:fldChar w:fldCharType="separate"/>
      </w:r>
      <w:r>
        <w:rPr>
          <w:noProof/>
        </w:rPr>
        <w:t>15</w:t>
      </w:r>
      <w:r>
        <w:rPr>
          <w:noProof/>
        </w:rPr>
        <w:fldChar w:fldCharType="end"/>
      </w:r>
    </w:p>
    <w:p w14:paraId="44A0DFD3" w14:textId="21E3CE72"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3.1 Roles</w:t>
      </w:r>
      <w:r>
        <w:rPr>
          <w:noProof/>
        </w:rPr>
        <w:tab/>
      </w:r>
      <w:r>
        <w:rPr>
          <w:noProof/>
        </w:rPr>
        <w:fldChar w:fldCharType="begin"/>
      </w:r>
      <w:r>
        <w:rPr>
          <w:noProof/>
        </w:rPr>
        <w:instrText xml:space="preserve"> PAGEREF _Toc241436721 \h </w:instrText>
      </w:r>
      <w:r>
        <w:rPr>
          <w:noProof/>
        </w:rPr>
      </w:r>
      <w:r>
        <w:rPr>
          <w:noProof/>
        </w:rPr>
        <w:fldChar w:fldCharType="separate"/>
      </w:r>
      <w:r>
        <w:rPr>
          <w:noProof/>
        </w:rPr>
        <w:t>15</w:t>
      </w:r>
      <w:r>
        <w:rPr>
          <w:noProof/>
        </w:rPr>
        <w:fldChar w:fldCharType="end"/>
      </w:r>
    </w:p>
    <w:p w14:paraId="6AB780CF" w14:textId="5E1C1D11"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3.2 What is processed</w:t>
      </w:r>
      <w:r>
        <w:rPr>
          <w:noProof/>
        </w:rPr>
        <w:tab/>
      </w:r>
      <w:r>
        <w:rPr>
          <w:noProof/>
        </w:rPr>
        <w:fldChar w:fldCharType="begin"/>
      </w:r>
      <w:r>
        <w:rPr>
          <w:noProof/>
        </w:rPr>
        <w:instrText xml:space="preserve"> PAGEREF _Toc241436722 \h </w:instrText>
      </w:r>
      <w:r>
        <w:rPr>
          <w:noProof/>
        </w:rPr>
      </w:r>
      <w:r>
        <w:rPr>
          <w:noProof/>
        </w:rPr>
        <w:fldChar w:fldCharType="separate"/>
      </w:r>
      <w:r>
        <w:rPr>
          <w:noProof/>
        </w:rPr>
        <w:t>15</w:t>
      </w:r>
      <w:r>
        <w:rPr>
          <w:noProof/>
        </w:rPr>
        <w:fldChar w:fldCharType="end"/>
      </w:r>
    </w:p>
    <w:p w14:paraId="1CD57944" w14:textId="04029E93"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3.3 Purposes and legal basis</w:t>
      </w:r>
      <w:r>
        <w:rPr>
          <w:noProof/>
        </w:rPr>
        <w:tab/>
      </w:r>
      <w:r>
        <w:rPr>
          <w:noProof/>
        </w:rPr>
        <w:fldChar w:fldCharType="begin"/>
      </w:r>
      <w:r>
        <w:rPr>
          <w:noProof/>
        </w:rPr>
        <w:instrText xml:space="preserve"> PAGEREF _Toc241436723 \h </w:instrText>
      </w:r>
      <w:r>
        <w:rPr>
          <w:noProof/>
        </w:rPr>
      </w:r>
      <w:r>
        <w:rPr>
          <w:noProof/>
        </w:rPr>
        <w:fldChar w:fldCharType="separate"/>
      </w:r>
      <w:r>
        <w:rPr>
          <w:noProof/>
        </w:rPr>
        <w:t>15</w:t>
      </w:r>
      <w:r>
        <w:rPr>
          <w:noProof/>
        </w:rPr>
        <w:fldChar w:fldCharType="end"/>
      </w:r>
    </w:p>
    <w:p w14:paraId="4499E70A" w14:textId="13DA37E6"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3.4 Technical and organisational measures</w:t>
      </w:r>
      <w:r>
        <w:rPr>
          <w:noProof/>
        </w:rPr>
        <w:tab/>
      </w:r>
      <w:r>
        <w:rPr>
          <w:noProof/>
        </w:rPr>
        <w:fldChar w:fldCharType="begin"/>
      </w:r>
      <w:r>
        <w:rPr>
          <w:noProof/>
        </w:rPr>
        <w:instrText xml:space="preserve"> PAGEREF _Toc241436724 \h </w:instrText>
      </w:r>
      <w:r>
        <w:rPr>
          <w:noProof/>
        </w:rPr>
      </w:r>
      <w:r>
        <w:rPr>
          <w:noProof/>
        </w:rPr>
        <w:fldChar w:fldCharType="separate"/>
      </w:r>
      <w:r>
        <w:rPr>
          <w:noProof/>
        </w:rPr>
        <w:t>15</w:t>
      </w:r>
      <w:r>
        <w:rPr>
          <w:noProof/>
        </w:rPr>
        <w:fldChar w:fldCharType="end"/>
      </w:r>
    </w:p>
    <w:p w14:paraId="5F415375" w14:textId="35A55107"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3.5 Transfers to third countries</w:t>
      </w:r>
      <w:r>
        <w:rPr>
          <w:noProof/>
        </w:rPr>
        <w:tab/>
      </w:r>
      <w:r>
        <w:rPr>
          <w:noProof/>
        </w:rPr>
        <w:fldChar w:fldCharType="begin"/>
      </w:r>
      <w:r>
        <w:rPr>
          <w:noProof/>
        </w:rPr>
        <w:instrText xml:space="preserve"> PAGEREF _Toc241436725 \h </w:instrText>
      </w:r>
      <w:r>
        <w:rPr>
          <w:noProof/>
        </w:rPr>
      </w:r>
      <w:r>
        <w:rPr>
          <w:noProof/>
        </w:rPr>
        <w:fldChar w:fldCharType="separate"/>
      </w:r>
      <w:r>
        <w:rPr>
          <w:noProof/>
        </w:rPr>
        <w:t>16</w:t>
      </w:r>
      <w:r>
        <w:rPr>
          <w:noProof/>
        </w:rPr>
        <w:fldChar w:fldCharType="end"/>
      </w:r>
    </w:p>
    <w:p w14:paraId="682B8DC3" w14:textId="182AFC31" w:rsidR="004C30B2" w:rsidRDefault="004C30B2" w:rsidP="004C30B2">
      <w:pPr>
        <w:pStyle w:val="Verzeichnis2"/>
        <w:tabs>
          <w:tab w:val="right" w:leader="dot" w:pos="9402"/>
        </w:tabs>
        <w:rPr>
          <w:rFonts w:asciiTheme="minorHAnsi" w:hAnsiTheme="minorHAnsi" w:cstheme="minorBidi"/>
          <w:noProof/>
          <w:kern w:val="2"/>
          <w14:ligatures w14:val="standardContextual"/>
        </w:rPr>
      </w:pPr>
      <w:r w:rsidRPr="002F6B62">
        <w:rPr>
          <w:rFonts w:eastAsia="Times New Roman"/>
          <w:noProof/>
        </w:rPr>
        <w:t>3.6 Cooperation</w:t>
      </w:r>
      <w:r>
        <w:rPr>
          <w:noProof/>
        </w:rPr>
        <w:tab/>
      </w:r>
      <w:r>
        <w:rPr>
          <w:noProof/>
        </w:rPr>
        <w:fldChar w:fldCharType="begin"/>
      </w:r>
      <w:r>
        <w:rPr>
          <w:noProof/>
        </w:rPr>
        <w:instrText xml:space="preserve"> PAGEREF _Toc241436726 \h </w:instrText>
      </w:r>
      <w:r>
        <w:rPr>
          <w:noProof/>
        </w:rPr>
      </w:r>
      <w:r>
        <w:rPr>
          <w:noProof/>
        </w:rPr>
        <w:fldChar w:fldCharType="separate"/>
      </w:r>
      <w:r>
        <w:rPr>
          <w:noProof/>
        </w:rPr>
        <w:t>16</w:t>
      </w:r>
      <w:r>
        <w:rPr>
          <w:noProof/>
        </w:rPr>
        <w:fldChar w:fldCharType="end"/>
      </w:r>
    </w:p>
    <w:p w14:paraId="27DB2D4A" w14:textId="77777777" w:rsidR="004C30B2" w:rsidRDefault="004C30B2" w:rsidP="004C30B2">
      <w:pPr>
        <w:pStyle w:val="berschrift1"/>
        <w:rPr>
          <w:b w:val="0"/>
          <w:bCs w:val="0"/>
          <w:color w:val="6895FF"/>
          <w:spacing w:val="20"/>
          <w:kern w:val="0"/>
          <w:sz w:val="16"/>
          <w:szCs w:val="16"/>
        </w:rPr>
      </w:pPr>
      <w:r>
        <w:rPr>
          <w:b w:val="0"/>
          <w:bCs w:val="0"/>
          <w:color w:val="6895FF"/>
          <w:spacing w:val="20"/>
          <w:kern w:val="0"/>
          <w:sz w:val="16"/>
          <w:szCs w:val="16"/>
        </w:rPr>
        <w:fldChar w:fldCharType="end"/>
      </w:r>
      <w:bookmarkStart w:id="1" w:name="_Toc241436691"/>
    </w:p>
    <w:bookmarkEnd w:id="1"/>
    <w:p w14:paraId="2D76DF24" w14:textId="77777777" w:rsidR="004C30B2" w:rsidRDefault="004C30B2">
      <w:pPr>
        <w:rPr>
          <w:rFonts w:ascii="Calibri" w:eastAsia="Times New Roman" w:hAnsi="Calibri" w:cs="Calibri"/>
          <w:b/>
          <w:bCs/>
          <w:color w:val="1A2340"/>
          <w:kern w:val="36"/>
          <w:sz w:val="38"/>
          <w:szCs w:val="38"/>
        </w:rPr>
      </w:pPr>
      <w:r>
        <w:rPr>
          <w:rFonts w:ascii="Calibri" w:eastAsia="Times New Roman" w:hAnsi="Calibri" w:cs="Calibri"/>
          <w:b/>
          <w:bCs/>
          <w:color w:val="1A2340"/>
          <w:kern w:val="36"/>
          <w:sz w:val="38"/>
          <w:szCs w:val="38"/>
        </w:rPr>
        <w:br w:type="page"/>
      </w:r>
    </w:p>
    <w:p w14:paraId="5E66AB69" w14:textId="1E6540E2" w:rsidR="00223A6C" w:rsidRDefault="00223A6C">
      <w:pPr>
        <w:pStyle w:val="meta"/>
        <w:rPr>
          <w:rFonts w:ascii="Calibri" w:hAnsi="Calibri" w:cs="Calibri"/>
        </w:rPr>
      </w:pPr>
      <w:r>
        <w:rPr>
          <w:rFonts w:ascii="Calibri" w:hAnsi="Calibri" w:cs="Calibri"/>
        </w:rPr>
        <w:t>Reseller:</w:t>
      </w:r>
    </w:p>
    <w:p w14:paraId="23CACBC4" w14:textId="77777777" w:rsidR="00223A6C" w:rsidRDefault="00223A6C">
      <w:pPr>
        <w:pStyle w:val="meta"/>
        <w:rPr>
          <w:rFonts w:ascii="Calibri" w:hAnsi="Calibri" w:cs="Calibri"/>
        </w:rPr>
      </w:pPr>
      <w:r>
        <w:rPr>
          <w:rFonts w:ascii="Calibri" w:hAnsi="Calibri" w:cs="Calibri"/>
        </w:rPr>
        <w:t>STP Business Information GmbH</w:t>
      </w:r>
    </w:p>
    <w:p w14:paraId="35F7D1E8" w14:textId="77777777" w:rsidR="00223A6C" w:rsidRDefault="00223A6C">
      <w:pPr>
        <w:pStyle w:val="meta"/>
        <w:rPr>
          <w:rFonts w:ascii="Calibri" w:hAnsi="Calibri" w:cs="Calibri"/>
        </w:rPr>
      </w:pPr>
      <w:r>
        <w:rPr>
          <w:rFonts w:ascii="Calibri" w:hAnsi="Calibri" w:cs="Calibri"/>
        </w:rPr>
        <w:t>Brauerstraße 12, 76135 Karlsruhe</w:t>
      </w:r>
    </w:p>
    <w:p w14:paraId="7F3C717E" w14:textId="77777777" w:rsidR="00223A6C" w:rsidRDefault="00223A6C">
      <w:pPr>
        <w:pStyle w:val="meta"/>
        <w:rPr>
          <w:rFonts w:ascii="Calibri" w:hAnsi="Calibri" w:cs="Calibri"/>
        </w:rPr>
      </w:pPr>
      <w:r>
        <w:rPr>
          <w:rFonts w:ascii="Calibri" w:hAnsi="Calibri" w:cs="Calibri"/>
        </w:rPr>
        <w:t>AG Mannheim · HRB 110915 · VAT ID DE227238030</w:t>
      </w:r>
    </w:p>
    <w:p w14:paraId="4CDAE22A" w14:textId="77777777" w:rsidR="00223A6C" w:rsidRDefault="00223A6C">
      <w:pPr>
        <w:pStyle w:val="meta"/>
        <w:rPr>
          <w:rFonts w:ascii="Calibri" w:hAnsi="Calibri" w:cs="Calibri"/>
        </w:rPr>
      </w:pPr>
      <w:r>
        <w:rPr>
          <w:rFonts w:ascii="Calibri" w:hAnsi="Calibri" w:cs="Calibri"/>
        </w:rPr>
        <w:t>Managing Directors: Fabian Padilla Crisol, Laurent Rueff, Martin Ripke</w:t>
      </w:r>
    </w:p>
    <w:p w14:paraId="0423349C" w14:textId="77777777" w:rsidR="00223A6C" w:rsidRDefault="00223A6C">
      <w:pPr>
        <w:pStyle w:val="meta"/>
        <w:rPr>
          <w:rFonts w:ascii="Calibri" w:hAnsi="Calibri" w:cs="Calibri"/>
        </w:rPr>
      </w:pPr>
      <w:r>
        <w:rPr>
          <w:rFonts w:ascii="Calibri" w:hAnsi="Calibri" w:cs="Calibri"/>
        </w:rPr>
        <w:t>Supplier:</w:t>
      </w:r>
    </w:p>
    <w:p w14:paraId="55A605DC" w14:textId="77777777" w:rsidR="00223A6C" w:rsidRDefault="00223A6C">
      <w:pPr>
        <w:pStyle w:val="meta"/>
        <w:rPr>
          <w:rFonts w:ascii="Calibri" w:hAnsi="Calibri" w:cs="Calibri"/>
        </w:rPr>
      </w:pPr>
      <w:r>
        <w:rPr>
          <w:rFonts w:ascii="Calibri" w:hAnsi="Calibri" w:cs="Calibri"/>
        </w:rPr>
        <w:t>Founders1 GmbH</w:t>
      </w:r>
    </w:p>
    <w:p w14:paraId="5D3BA3CF" w14:textId="77777777" w:rsidR="00223A6C" w:rsidRDefault="00223A6C">
      <w:pPr>
        <w:pStyle w:val="meta"/>
        <w:rPr>
          <w:rFonts w:ascii="Calibri" w:hAnsi="Calibri" w:cs="Calibri"/>
        </w:rPr>
      </w:pPr>
      <w:r>
        <w:rPr>
          <w:rFonts w:ascii="Calibri" w:hAnsi="Calibri" w:cs="Calibri"/>
        </w:rPr>
        <w:t>Berger Str. 224, 60385 Frankfurt</w:t>
      </w:r>
    </w:p>
    <w:p w14:paraId="540822B3" w14:textId="77777777" w:rsidR="00223A6C" w:rsidRDefault="00223A6C">
      <w:pPr>
        <w:pStyle w:val="meta"/>
        <w:rPr>
          <w:rFonts w:ascii="Calibri" w:hAnsi="Calibri" w:cs="Calibri"/>
        </w:rPr>
      </w:pPr>
      <w:r>
        <w:rPr>
          <w:rFonts w:ascii="Calibri" w:hAnsi="Calibri" w:cs="Calibri"/>
        </w:rPr>
        <w:t>AG Charlottenburg (Berlin) · HRB 234373 B · VAT ID DE347408472</w:t>
      </w:r>
    </w:p>
    <w:p w14:paraId="57281973" w14:textId="77777777" w:rsidR="00223A6C" w:rsidRDefault="00223A6C">
      <w:pPr>
        <w:pStyle w:val="meta"/>
        <w:rPr>
          <w:rFonts w:ascii="Calibri" w:hAnsi="Calibri" w:cs="Calibri"/>
        </w:rPr>
      </w:pPr>
      <w:r>
        <w:rPr>
          <w:rFonts w:ascii="Calibri" w:hAnsi="Calibri" w:cs="Calibri"/>
        </w:rPr>
        <w:t>Managing Director: Eckhard Ortwein</w:t>
      </w:r>
    </w:p>
    <w:p w14:paraId="38652440" w14:textId="77777777" w:rsidR="00223A6C" w:rsidRDefault="00223A6C">
      <w:pPr>
        <w:pStyle w:val="meta"/>
        <w:rPr>
          <w:rFonts w:ascii="Calibri" w:hAnsi="Calibri" w:cs="Calibri"/>
        </w:rPr>
      </w:pPr>
      <w:r>
        <w:rPr>
          <w:rFonts w:ascii="Calibri" w:hAnsi="Calibri" w:cs="Calibri"/>
        </w:rPr>
        <w:t>hereinafter</w:t>
      </w:r>
    </w:p>
    <w:p w14:paraId="1B2C6C11" w14:textId="77777777" w:rsidR="00223A6C" w:rsidRDefault="00223A6C">
      <w:pPr>
        <w:pStyle w:val="meta"/>
        <w:rPr>
          <w:rFonts w:ascii="Calibri" w:hAnsi="Calibri" w:cs="Calibri"/>
        </w:rPr>
      </w:pPr>
      <w:r>
        <w:rPr>
          <w:rFonts w:ascii="Calibri" w:hAnsi="Calibri" w:cs="Calibri"/>
        </w:rPr>
        <w:t>STP</w:t>
      </w:r>
    </w:p>
    <w:p w14:paraId="123A803A" w14:textId="77777777" w:rsidR="00223A6C" w:rsidRDefault="00223A6C">
      <w:pPr>
        <w:pStyle w:val="meta"/>
        <w:rPr>
          <w:rFonts w:ascii="Calibri" w:hAnsi="Calibri" w:cs="Calibri"/>
        </w:rPr>
      </w:pPr>
      <w:r>
        <w:rPr>
          <w:rFonts w:ascii="Calibri" w:hAnsi="Calibri" w:cs="Calibri"/>
        </w:rPr>
        <w:t>hereinafter</w:t>
      </w:r>
    </w:p>
    <w:p w14:paraId="6955DF73" w14:textId="77777777" w:rsidR="00223A6C" w:rsidRDefault="00223A6C">
      <w:pPr>
        <w:pStyle w:val="meta"/>
        <w:rPr>
          <w:rFonts w:ascii="Calibri" w:hAnsi="Calibri" w:cs="Calibri"/>
        </w:rPr>
      </w:pPr>
      <w:r>
        <w:rPr>
          <w:rFonts w:ascii="Calibri" w:hAnsi="Calibri" w:cs="Calibri"/>
        </w:rPr>
        <w:t>Founders1</w:t>
      </w:r>
    </w:p>
    <w:p w14:paraId="1E6A2954" w14:textId="77777777" w:rsidR="00223A6C" w:rsidRDefault="00223A6C">
      <w:pPr>
        <w:pStyle w:val="meta"/>
        <w:rPr>
          <w:rFonts w:ascii="Calibri" w:hAnsi="Calibri" w:cs="Calibri"/>
        </w:rPr>
      </w:pPr>
      <w:r>
        <w:rPr>
          <w:rFonts w:ascii="Calibri" w:hAnsi="Calibri" w:cs="Calibri"/>
        </w:rPr>
        <w:t>Draft 2 · 24 September 2026</w:t>
      </w:r>
    </w:p>
    <w:p w14:paraId="69C03A3A"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Founders1 GmbH</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(“Founders1”) operates </w:t>
      </w:r>
      <w:r>
        <w:rPr>
          <w:rStyle w:val="Fett"/>
          <w:rFonts w:ascii="Calibri" w:eastAsia="Times New Roman" w:hAnsi="Calibri" w:cs="Calibri"/>
          <w:color w:val="222233"/>
          <w:sz w:val="21"/>
          <w:szCs w:val="21"/>
        </w:rPr>
        <w:t>BetterCo</w:t>
      </w:r>
      <w:r>
        <w:rPr>
          <w:rFonts w:ascii="Calibri" w:eastAsia="Times New Roman" w:hAnsi="Calibri" w:cs="Calibri"/>
          <w:color w:val="222233"/>
          <w:sz w:val="21"/>
          <w:szCs w:val="21"/>
        </w:rPr>
        <w:t xml:space="preserve">, the platform through which it procures company registry documents and structured registry data from official registers and other procurement routes, holds them, and delivers them with provenance. Throughout this Agreement, </w:t>
      </w:r>
      <w:r>
        <w:rPr>
          <w:rStyle w:val="Hervorhebung"/>
          <w:rFonts w:ascii="Calibri" w:eastAsia="Times New Roman" w:hAnsi="Calibri" w:cs="Calibri"/>
          <w:color w:val="222233"/>
          <w:sz w:val="21"/>
          <w:szCs w:val="21"/>
        </w:rPr>
        <w:t>Founders1</w:t>
      </w:r>
      <w:r>
        <w:rPr>
          <w:rFonts w:ascii="Calibri" w:eastAsia="Times New Roman" w:hAnsi="Calibri" w:cs="Calibri"/>
          <w:color w:val="222233"/>
          <w:sz w:val="21"/>
          <w:szCs w:val="21"/>
        </w:rPr>
        <w:t xml:space="preserve"> is the contracting party and </w:t>
      </w:r>
      <w:r>
        <w:rPr>
          <w:rStyle w:val="Hervorhebung"/>
          <w:rFonts w:ascii="Calibri" w:eastAsia="Times New Roman" w:hAnsi="Calibri" w:cs="Calibri"/>
          <w:color w:val="222233"/>
          <w:sz w:val="21"/>
          <w:szCs w:val="21"/>
        </w:rPr>
        <w:t>BetterCo</w:t>
      </w:r>
      <w:r>
        <w:rPr>
          <w:rFonts w:ascii="Calibri" w:eastAsia="Times New Roman" w:hAnsi="Calibri" w:cs="Calibri"/>
          <w:color w:val="222233"/>
          <w:sz w:val="21"/>
          <w:szCs w:val="21"/>
        </w:rPr>
        <w:t xml:space="preserve"> is the service STP connects to. STP supplies software and information services to legal, notarial and tax practices and wishes to </w:t>
      </w:r>
      <w:r>
        <w:rPr>
          <w:rFonts w:ascii="Calibri" w:eastAsia="Times New Roman" w:hAnsi="Calibri" w:cs="Calibri"/>
          <w:color w:val="222233"/>
          <w:sz w:val="21"/>
          <w:szCs w:val="21"/>
        </w:rPr>
        <w:t xml:space="preserve">offer that service to its clients in its own name. Annex 1 describes the service; this Agreement sets the terms on which STP resells it. </w:t>
      </w:r>
    </w:p>
    <w:p w14:paraId="0E86C48D" w14:textId="77777777" w:rsidR="00223A6C" w:rsidRDefault="00223A6C">
      <w:pPr>
        <w:pStyle w:val="berschrift2"/>
        <w:rPr>
          <w:rFonts w:eastAsia="Times New Roman"/>
        </w:rPr>
      </w:pPr>
      <w:bookmarkStart w:id="2" w:name="_Toc241436692"/>
      <w:r>
        <w:rPr>
          <w:rFonts w:eastAsia="Times New Roman"/>
        </w:rPr>
        <w:t>1 Definitions</w:t>
      </w:r>
      <w:bookmarkEnd w:id="2"/>
    </w:p>
    <w:p w14:paraId="632F03E7"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1.1</w:t>
      </w:r>
      <w:r>
        <w:rPr>
          <w:rFonts w:ascii="Calibri" w:hAnsi="Calibri" w:cs="Calibri"/>
          <w:b/>
          <w:bCs/>
          <w:color w:val="222233"/>
          <w:sz w:val="21"/>
          <w:szCs w:val="21"/>
        </w:rPr>
        <w:t> </w:t>
      </w:r>
    </w:p>
    <w:p w14:paraId="1DB594FA"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Affiliate</w:t>
      </w:r>
      <w:r>
        <w:rPr>
          <w:rFonts w:ascii="Calibri" w:eastAsia="Times New Roman" w:hAnsi="Calibri" w:cs="Calibri"/>
          <w:color w:val="222233"/>
          <w:sz w:val="21"/>
          <w:szCs w:val="21"/>
        </w:rPr>
        <w:t xml:space="preserve"> — an undertaking affiliated with a party within the meaning of §§ 15 ff. AktG.</w:t>
      </w:r>
    </w:p>
    <w:p w14:paraId="5A210F6A"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1.2</w:t>
      </w:r>
      <w:r>
        <w:rPr>
          <w:rFonts w:ascii="Calibri" w:hAnsi="Calibri" w:cs="Calibri"/>
          <w:b/>
          <w:bCs/>
          <w:color w:val="222233"/>
          <w:sz w:val="21"/>
          <w:szCs w:val="21"/>
        </w:rPr>
        <w:t> </w:t>
      </w:r>
    </w:p>
    <w:p w14:paraId="4159321F"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Case</w:t>
      </w:r>
      <w:r>
        <w:rPr>
          <w:rFonts w:ascii="Calibri" w:eastAsia="Times New Roman" w:hAnsi="Calibri" w:cs="Calibri"/>
          <w:color w:val="222233"/>
          <w:sz w:val="21"/>
          <w:szCs w:val="21"/>
        </w:rPr>
        <w:t xml:space="preserve"> — one order for one company in one jurisdiction, as defined in Annex 1.</w:t>
      </w:r>
    </w:p>
    <w:p w14:paraId="15E49639"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1.3</w:t>
      </w:r>
      <w:r>
        <w:rPr>
          <w:rFonts w:ascii="Calibri" w:hAnsi="Calibri" w:cs="Calibri"/>
          <w:b/>
          <w:bCs/>
          <w:color w:val="222233"/>
          <w:sz w:val="21"/>
          <w:szCs w:val="21"/>
        </w:rPr>
        <w:t> </w:t>
      </w:r>
    </w:p>
    <w:p w14:paraId="7D63BCB4"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Documents</w:t>
      </w:r>
      <w:r>
        <w:rPr>
          <w:rFonts w:ascii="Calibri" w:eastAsia="Times New Roman" w:hAnsi="Calibri" w:cs="Calibri"/>
          <w:color w:val="222233"/>
          <w:sz w:val="21"/>
          <w:szCs w:val="21"/>
        </w:rPr>
        <w:t xml:space="preserve"> — the registry documents and structured registry data delivered under a Case, together with their provenance metadata.</w:t>
      </w:r>
    </w:p>
    <w:p w14:paraId="764B47D6"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1.4</w:t>
      </w:r>
      <w:r>
        <w:rPr>
          <w:rFonts w:ascii="Calibri" w:hAnsi="Calibri" w:cs="Calibri"/>
          <w:b/>
          <w:bCs/>
          <w:color w:val="222233"/>
          <w:sz w:val="21"/>
          <w:szCs w:val="21"/>
        </w:rPr>
        <w:t> </w:t>
      </w:r>
    </w:p>
    <w:p w14:paraId="410FE616"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End Client</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a client of STP to whom the service is resold.</w:t>
      </w:r>
    </w:p>
    <w:p w14:paraId="19FAB1E3"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w:t>
      </w:r>
      <w:r>
        <w:rPr>
          <w:rFonts w:ascii="Calibri" w:hAnsi="Calibri" w:cs="Calibri"/>
          <w:b/>
          <w:bCs/>
          <w:color w:val="222233"/>
          <w:sz w:val="21"/>
          <w:szCs w:val="21"/>
        </w:rPr>
        <w:t> </w:t>
      </w:r>
    </w:p>
    <w:p w14:paraId="4187076A"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Platform</w:t>
      </w:r>
      <w:r>
        <w:rPr>
          <w:rFonts w:ascii="Calibri" w:eastAsia="Times New Roman" w:hAnsi="Calibri" w:cs="Calibri"/>
          <w:color w:val="222233"/>
          <w:sz w:val="21"/>
          <w:szCs w:val="21"/>
        </w:rPr>
        <w:t xml:space="preserve"> — the BetterCo platform, its API, and the coverage and routing data behind it.</w:t>
      </w:r>
    </w:p>
    <w:p w14:paraId="74343EF4" w14:textId="77777777" w:rsidR="00223A6C" w:rsidRDefault="00223A6C">
      <w:pPr>
        <w:pStyle w:val="berschrift2"/>
        <w:rPr>
          <w:rFonts w:eastAsia="Times New Roman"/>
        </w:rPr>
      </w:pPr>
      <w:bookmarkStart w:id="3" w:name="_Toc241436693"/>
      <w:r>
        <w:rPr>
          <w:rFonts w:eastAsia="Times New Roman"/>
        </w:rPr>
        <w:t>2 Subject matter</w:t>
      </w:r>
      <w:bookmarkEnd w:id="3"/>
    </w:p>
    <w:p w14:paraId="1360017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2.1</w:t>
      </w:r>
      <w:r>
        <w:rPr>
          <w:rFonts w:ascii="Calibri" w:hAnsi="Calibri" w:cs="Calibri"/>
          <w:b/>
          <w:bCs/>
          <w:color w:val="222233"/>
          <w:sz w:val="21"/>
          <w:szCs w:val="21"/>
        </w:rPr>
        <w:t> </w:t>
      </w:r>
    </w:p>
    <w:p w14:paraId="6525F325"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provides the service described in Annex 1. STP resells it in its own name and for its own account.</w:t>
      </w:r>
    </w:p>
    <w:p w14:paraId="7BEDD15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2.2</w:t>
      </w:r>
      <w:r>
        <w:rPr>
          <w:rFonts w:ascii="Calibri" w:hAnsi="Calibri" w:cs="Calibri"/>
          <w:b/>
          <w:bCs/>
          <w:color w:val="222233"/>
          <w:sz w:val="21"/>
          <w:szCs w:val="21"/>
        </w:rPr>
        <w:t> </w:t>
      </w:r>
    </w:p>
    <w:p w14:paraId="6D85F7CF"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The Annexes form part of this Agreement. In case of conflict, this Agreement prevails over the Annexes, and Annex 1 prevails over the remaining Annexes.</w:t>
      </w:r>
    </w:p>
    <w:p w14:paraId="4780B95C"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2.3</w:t>
      </w:r>
      <w:r>
        <w:rPr>
          <w:rFonts w:ascii="Calibri" w:hAnsi="Calibri" w:cs="Calibri"/>
          <w:b/>
          <w:bCs/>
          <w:color w:val="222233"/>
          <w:sz w:val="21"/>
          <w:szCs w:val="21"/>
        </w:rPr>
        <w:t> </w:t>
      </w:r>
    </w:p>
    <w:p w14:paraId="3053CD53"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STP's general terms and conditions of purchase do not apply, including where STP refers to them in an order or acceptance.</w:t>
      </w:r>
    </w:p>
    <w:p w14:paraId="19F8A6E5" w14:textId="77777777" w:rsidR="00223A6C" w:rsidRDefault="00223A6C">
      <w:pPr>
        <w:pStyle w:val="berschrift2"/>
        <w:rPr>
          <w:rFonts w:eastAsia="Times New Roman"/>
        </w:rPr>
      </w:pPr>
      <w:bookmarkStart w:id="4" w:name="_Toc241436694"/>
      <w:r>
        <w:rPr>
          <w:rFonts w:eastAsia="Times New Roman"/>
        </w:rPr>
        <w:lastRenderedPageBreak/>
        <w:t>3 Grant of rights</w:t>
      </w:r>
      <w:bookmarkEnd w:id="4"/>
    </w:p>
    <w:p w14:paraId="73276C71"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3.1</w:t>
      </w:r>
      <w:r>
        <w:rPr>
          <w:rFonts w:ascii="Calibri" w:hAnsi="Calibri" w:cs="Calibri"/>
          <w:b/>
          <w:bCs/>
          <w:color w:val="222233"/>
          <w:sz w:val="21"/>
          <w:szCs w:val="21"/>
        </w:rPr>
        <w:t> </w:t>
      </w:r>
    </w:p>
    <w:p w14:paraId="4A780F4E"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Resale right.</w:t>
      </w:r>
      <w:r>
        <w:rPr>
          <w:rFonts w:ascii="Calibri" w:eastAsia="Times New Roman" w:hAnsi="Calibri" w:cs="Calibri"/>
          <w:color w:val="222233"/>
          <w:sz w:val="21"/>
          <w:szCs w:val="21"/>
        </w:rPr>
        <w:t xml:space="preserve"> Founders1 grants STP the </w:t>
      </w:r>
      <w:r>
        <w:rPr>
          <w:rStyle w:val="Fett"/>
          <w:rFonts w:ascii="Calibri" w:eastAsia="Times New Roman" w:hAnsi="Calibri" w:cs="Calibri"/>
          <w:color w:val="222233"/>
          <w:sz w:val="21"/>
          <w:szCs w:val="21"/>
        </w:rPr>
        <w:t>non-exclusive</w:t>
      </w:r>
      <w:r>
        <w:rPr>
          <w:rFonts w:ascii="Calibri" w:eastAsia="Times New Roman" w:hAnsi="Calibri" w:cs="Calibri"/>
          <w:color w:val="222233"/>
          <w:sz w:val="21"/>
          <w:szCs w:val="21"/>
        </w:rPr>
        <w:t xml:space="preserve">, non-transferable right, for the term of this Agreement, to market, sell, invoice and deliver the service to End Clients </w:t>
      </w:r>
      <w:r>
        <w:rPr>
          <w:rStyle w:val="Fett"/>
          <w:rFonts w:ascii="Calibri" w:eastAsia="Times New Roman" w:hAnsi="Calibri" w:cs="Calibri"/>
          <w:color w:val="222233"/>
          <w:sz w:val="21"/>
          <w:szCs w:val="21"/>
        </w:rPr>
        <w:t>in its own name and for its own account</w:t>
      </w:r>
      <w:r>
        <w:rPr>
          <w:rFonts w:ascii="Calibri" w:eastAsia="Times New Roman" w:hAnsi="Calibri" w:cs="Calibri"/>
          <w:color w:val="222233"/>
          <w:sz w:val="21"/>
          <w:szCs w:val="21"/>
        </w:rPr>
        <w:t>.</w:t>
      </w:r>
    </w:p>
    <w:p w14:paraId="7AEFFEAC"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3.2</w:t>
      </w:r>
      <w:r>
        <w:rPr>
          <w:rFonts w:ascii="Calibri" w:hAnsi="Calibri" w:cs="Calibri"/>
          <w:b/>
          <w:bCs/>
          <w:color w:val="222233"/>
          <w:sz w:val="21"/>
          <w:szCs w:val="21"/>
        </w:rPr>
        <w:t> </w:t>
      </w:r>
    </w:p>
    <w:p w14:paraId="6409F66E"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API licence.</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Founders1 grants STP the non-exclusive right to access and use the API for the purpose of clause 3.1. This is not a licence to the Platform, to the coverage and routing data, or to the jurisdiction and document-kind classification.</w:t>
      </w:r>
    </w:p>
    <w:p w14:paraId="6D3FD42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3.3</w:t>
      </w:r>
      <w:r>
        <w:rPr>
          <w:rFonts w:ascii="Calibri" w:hAnsi="Calibri" w:cs="Calibri"/>
          <w:b/>
          <w:bCs/>
          <w:color w:val="222233"/>
          <w:sz w:val="21"/>
          <w:szCs w:val="21"/>
        </w:rPr>
        <w:t> </w:t>
      </w:r>
    </w:p>
    <w:p w14:paraId="44BB5947"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Own brand.</w:t>
      </w:r>
      <w:r>
        <w:rPr>
          <w:rFonts w:ascii="Calibri" w:eastAsia="Times New Roman" w:hAnsi="Calibri" w:cs="Calibri"/>
          <w:color w:val="222233"/>
          <w:sz w:val="21"/>
          <w:szCs w:val="21"/>
        </w:rPr>
        <w:t xml:space="preserve"> STP presents the service under its own name and brand. This Agreement grants no licence to any mark of Founders1, and no authority to act for Founders1 or to make representations about the service beyond Annex 1.</w:t>
      </w:r>
    </w:p>
    <w:p w14:paraId="625CC2BF"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3.4</w:t>
      </w:r>
      <w:r>
        <w:rPr>
          <w:rFonts w:ascii="Calibri" w:hAnsi="Calibri" w:cs="Calibri"/>
          <w:b/>
          <w:bCs/>
          <w:color w:val="222233"/>
          <w:sz w:val="21"/>
          <w:szCs w:val="21"/>
        </w:rPr>
        <w:t> </w:t>
      </w:r>
    </w:p>
    <w:p w14:paraId="1BA7FDF1"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Field of use.</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The rights under clause 3.1 apply to the provision of company-information, onboarding, KYC/AML and client-file services to professional End Clients. Professional End Clients include legal, notarial and tax practices, and </w:t>
      </w:r>
      <w:r>
        <w:rPr>
          <w:rStyle w:val="Fett"/>
          <w:rFonts w:ascii="Calibri" w:eastAsia="Times New Roman" w:hAnsi="Calibri" w:cs="Calibri"/>
          <w:color w:val="222233"/>
          <w:sz w:val="21"/>
          <w:szCs w:val="21"/>
        </w:rPr>
        <w:t>regulated institutions such as banks, payment and financial services institutions, insurers and funds</w:t>
      </w:r>
      <w:r>
        <w:rPr>
          <w:rFonts w:ascii="Calibri" w:eastAsia="Times New Roman" w:hAnsi="Calibri" w:cs="Calibri"/>
          <w:color w:val="222233"/>
          <w:sz w:val="21"/>
          <w:szCs w:val="21"/>
        </w:rPr>
        <w:t>, in each case using the service to discharge their own obligations in respect of their own customers, counterparties and suppliers. The rights do not extend to resale to data vendors, data brokers, or providers of competing registry-aggregation services, nor to an End Client providing the service or the Documents onward as a service to its own customers (clause 3.5).</w:t>
      </w:r>
    </w:p>
    <w:p w14:paraId="16C5D740"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3.5</w:t>
      </w:r>
      <w:r>
        <w:rPr>
          <w:rFonts w:ascii="Calibri" w:hAnsi="Calibri" w:cs="Calibri"/>
          <w:b/>
          <w:bCs/>
          <w:color w:val="222233"/>
          <w:sz w:val="21"/>
          <w:szCs w:val="21"/>
        </w:rPr>
        <w:t> </w:t>
      </w:r>
    </w:p>
    <w:p w14:paraId="3EDF7DC7"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End Client rights.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STP may grant each End Client a non-exclusive right to use the Documents delivered for that End Client for its own purposes, in particular for KYC/AML, onboarding, advisory and record-keeping purposes. </w:t>
      </w:r>
      <w:r>
        <w:rPr>
          <w:rStyle w:val="Fett"/>
          <w:rFonts w:ascii="Calibri" w:eastAsia="Times New Roman" w:hAnsi="Calibri" w:cs="Calibri"/>
          <w:color w:val="222233"/>
          <w:sz w:val="21"/>
          <w:szCs w:val="21"/>
        </w:rPr>
        <w:t>The End Client may keep those Documents without time limit</w:t>
      </w:r>
      <w:r>
        <w:rPr>
          <w:rFonts w:ascii="Calibri" w:eastAsia="Times New Roman" w:hAnsi="Calibri" w:cs="Calibri"/>
          <w:color w:val="222233"/>
          <w:sz w:val="21"/>
          <w:szCs w:val="21"/>
        </w:rPr>
        <w:t>, including after this Agreement ends. STP determines the terms of its relationship with its End Clients itself. Where a register imposes a restriction on the use of its content, Founders1 states it with the Document.</w:t>
      </w:r>
    </w:p>
    <w:p w14:paraId="1EE918B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3.6</w:t>
      </w:r>
      <w:r>
        <w:rPr>
          <w:rFonts w:ascii="Calibri" w:hAnsi="Calibri" w:cs="Calibri"/>
          <w:b/>
          <w:bCs/>
          <w:color w:val="222233"/>
          <w:sz w:val="21"/>
          <w:szCs w:val="21"/>
        </w:rPr>
        <w:t> </w:t>
      </w:r>
    </w:p>
    <w:p w14:paraId="6F6684D0"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Non-exclusivity.</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Founders1 remains free to provide the service directly and through other resellers, in any market, including to clients of the kind STP serves.</w:t>
      </w:r>
    </w:p>
    <w:p w14:paraId="4B021952"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3.7</w:t>
      </w:r>
      <w:r>
        <w:rPr>
          <w:rFonts w:ascii="Calibri" w:hAnsi="Calibri" w:cs="Calibri"/>
          <w:b/>
          <w:bCs/>
          <w:color w:val="222233"/>
          <w:sz w:val="21"/>
          <w:szCs w:val="21"/>
        </w:rPr>
        <w:t> </w:t>
      </w:r>
    </w:p>
    <w:p w14:paraId="2A923F13"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STP only.</w:t>
      </w:r>
      <w:r>
        <w:rPr>
          <w:rFonts w:ascii="Calibri" w:eastAsia="Times New Roman" w:hAnsi="Calibri" w:cs="Calibri"/>
          <w:color w:val="222233"/>
          <w:sz w:val="21"/>
          <w:szCs w:val="21"/>
        </w:rPr>
        <w:t xml:space="preserve"> The rights under this clause 3 are granted to STP alone. Extending them to an Affiliate of STP requires a written amendment to this Agreement.</w:t>
      </w:r>
    </w:p>
    <w:p w14:paraId="478A7F0A" w14:textId="77777777" w:rsidR="00223A6C" w:rsidRDefault="00223A6C">
      <w:pPr>
        <w:pStyle w:val="berschrift2"/>
        <w:rPr>
          <w:rFonts w:eastAsia="Times New Roman"/>
        </w:rPr>
      </w:pPr>
      <w:bookmarkStart w:id="5" w:name="_Toc241436695"/>
      <w:r>
        <w:rPr>
          <w:rFonts w:eastAsia="Times New Roman"/>
        </w:rPr>
        <w:t>4 (deleted)</w:t>
      </w:r>
      <w:bookmarkEnd w:id="5"/>
    </w:p>
    <w:p w14:paraId="273872E2"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This clause has been deleted. The numbering of the following clauses is unchanged.</w:t>
      </w:r>
    </w:p>
    <w:p w14:paraId="3B9C102F" w14:textId="77777777" w:rsidR="00223A6C" w:rsidRDefault="00223A6C">
      <w:pPr>
        <w:pStyle w:val="berschrift2"/>
        <w:rPr>
          <w:rFonts w:eastAsia="Times New Roman"/>
        </w:rPr>
      </w:pPr>
      <w:bookmarkStart w:id="6" w:name="_Toc241436696"/>
      <w:r>
        <w:rPr>
          <w:rFonts w:eastAsia="Times New Roman"/>
        </w:rPr>
        <w:t>5 Restrictions</w:t>
      </w:r>
      <w:bookmarkEnd w:id="6"/>
    </w:p>
    <w:p w14:paraId="6D25AADF"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5.1</w:t>
      </w:r>
      <w:r>
        <w:rPr>
          <w:rFonts w:ascii="Calibri" w:hAnsi="Calibri" w:cs="Calibri"/>
          <w:b/>
          <w:bCs/>
          <w:color w:val="222233"/>
          <w:sz w:val="21"/>
          <w:szCs w:val="21"/>
        </w:rPr>
        <w:t> </w:t>
      </w:r>
    </w:p>
    <w:p w14:paraId="59191802"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Documents are delivered for the file of the individual End Client. STP will not redistribute them beyond that file, will not resell or license the structured data as a dataset, and will not perform bulk extraction. Transmission to the End Client through the systems of STP's or the End Client's IT service providers is delivery, not redistribution.</w:t>
      </w:r>
    </w:p>
    <w:p w14:paraId="32BAED41"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5.2</w:t>
      </w:r>
      <w:r>
        <w:rPr>
          <w:rFonts w:ascii="Calibri" w:hAnsi="Calibri" w:cs="Calibri"/>
          <w:b/>
          <w:bCs/>
          <w:color w:val="222233"/>
          <w:sz w:val="21"/>
          <w:szCs w:val="21"/>
        </w:rPr>
        <w:t> </w:t>
      </w:r>
    </w:p>
    <w:p w14:paraId="482C9900"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STP will not use the Documents, the coverage classification, or the availability information </w:t>
      </w:r>
      <w:r>
        <w:rPr>
          <w:rStyle w:val="Fett"/>
          <w:rFonts w:ascii="Calibri" w:hAnsi="Calibri" w:cs="Calibri"/>
          <w:color w:val="222233"/>
          <w:sz w:val="21"/>
          <w:szCs w:val="21"/>
        </w:rPr>
        <w:t>actually obtained from Founders1</w:t>
      </w:r>
      <w:r>
        <w:rPr>
          <w:rFonts w:ascii="Calibri" w:hAnsi="Calibri" w:cs="Calibri"/>
          <w:color w:val="222233"/>
          <w:sz w:val="21"/>
          <w:szCs w:val="21"/>
        </w:rPr>
        <w:t xml:space="preserve"> </w:t>
      </w:r>
      <w:r>
        <w:rPr>
          <w:rFonts w:ascii="Calibri" w:hAnsi="Calibri" w:cs="Calibri"/>
          <w:color w:val="222233"/>
          <w:sz w:val="21"/>
          <w:szCs w:val="21"/>
        </w:rPr>
        <w:t xml:space="preserve">to build, train, operate or supply a competing registry-aggregation, coverage or document-procurement product, whether itself or for a third party. This obligation binds STP during the term and for </w:t>
      </w:r>
      <w:r>
        <w:rPr>
          <w:rStyle w:val="Fett"/>
          <w:rFonts w:ascii="Calibri" w:hAnsi="Calibri" w:cs="Calibri"/>
          <w:color w:val="222233"/>
          <w:sz w:val="21"/>
          <w:szCs w:val="21"/>
        </w:rPr>
        <w:t>24 months</w:t>
      </w:r>
      <w:r>
        <w:rPr>
          <w:rFonts w:ascii="Calibri" w:hAnsi="Calibri" w:cs="Calibri"/>
          <w:color w:val="222233"/>
          <w:sz w:val="21"/>
          <w:szCs w:val="21"/>
        </w:rPr>
        <w:t xml:space="preserve"> thereafter.</w:t>
      </w:r>
    </w:p>
    <w:p w14:paraId="71F66C4A"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5.2a</w:t>
      </w:r>
      <w:r>
        <w:rPr>
          <w:rFonts w:ascii="Calibri" w:hAnsi="Calibri" w:cs="Calibri"/>
          <w:b/>
          <w:bCs/>
          <w:color w:val="222233"/>
          <w:sz w:val="21"/>
          <w:szCs w:val="21"/>
        </w:rPr>
        <w:t> </w:t>
      </w:r>
    </w:p>
    <w:p w14:paraId="15A5442D"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Clause 5.2 does not restrict the use of information that is public, independently developed, or lawfully obtained from another source, nor the unaided use of </w:t>
      </w:r>
      <w:r>
        <w:rPr>
          <w:rStyle w:val="Fett"/>
          <w:rFonts w:ascii="Calibri" w:hAnsi="Calibri" w:cs="Calibri"/>
          <w:color w:val="222233"/>
          <w:sz w:val="21"/>
          <w:szCs w:val="21"/>
        </w:rPr>
        <w:t>general knowledge, skills and experience</w:t>
      </w:r>
      <w:r>
        <w:rPr>
          <w:rFonts w:ascii="Calibri" w:hAnsi="Calibri" w:cs="Calibri"/>
          <w:color w:val="222233"/>
          <w:sz w:val="21"/>
          <w:szCs w:val="21"/>
        </w:rPr>
        <w:t xml:space="preserve"> </w:t>
      </w:r>
      <w:r>
        <w:rPr>
          <w:rFonts w:ascii="Calibri" w:hAnsi="Calibri" w:cs="Calibri"/>
          <w:color w:val="222233"/>
          <w:sz w:val="21"/>
          <w:szCs w:val="21"/>
        </w:rPr>
        <w:t xml:space="preserve">retained in the memory of individuals who have had access to it. It does not restrict STP's own connections to registers, </w:t>
      </w:r>
      <w:r>
        <w:rPr>
          <w:rStyle w:val="Fett"/>
          <w:rFonts w:ascii="Calibri" w:hAnsi="Calibri" w:cs="Calibri"/>
          <w:color w:val="222233"/>
          <w:sz w:val="21"/>
          <w:szCs w:val="21"/>
        </w:rPr>
        <w:t>including those for Germany, Austria and France</w:t>
      </w:r>
      <w:r>
        <w:rPr>
          <w:rFonts w:ascii="Calibri" w:hAnsi="Calibri" w:cs="Calibri"/>
          <w:color w:val="222233"/>
          <w:sz w:val="21"/>
          <w:szCs w:val="21"/>
        </w:rPr>
        <w:t>.</w:t>
      </w:r>
    </w:p>
    <w:p w14:paraId="00353E67"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5.3</w:t>
      </w:r>
      <w:r>
        <w:rPr>
          <w:rFonts w:ascii="Calibri" w:hAnsi="Calibri" w:cs="Calibri"/>
          <w:b/>
          <w:bCs/>
          <w:color w:val="222233"/>
          <w:sz w:val="21"/>
          <w:szCs w:val="21"/>
        </w:rPr>
        <w:t> </w:t>
      </w:r>
    </w:p>
    <w:p w14:paraId="15A7B6E9"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Caching.</w:t>
      </w:r>
      <w:r>
        <w:rPr>
          <w:rFonts w:ascii="Calibri" w:eastAsia="Times New Roman" w:hAnsi="Calibri" w:cs="Calibri"/>
          <w:color w:val="222233"/>
          <w:sz w:val="21"/>
          <w:szCs w:val="21"/>
        </w:rPr>
        <w:t xml:space="preserve"> STP may keep a Document in order to serve repeated requests of </w:t>
      </w:r>
      <w:r>
        <w:rPr>
          <w:rStyle w:val="Fett"/>
          <w:rFonts w:ascii="Calibri" w:eastAsia="Times New Roman" w:hAnsi="Calibri" w:cs="Calibri"/>
          <w:color w:val="222233"/>
          <w:sz w:val="21"/>
          <w:szCs w:val="21"/>
        </w:rPr>
        <w:t>the same End Client</w:t>
      </w:r>
      <w:r>
        <w:rPr>
          <w:rFonts w:ascii="Calibri" w:eastAsia="Times New Roman" w:hAnsi="Calibri" w:cs="Calibri"/>
          <w:color w:val="222233"/>
          <w:sz w:val="21"/>
          <w:szCs w:val="21"/>
        </w:rPr>
        <w:t xml:space="preserve"> for the same company and document kind </w:t>
      </w:r>
      <w:r>
        <w:rPr>
          <w:rStyle w:val="Fett"/>
          <w:rFonts w:ascii="Calibri" w:eastAsia="Times New Roman" w:hAnsi="Calibri" w:cs="Calibri"/>
          <w:color w:val="222233"/>
          <w:sz w:val="21"/>
          <w:szCs w:val="21"/>
        </w:rPr>
        <w:t>within 48 hours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of its delivery. A request after that period is a new Case. STP may also keep Documents as a record of its own delivery, for billing and for evidence. Retention in the End Client's file under clause 3.5 is unaffected.</w:t>
      </w:r>
    </w:p>
    <w:p w14:paraId="5E20B2A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5.3a</w:t>
      </w:r>
      <w:r>
        <w:rPr>
          <w:rFonts w:ascii="Calibri" w:hAnsi="Calibri" w:cs="Calibri"/>
          <w:b/>
          <w:bCs/>
          <w:color w:val="222233"/>
          <w:sz w:val="21"/>
          <w:szCs w:val="21"/>
        </w:rPr>
        <w:t> </w:t>
      </w:r>
    </w:p>
    <w:p w14:paraId="2773A199"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Use for other End Clients.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Supplying a Document procured for one End Client to another End Client is not covered by this Agreement. At the end of the pilot term the parties will discuss whether, and on what terms, such use can be added, subject to the rights Founders1 holds in the underlying content.</w:t>
      </w:r>
    </w:p>
    <w:p w14:paraId="1A0B3537"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5.4</w:t>
      </w:r>
      <w:r>
        <w:rPr>
          <w:rFonts w:ascii="Calibri" w:hAnsi="Calibri" w:cs="Calibri"/>
          <w:b/>
          <w:bCs/>
          <w:color w:val="222233"/>
          <w:sz w:val="21"/>
          <w:szCs w:val="21"/>
        </w:rPr>
        <w:t> </w:t>
      </w:r>
    </w:p>
    <w:p w14:paraId="3B052F29"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grants rights under clause 3 onward only to End Clients, under clause 3.5.</w:t>
      </w:r>
    </w:p>
    <w:p w14:paraId="50EF09D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5.5</w:t>
      </w:r>
      <w:r>
        <w:rPr>
          <w:rFonts w:ascii="Calibri" w:hAnsi="Calibri" w:cs="Calibri"/>
          <w:b/>
          <w:bCs/>
          <w:color w:val="222233"/>
          <w:sz w:val="21"/>
          <w:szCs w:val="21"/>
        </w:rPr>
        <w:t> </w:t>
      </w:r>
    </w:p>
    <w:p w14:paraId="7D5A588B"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Reverse engineering of the Platform or API is permitted only within the limits of mandatory law (§ 69e UrhG).</w:t>
      </w:r>
    </w:p>
    <w:p w14:paraId="0E03D6F8" w14:textId="77777777" w:rsidR="00223A6C" w:rsidRDefault="00223A6C">
      <w:pPr>
        <w:pStyle w:val="berschrift2"/>
        <w:rPr>
          <w:rFonts w:eastAsia="Times New Roman"/>
        </w:rPr>
      </w:pPr>
      <w:bookmarkStart w:id="7" w:name="_Toc241436697"/>
      <w:r>
        <w:rPr>
          <w:rFonts w:eastAsia="Times New Roman"/>
        </w:rPr>
        <w:t>6 Procurement routes and non-circumvention</w:t>
      </w:r>
      <w:bookmarkEnd w:id="7"/>
    </w:p>
    <w:p w14:paraId="445A8EF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6.1</w:t>
      </w:r>
      <w:r>
        <w:rPr>
          <w:rFonts w:ascii="Calibri" w:hAnsi="Calibri" w:cs="Calibri"/>
          <w:b/>
          <w:bCs/>
          <w:color w:val="222233"/>
          <w:sz w:val="21"/>
          <w:szCs w:val="21"/>
        </w:rPr>
        <w:t> </w:t>
      </w:r>
    </w:p>
    <w:p w14:paraId="612C1770"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The identity of the </w:t>
      </w:r>
      <w:r>
        <w:rPr>
          <w:rStyle w:val="Fett"/>
          <w:rFonts w:ascii="Calibri" w:hAnsi="Calibri" w:cs="Calibri"/>
          <w:color w:val="222233"/>
          <w:sz w:val="21"/>
          <w:szCs w:val="21"/>
        </w:rPr>
        <w:t>suppliers and procurement routes</w:t>
      </w:r>
      <w:r>
        <w:rPr>
          <w:rFonts w:ascii="Calibri" w:hAnsi="Calibri" w:cs="Calibri"/>
          <w:color w:val="222233"/>
          <w:sz w:val="21"/>
          <w:szCs w:val="21"/>
        </w:rPr>
        <w:t xml:space="preserve"> through which Founders1 procures, and the routing of jurisdictions between them, is confidential business information of Founders1. </w:t>
      </w:r>
      <w:r>
        <w:rPr>
          <w:rStyle w:val="Fett"/>
          <w:rFonts w:ascii="Calibri" w:hAnsi="Calibri" w:cs="Calibri"/>
          <w:color w:val="222233"/>
          <w:sz w:val="21"/>
          <w:szCs w:val="21"/>
        </w:rPr>
        <w:t>During the term</w:t>
      </w:r>
      <w:r>
        <w:rPr>
          <w:rFonts w:ascii="Calibri" w:hAnsi="Calibri" w:cs="Calibri"/>
          <w:color w:val="222233"/>
          <w:sz w:val="21"/>
          <w:szCs w:val="21"/>
        </w:rPr>
        <w:t>, STP will not use that information to identify, approach or contract with those suppliers for services of the kind covered by this Agreement. After the term, clause 11 applies.</w:t>
      </w:r>
    </w:p>
    <w:p w14:paraId="738BFEDF"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6.1a</w:t>
      </w:r>
      <w:r>
        <w:rPr>
          <w:rFonts w:ascii="Calibri" w:hAnsi="Calibri" w:cs="Calibri"/>
          <w:b/>
          <w:bCs/>
          <w:color w:val="222233"/>
          <w:sz w:val="21"/>
          <w:szCs w:val="21"/>
        </w:rPr>
        <w:t> </w:t>
      </w:r>
    </w:p>
    <w:p w14:paraId="5CBDB363"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Clause 6.1 does </w:t>
      </w:r>
      <w:r>
        <w:rPr>
          <w:rStyle w:val="Fett"/>
          <w:rFonts w:ascii="Calibri" w:hAnsi="Calibri" w:cs="Calibri"/>
          <w:color w:val="222233"/>
          <w:sz w:val="21"/>
          <w:szCs w:val="21"/>
        </w:rPr>
        <w:t>not</w:t>
      </w:r>
      <w:r>
        <w:rPr>
          <w:rFonts w:ascii="Calibri" w:hAnsi="Calibri" w:cs="Calibri"/>
          <w:color w:val="222233"/>
          <w:sz w:val="21"/>
          <w:szCs w:val="21"/>
        </w:rPr>
        <w:t xml:space="preserve"> restrict STP from dealing with an </w:t>
      </w:r>
      <w:r>
        <w:rPr>
          <w:rStyle w:val="Fett"/>
          <w:rFonts w:ascii="Calibri" w:hAnsi="Calibri" w:cs="Calibri"/>
          <w:color w:val="222233"/>
          <w:sz w:val="21"/>
          <w:szCs w:val="21"/>
        </w:rPr>
        <w:t>official register or public authority</w:t>
      </w:r>
      <w:r>
        <w:rPr>
          <w:rFonts w:ascii="Calibri" w:hAnsi="Calibri" w:cs="Calibri"/>
          <w:color w:val="222233"/>
          <w:sz w:val="21"/>
          <w:szCs w:val="21"/>
        </w:rPr>
        <w:t>, from continuing a relationship that existed before the notification concerned, or from dealing with a party it identifies independently of information received from Founders1. STP bears no obligation to verify whether a party it approaches also serves Founders1.</w:t>
      </w:r>
    </w:p>
    <w:p w14:paraId="7497B8E6"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6.2</w:t>
      </w:r>
      <w:r>
        <w:rPr>
          <w:rFonts w:ascii="Calibri" w:hAnsi="Calibri" w:cs="Calibri"/>
          <w:b/>
          <w:bCs/>
          <w:color w:val="222233"/>
          <w:sz w:val="21"/>
          <w:szCs w:val="21"/>
        </w:rPr>
        <w:t> </w:t>
      </w:r>
    </w:p>
    <w:p w14:paraId="7B9D4AE2"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No End Client identities reach Founders1.</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STP identifies Cases by its own reference, and Founders1 does not require End Client names for settlement (clause 8.5). A non-solicitation obligation expressed by reference to identities disclosed through Cases would therefore have no subject matter, and this clause does not rely on one.</w:t>
      </w:r>
    </w:p>
    <w:p w14:paraId="5C4EBFB4"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6.2a</w:t>
      </w:r>
      <w:r>
        <w:rPr>
          <w:rFonts w:ascii="Calibri" w:hAnsi="Calibri" w:cs="Calibri"/>
          <w:b/>
          <w:bCs/>
          <w:color w:val="222233"/>
          <w:sz w:val="21"/>
          <w:szCs w:val="21"/>
        </w:rPr>
        <w:t> </w:t>
      </w:r>
    </w:p>
    <w:p w14:paraId="541D431E"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Standstill on named accounts.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STP may notify Founders1 in text form of named End Clients. For each End Client so notified, Founders1 will not solicit that End Client for services of the kind covered by this Agreement during the term and for </w:t>
      </w:r>
      <w:r>
        <w:rPr>
          <w:rStyle w:val="Fett"/>
          <w:rFonts w:ascii="Calibri" w:eastAsia="Times New Roman" w:hAnsi="Calibri" w:cs="Calibri"/>
          <w:color w:val="222233"/>
          <w:sz w:val="21"/>
          <w:szCs w:val="21"/>
        </w:rPr>
        <w:t>12 months</w:t>
      </w:r>
      <w:r>
        <w:rPr>
          <w:rFonts w:ascii="Calibri" w:eastAsia="Times New Roman" w:hAnsi="Calibri" w:cs="Calibri"/>
          <w:color w:val="222233"/>
          <w:sz w:val="21"/>
          <w:szCs w:val="21"/>
        </w:rPr>
        <w:t xml:space="preserve"> thereafter. STP may add to or amend the list at any time, and it takes effect on receipt. Founders1's relationships existing at the date of notification, and clause 3.6, remain unaffected.</w:t>
      </w:r>
    </w:p>
    <w:p w14:paraId="01A4B0D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6.3</w:t>
      </w:r>
      <w:r>
        <w:rPr>
          <w:rFonts w:ascii="Calibri" w:hAnsi="Calibri" w:cs="Calibri"/>
          <w:b/>
          <w:bCs/>
          <w:color w:val="222233"/>
          <w:sz w:val="21"/>
          <w:szCs w:val="21"/>
        </w:rPr>
        <w:t> </w:t>
      </w:r>
    </w:p>
    <w:p w14:paraId="2621D565"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may add, change or discontinue procurement routes at any time, provided the service continues to meet Annex 1.</w:t>
      </w:r>
    </w:p>
    <w:p w14:paraId="7B0445A0" w14:textId="77777777" w:rsidR="00223A6C" w:rsidRDefault="00223A6C">
      <w:pPr>
        <w:pStyle w:val="berschrift2"/>
        <w:rPr>
          <w:rFonts w:eastAsia="Times New Roman"/>
        </w:rPr>
      </w:pPr>
      <w:bookmarkStart w:id="8" w:name="_Toc241436698"/>
      <w:r>
        <w:rPr>
          <w:rFonts w:eastAsia="Times New Roman"/>
        </w:rPr>
        <w:t>7 Ordering and performance</w:t>
      </w:r>
      <w:bookmarkEnd w:id="8"/>
    </w:p>
    <w:p w14:paraId="6DF010D5"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7.1</w:t>
      </w:r>
      <w:r>
        <w:rPr>
          <w:rFonts w:ascii="Calibri" w:hAnsi="Calibri" w:cs="Calibri"/>
          <w:b/>
          <w:bCs/>
          <w:color w:val="222233"/>
          <w:sz w:val="21"/>
          <w:szCs w:val="21"/>
        </w:rPr>
        <w:t> </w:t>
      </w:r>
    </w:p>
    <w:p w14:paraId="2DC2ADCC"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Cases are placed and delivered as described in Annex 1. Procurement is </w:t>
      </w:r>
      <w:r>
        <w:rPr>
          <w:rStyle w:val="Fett"/>
          <w:rFonts w:ascii="Calibri" w:hAnsi="Calibri" w:cs="Calibri"/>
          <w:color w:val="222233"/>
          <w:sz w:val="21"/>
          <w:szCs w:val="21"/>
        </w:rPr>
        <w:t>asynchronous</w:t>
      </w:r>
      <w:r>
        <w:rPr>
          <w:rFonts w:ascii="Calibri" w:hAnsi="Calibri" w:cs="Calibri"/>
          <w:color w:val="222233"/>
          <w:sz w:val="21"/>
          <w:szCs w:val="21"/>
        </w:rPr>
        <w:t>; progress is reported per document kind.</w:t>
      </w:r>
    </w:p>
    <w:p w14:paraId="20922CAD"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7.2</w:t>
      </w:r>
      <w:r>
        <w:rPr>
          <w:rFonts w:ascii="Calibri" w:hAnsi="Calibri" w:cs="Calibri"/>
          <w:b/>
          <w:bCs/>
          <w:color w:val="222233"/>
          <w:sz w:val="21"/>
          <w:szCs w:val="21"/>
        </w:rPr>
        <w:t> </w:t>
      </w:r>
    </w:p>
    <w:p w14:paraId="22C899D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No fixed turnaround time is owed where a jurisdiction is served by a manual registry route. Expected ranges per jurisdiction are stated in Annex 2.3. Founders1 notifies STP where a Case materially exceeds the stated range.</w:t>
      </w:r>
    </w:p>
    <w:p w14:paraId="04C31219"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7.3</w:t>
      </w:r>
      <w:r>
        <w:rPr>
          <w:rFonts w:ascii="Calibri" w:hAnsi="Calibri" w:cs="Calibri"/>
          <w:b/>
          <w:bCs/>
          <w:color w:val="222233"/>
          <w:sz w:val="21"/>
          <w:szCs w:val="21"/>
        </w:rPr>
        <w:t> </w:t>
      </w:r>
    </w:p>
    <w:p w14:paraId="4A99EAA6"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Founders1 targets an API availability of </w:t>
      </w:r>
      <w:r>
        <w:rPr>
          <w:rStyle w:val="Fett"/>
          <w:rFonts w:ascii="Calibri" w:hAnsi="Calibri" w:cs="Calibri"/>
          <w:color w:val="222233"/>
          <w:sz w:val="21"/>
          <w:szCs w:val="21"/>
        </w:rPr>
        <w:t>99 % per calendar month</w:t>
      </w:r>
      <w:r>
        <w:rPr>
          <w:rFonts w:ascii="Calibri" w:hAnsi="Calibri" w:cs="Calibri"/>
          <w:color w:val="222233"/>
          <w:sz w:val="21"/>
          <w:szCs w:val="21"/>
        </w:rPr>
        <w:t>, excluding announced maintenance and unavailability of a register or route.</w:t>
      </w:r>
    </w:p>
    <w:p w14:paraId="0DCBCA89"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7.4</w:t>
      </w:r>
      <w:r>
        <w:rPr>
          <w:rFonts w:ascii="Calibri" w:hAnsi="Calibri" w:cs="Calibri"/>
          <w:b/>
          <w:bCs/>
          <w:color w:val="222233"/>
          <w:sz w:val="21"/>
          <w:szCs w:val="21"/>
        </w:rPr>
        <w:t> </w:t>
      </w:r>
    </w:p>
    <w:p w14:paraId="5E259048"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may decline or abort a Case where the register is unavailable, the jurisdiction or document kind is not covered, or the order would breach applicable law or sanctions (settlement: clause 8.7).</w:t>
      </w:r>
    </w:p>
    <w:p w14:paraId="621D01EE" w14:textId="77777777" w:rsidR="00223A6C" w:rsidRDefault="00223A6C">
      <w:pPr>
        <w:pStyle w:val="berschrift2"/>
        <w:rPr>
          <w:rFonts w:eastAsia="Times New Roman"/>
        </w:rPr>
      </w:pPr>
      <w:bookmarkStart w:id="9" w:name="_Toc241436699"/>
      <w:r>
        <w:rPr>
          <w:rFonts w:eastAsia="Times New Roman"/>
        </w:rPr>
        <w:t>8 Prices, invoicing, price changes</w:t>
      </w:r>
      <w:bookmarkEnd w:id="9"/>
    </w:p>
    <w:p w14:paraId="0DDFF742"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8.1</w:t>
      </w:r>
      <w:r>
        <w:rPr>
          <w:rFonts w:ascii="Calibri" w:hAnsi="Calibri" w:cs="Calibri"/>
          <w:b/>
          <w:bCs/>
          <w:color w:val="222233"/>
          <w:sz w:val="21"/>
          <w:szCs w:val="21"/>
        </w:rPr>
        <w:t> </w:t>
      </w:r>
    </w:p>
    <w:p w14:paraId="641D52C0"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STP sets its prices towards End Clients at its own discretion.</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Founders1 does not prescribe an end-client price and does not publish one.</w:t>
      </w:r>
    </w:p>
    <w:p w14:paraId="53FC7D4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8.2</w:t>
      </w:r>
      <w:r>
        <w:rPr>
          <w:rFonts w:ascii="Calibri" w:hAnsi="Calibri" w:cs="Calibri"/>
          <w:b/>
          <w:bCs/>
          <w:color w:val="222233"/>
          <w:sz w:val="21"/>
          <w:szCs w:val="21"/>
        </w:rPr>
        <w:t> </w:t>
      </w:r>
    </w:p>
    <w:p w14:paraId="185F9584"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Price per Case.</w:t>
      </w:r>
      <w:r>
        <w:rPr>
          <w:rFonts w:ascii="Calibri" w:eastAsia="Times New Roman" w:hAnsi="Calibri" w:cs="Calibri"/>
          <w:color w:val="222233"/>
          <w:sz w:val="21"/>
          <w:szCs w:val="21"/>
        </w:rPr>
        <w:t xml:space="preserve"> For every Case, STP pays the procurement cost for that jurisdiction under Annex 2.1 </w:t>
      </w:r>
      <w:r>
        <w:rPr>
          <w:rStyle w:val="Fett"/>
          <w:rFonts w:ascii="Calibri" w:eastAsia="Times New Roman" w:hAnsi="Calibri" w:cs="Calibri"/>
          <w:color w:val="222233"/>
          <w:sz w:val="21"/>
          <w:szCs w:val="21"/>
        </w:rPr>
        <w:t>plus a fixed fee of EUR 7,50</w:t>
      </w:r>
      <w:r>
        <w:rPr>
          <w:rFonts w:ascii="Calibri" w:eastAsia="Times New Roman" w:hAnsi="Calibri" w:cs="Calibri"/>
          <w:color w:val="222233"/>
          <w:sz w:val="21"/>
          <w:szCs w:val="21"/>
        </w:rPr>
        <w:t xml:space="preserve"> (the </w:t>
      </w:r>
      <w:r>
        <w:rPr>
          <w:rStyle w:val="Hervorhebung"/>
          <w:rFonts w:ascii="Calibri" w:eastAsia="Times New Roman" w:hAnsi="Calibri" w:cs="Calibri"/>
          <w:color w:val="222233"/>
          <w:sz w:val="21"/>
          <w:szCs w:val="21"/>
        </w:rPr>
        <w:t>Fixed Fee</w:t>
      </w:r>
      <w:r>
        <w:rPr>
          <w:rFonts w:ascii="Calibri" w:eastAsia="Times New Roman" w:hAnsi="Calibri" w:cs="Calibri"/>
          <w:color w:val="222233"/>
          <w:sz w:val="21"/>
          <w:szCs w:val="21"/>
        </w:rPr>
        <w:t>). The Fixed Fee is the same in every tier. The resulting price per Case is set out in Annex 2.1.</w:t>
      </w:r>
    </w:p>
    <w:p w14:paraId="25F7B8A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8.3</w:t>
      </w:r>
      <w:r>
        <w:rPr>
          <w:rFonts w:ascii="Calibri" w:hAnsi="Calibri" w:cs="Calibri"/>
          <w:b/>
          <w:bCs/>
          <w:color w:val="222233"/>
          <w:sz w:val="21"/>
          <w:szCs w:val="21"/>
        </w:rPr>
        <w:t> </w:t>
      </w:r>
    </w:p>
    <w:p w14:paraId="2B74A8E1" w14:textId="77777777" w:rsidR="00223A6C" w:rsidRDefault="00223A6C">
      <w:pPr>
        <w:rPr>
          <w:rFonts w:ascii="Calibri" w:eastAsia="Times New Roman" w:hAnsi="Calibri" w:cs="Calibri"/>
          <w:color w:val="222233"/>
          <w:sz w:val="21"/>
          <w:szCs w:val="21"/>
        </w:rPr>
      </w:pPr>
      <w:r>
        <w:rPr>
          <w:rStyle w:val="Hervorhebung"/>
          <w:rFonts w:ascii="Calibri" w:eastAsia="Times New Roman" w:hAnsi="Calibri" w:cs="Calibri"/>
          <w:color w:val="222233"/>
          <w:sz w:val="21"/>
          <w:szCs w:val="21"/>
        </w:rPr>
        <w:t>(deleted)</w:t>
      </w:r>
    </w:p>
    <w:p w14:paraId="357F8606"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8.4</w:t>
      </w:r>
      <w:r>
        <w:rPr>
          <w:rFonts w:ascii="Calibri" w:hAnsi="Calibri" w:cs="Calibri"/>
          <w:b/>
          <w:bCs/>
          <w:color w:val="222233"/>
          <w:sz w:val="21"/>
          <w:szCs w:val="21"/>
        </w:rPr>
        <w:t> </w:t>
      </w:r>
    </w:p>
    <w:p w14:paraId="78455630"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Minimum.</w:t>
      </w:r>
      <w:r>
        <w:rPr>
          <w:rFonts w:ascii="Calibri" w:eastAsia="Times New Roman" w:hAnsi="Calibri" w:cs="Calibri"/>
          <w:color w:val="222233"/>
          <w:sz w:val="21"/>
          <w:szCs w:val="21"/>
        </w:rPr>
        <w:t xml:space="preserve"> The Fixed Fees payable for a calendar month total at least </w:t>
      </w:r>
      <w:r>
        <w:rPr>
          <w:rStyle w:val="Fett"/>
          <w:rFonts w:ascii="Calibri" w:eastAsia="Times New Roman" w:hAnsi="Calibri" w:cs="Calibri"/>
          <w:color w:val="222233"/>
          <w:sz w:val="21"/>
          <w:szCs w:val="21"/>
        </w:rPr>
        <w:t>EUR 750 for each of the first three full months</w:t>
      </w:r>
      <w:r>
        <w:rPr>
          <w:rFonts w:ascii="Calibri" w:eastAsia="Times New Roman" w:hAnsi="Calibri" w:cs="Calibri"/>
          <w:color w:val="222233"/>
          <w:sz w:val="21"/>
          <w:szCs w:val="21"/>
        </w:rPr>
        <w:t xml:space="preserve"> after the effective date, and </w:t>
      </w:r>
      <w:r>
        <w:rPr>
          <w:rStyle w:val="Fett"/>
          <w:rFonts w:ascii="Calibri" w:eastAsia="Times New Roman" w:hAnsi="Calibri" w:cs="Calibri"/>
          <w:color w:val="222233"/>
          <w:sz w:val="21"/>
          <w:szCs w:val="21"/>
        </w:rPr>
        <w:t>EUR 1.500 per month</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thereafter. Where they fall short, STP pays the difference in addition to the prices due for that month; where they reach the minimum, nothing further is owed. No minimum accrues for a partial first month. Any shortfall is invoiced with the following month.</w:t>
      </w:r>
    </w:p>
    <w:p w14:paraId="1708709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8.5</w:t>
      </w:r>
      <w:r>
        <w:rPr>
          <w:rFonts w:ascii="Calibri" w:hAnsi="Calibri" w:cs="Calibri"/>
          <w:b/>
          <w:bCs/>
          <w:color w:val="222233"/>
          <w:sz w:val="21"/>
          <w:szCs w:val="21"/>
        </w:rPr>
        <w:t> </w:t>
      </w:r>
    </w:p>
    <w:p w14:paraId="39D51692"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Invoicing.</w:t>
      </w:r>
      <w:r>
        <w:rPr>
          <w:rFonts w:ascii="Calibri" w:eastAsia="Times New Roman" w:hAnsi="Calibri" w:cs="Calibri"/>
          <w:color w:val="222233"/>
          <w:sz w:val="21"/>
          <w:szCs w:val="21"/>
        </w:rPr>
        <w:t xml:space="preserve"> Founders1 invoices monthly in arrears, itemised per Case by STP's own reference. STP does not report the prices it charges its End Clients. Payment is due </w:t>
      </w:r>
      <w:r>
        <w:rPr>
          <w:rStyle w:val="Fett"/>
          <w:rFonts w:ascii="Calibri" w:eastAsia="Times New Roman" w:hAnsi="Calibri" w:cs="Calibri"/>
          <w:color w:val="222233"/>
          <w:sz w:val="21"/>
          <w:szCs w:val="21"/>
        </w:rPr>
        <w:t>14 days</w:t>
      </w:r>
      <w:r>
        <w:rPr>
          <w:rFonts w:ascii="Calibri" w:eastAsia="Times New Roman" w:hAnsi="Calibri" w:cs="Calibri"/>
          <w:color w:val="222233"/>
          <w:sz w:val="21"/>
          <w:szCs w:val="21"/>
        </w:rPr>
        <w:t xml:space="preserve"> net; amounts are exclusive of VAT at the statutory rate.</w:t>
      </w:r>
    </w:p>
    <w:p w14:paraId="3ECFA938"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8.6</w:t>
      </w:r>
      <w:r>
        <w:rPr>
          <w:rFonts w:ascii="Calibri" w:hAnsi="Calibri" w:cs="Calibri"/>
          <w:b/>
          <w:bCs/>
          <w:color w:val="222233"/>
          <w:sz w:val="21"/>
          <w:szCs w:val="21"/>
        </w:rPr>
        <w:t> </w:t>
      </w:r>
    </w:p>
    <w:p w14:paraId="3F9B9C71"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Price changes.</w:t>
      </w:r>
      <w:r>
        <w:rPr>
          <w:rFonts w:ascii="Calibri" w:eastAsia="Times New Roman" w:hAnsi="Calibri" w:cs="Calibri"/>
          <w:color w:val="222233"/>
          <w:sz w:val="21"/>
          <w:szCs w:val="21"/>
        </w:rPr>
        <w:t xml:space="preserve"> (a) The Fixed Fee is fixed for the pilot term and for each renewal term. Either party may propose a different Fixed Fee for a renewal term, on the basis of the volumes of the preceding term, no later than two months before that term begins; failing agreement it remains unchanged. (b) The procurement costs in Annex 2.1 are fixed for </w:t>
      </w:r>
      <w:r>
        <w:rPr>
          <w:rStyle w:val="Fett"/>
          <w:rFonts w:ascii="Calibri" w:eastAsia="Times New Roman" w:hAnsi="Calibri" w:cs="Calibri"/>
          <w:color w:val="222233"/>
          <w:sz w:val="21"/>
          <w:szCs w:val="21"/>
        </w:rPr>
        <w:t>12 months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from the effective date, except for any jurisdiction that Annex 2.1 states is not on a tier, for which the cost is provisional until a schedule is agreed. (c) After that period, and at any time where a register or a supplier of Founders1 changes the fees it charges for a tier or jurisdiction, Founders1 may change the procurement cost for that tier or jurisdiction </w:t>
      </w:r>
      <w:r>
        <w:rPr>
          <w:rStyle w:val="Fett"/>
          <w:rFonts w:ascii="Calibri" w:eastAsia="Times New Roman" w:hAnsi="Calibri" w:cs="Calibri"/>
          <w:color w:val="222233"/>
          <w:sz w:val="21"/>
          <w:szCs w:val="21"/>
        </w:rPr>
        <w:t>only to the extent of that change in fees</w:t>
      </w:r>
      <w:r>
        <w:rPr>
          <w:rFonts w:ascii="Calibri" w:eastAsia="Times New Roman" w:hAnsi="Calibri" w:cs="Calibri"/>
          <w:color w:val="222233"/>
          <w:sz w:val="21"/>
          <w:szCs w:val="21"/>
        </w:rPr>
        <w:t xml:space="preserve">, on 30 days' notice and </w:t>
      </w:r>
      <w:r>
        <w:rPr>
          <w:rStyle w:val="Fett"/>
          <w:rFonts w:ascii="Calibri" w:eastAsia="Times New Roman" w:hAnsi="Calibri" w:cs="Calibri"/>
          <w:color w:val="222233"/>
          <w:sz w:val="21"/>
          <w:szCs w:val="21"/>
        </w:rPr>
        <w:t>evidencing the change</w:t>
      </w:r>
      <w:r>
        <w:rPr>
          <w:rFonts w:ascii="Calibri" w:eastAsia="Times New Roman" w:hAnsi="Calibri" w:cs="Calibri"/>
          <w:color w:val="222233"/>
          <w:sz w:val="21"/>
          <w:szCs w:val="21"/>
        </w:rPr>
        <w:t>. A change in the route by which Founders1 procures does not change the procurement cost. (d) Where those fees fall, Founders1 lowers the procurement cost correspondingly on the same terms. (e) STP may terminate the affected jurisdiction within 14 days of a notice of increase.</w:t>
      </w:r>
    </w:p>
    <w:p w14:paraId="4FCD5F62"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8.7</w:t>
      </w:r>
      <w:r>
        <w:rPr>
          <w:rFonts w:ascii="Calibri" w:hAnsi="Calibri" w:cs="Calibri"/>
          <w:b/>
          <w:bCs/>
          <w:color w:val="222233"/>
          <w:sz w:val="21"/>
          <w:szCs w:val="21"/>
        </w:rPr>
        <w:t> </w:t>
      </w:r>
    </w:p>
    <w:p w14:paraId="14D1259F"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Cases that deliver no Document.</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Where Founders1 declines or aborts a Case under clause 7.4 before procurement, nothing is charged. Where a Case is procured and the register holds no such document, so that the answer is a definitive „not available“, STP pays the price per Case under clause 8.2. Where a Case fails for reasons within Founders1's control, nothing is charged.</w:t>
      </w:r>
    </w:p>
    <w:p w14:paraId="369CF145" w14:textId="77777777" w:rsidR="00223A6C" w:rsidRDefault="00223A6C">
      <w:pPr>
        <w:pStyle w:val="berschrift2"/>
        <w:rPr>
          <w:rFonts w:eastAsia="Times New Roman"/>
        </w:rPr>
      </w:pPr>
      <w:bookmarkStart w:id="10" w:name="_Toc241436700"/>
      <w:r>
        <w:rPr>
          <w:rFonts w:eastAsia="Times New Roman"/>
        </w:rPr>
        <w:t>9 STP's obligations</w:t>
      </w:r>
      <w:bookmarkEnd w:id="10"/>
    </w:p>
    <w:p w14:paraId="3DE0B9DC"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9.1</w:t>
      </w:r>
      <w:r>
        <w:rPr>
          <w:rFonts w:ascii="Calibri" w:hAnsi="Calibri" w:cs="Calibri"/>
          <w:b/>
          <w:bCs/>
          <w:color w:val="222233"/>
          <w:sz w:val="21"/>
          <w:szCs w:val="21"/>
        </w:rPr>
        <w:t> </w:t>
      </w:r>
    </w:p>
    <w:p w14:paraId="714705EF" w14:textId="77777777" w:rsidR="00223A6C" w:rsidRDefault="00223A6C">
      <w:pPr>
        <w:rPr>
          <w:rFonts w:ascii="Calibri" w:eastAsia="Times New Roman" w:hAnsi="Calibri" w:cs="Calibri"/>
          <w:color w:val="222233"/>
          <w:sz w:val="21"/>
          <w:szCs w:val="21"/>
        </w:rPr>
      </w:pPr>
      <w:r>
        <w:rPr>
          <w:rStyle w:val="Hervorhebung"/>
          <w:rFonts w:ascii="Calibri" w:eastAsia="Times New Roman" w:hAnsi="Calibri" w:cs="Calibri"/>
          <w:color w:val="222233"/>
          <w:sz w:val="21"/>
          <w:szCs w:val="21"/>
        </w:rPr>
        <w:t>(deleted)</w:t>
      </w:r>
    </w:p>
    <w:p w14:paraId="4CBB99EF"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9.2</w:t>
      </w:r>
      <w:r>
        <w:rPr>
          <w:rFonts w:ascii="Calibri" w:hAnsi="Calibri" w:cs="Calibri"/>
          <w:b/>
          <w:bCs/>
          <w:color w:val="222233"/>
          <w:sz w:val="21"/>
          <w:szCs w:val="21"/>
        </w:rPr>
        <w:t> </w:t>
      </w:r>
    </w:p>
    <w:p w14:paraId="540D4642"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provides first-level support to End Clients. Founders1 provides second-level support to STP during business hours.</w:t>
      </w:r>
    </w:p>
    <w:p w14:paraId="1C4D230D"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9.3</w:t>
      </w:r>
      <w:r>
        <w:rPr>
          <w:rFonts w:ascii="Calibri" w:hAnsi="Calibri" w:cs="Calibri"/>
          <w:b/>
          <w:bCs/>
          <w:color w:val="222233"/>
          <w:sz w:val="21"/>
          <w:szCs w:val="21"/>
        </w:rPr>
        <w:t> </w:t>
      </w:r>
    </w:p>
    <w:p w14:paraId="564671B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makes no statements to End Clients about coverage, evidence value, currency or turnaround that go beyond Annex 1.</w:t>
      </w:r>
    </w:p>
    <w:p w14:paraId="6785DBC3"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9.4</w:t>
      </w:r>
      <w:r>
        <w:rPr>
          <w:rFonts w:ascii="Calibri" w:hAnsi="Calibri" w:cs="Calibri"/>
          <w:b/>
          <w:bCs/>
          <w:color w:val="222233"/>
          <w:sz w:val="21"/>
          <w:szCs w:val="21"/>
        </w:rPr>
        <w:t> </w:t>
      </w:r>
    </w:p>
    <w:p w14:paraId="154CB6F6"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informs Founders1 without undue delay of End Client complaints concerning the content or provenance of a Document.</w:t>
      </w:r>
    </w:p>
    <w:p w14:paraId="3B13BD28"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9.5</w:t>
      </w:r>
      <w:r>
        <w:rPr>
          <w:rFonts w:ascii="Calibri" w:hAnsi="Calibri" w:cs="Calibri"/>
          <w:b/>
          <w:bCs/>
          <w:color w:val="222233"/>
          <w:sz w:val="21"/>
          <w:szCs w:val="21"/>
        </w:rPr>
        <w:t> </w:t>
      </w:r>
    </w:p>
    <w:p w14:paraId="7F4C6D70"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Regulated End Clients.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Where an End Client is subject to supervisory requirements on outsourcing or on ICT third-party risk, STP meets those requirements towards that End Client itself. STP does not agree on Founders1's behalf, and does not represent that Founders1 has agreed, to audit or inspection rights, to disclosure of procurement routes or sub-suppliers, to exit or transition assistance, to incident-reporting or notification periods, or to entries in a register of information, unless Founders1 has agreed in writing. Founder</w:t>
      </w:r>
      <w:r>
        <w:rPr>
          <w:rFonts w:ascii="Calibri" w:eastAsia="Times New Roman" w:hAnsi="Calibri" w:cs="Calibri"/>
          <w:color w:val="222233"/>
          <w:sz w:val="21"/>
          <w:szCs w:val="21"/>
        </w:rPr>
        <w:t>s1 will consider such a request in good faith, and will not unreasonably refuse what the End Client's supervisory position genuinely requires. Towards the End Client,</w:t>
      </w:r>
      <w:r>
        <w:rPr>
          <w:rFonts w:ascii="Calibri" w:eastAsia="Times New Roman" w:hAnsi="Calibri" w:cs="Calibri"/>
          <w:color w:val="222233"/>
          <w:sz w:val="21"/>
          <w:szCs w:val="21"/>
        </w:rPr>
        <w:t xml:space="preserve"> </w:t>
      </w:r>
      <w:r>
        <w:rPr>
          <w:rStyle w:val="Fett"/>
          <w:rFonts w:ascii="Calibri" w:eastAsia="Times New Roman" w:hAnsi="Calibri" w:cs="Calibri"/>
          <w:color w:val="222233"/>
          <w:sz w:val="21"/>
          <w:szCs w:val="21"/>
        </w:rPr>
        <w:t>STP is the supplier</w:t>
      </w:r>
      <w:r>
        <w:rPr>
          <w:rFonts w:ascii="Calibri" w:eastAsia="Times New Roman" w:hAnsi="Calibri" w:cs="Calibri"/>
          <w:color w:val="222233"/>
          <w:sz w:val="21"/>
          <w:szCs w:val="21"/>
        </w:rPr>
        <w:t>: STP contracts with the End Client in its own name and for its own account (clauses 2.1 and 3.1), Founders1 is STP's own supplier and has no contractual relationship with the End Client, and parties Founders1 engages for procurement are Founders1's sub-suppliers — not STP's and not the End Client's — consistent with clauses 6.1 and Annex 3.1.</w:t>
      </w:r>
    </w:p>
    <w:p w14:paraId="320F4D96"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9.6</w:t>
      </w:r>
      <w:r>
        <w:rPr>
          <w:rFonts w:ascii="Calibri" w:hAnsi="Calibri" w:cs="Calibri"/>
          <w:b/>
          <w:bCs/>
          <w:color w:val="222233"/>
          <w:sz w:val="21"/>
          <w:szCs w:val="21"/>
        </w:rPr>
        <w:t> </w:t>
      </w:r>
    </w:p>
    <w:p w14:paraId="10203C8D"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Supervisory cooperation.</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Where an End Client's supervisory position genuinely requires information or undertakings from Founders1, STP requests them from Founders1 and Founders1 provides, within a reasonable period: its service and security documentation, the information needed for the End Client's register of information in respect of Founders1 as STP's supplier, notification of ICT incidents affecting the service, and reasonable support for STP's own exit planning. Audit and inspection rights are exercised </w:t>
      </w:r>
      <w:r>
        <w:rPr>
          <w:rStyle w:val="Fett"/>
          <w:rFonts w:ascii="Calibri" w:eastAsia="Times New Roman" w:hAnsi="Calibri" w:cs="Calibri"/>
          <w:color w:val="222233"/>
          <w:sz w:val="21"/>
          <w:szCs w:val="21"/>
        </w:rPr>
        <w:t>through STP</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and are satisfied in the first instance by documentation, by a third-party certification or report where held, or by a pooled audit serving several of STP's clients. An on-site audit at Founders1 requires reasonable notice, is limited to the service, may be conducted by an independent auditor bound to confidentiality, and does not extend to the identity of procurement routes (clause 6.1). Founders1 may charge its reasonable cost for effort going beyond the documentation named above.</w:t>
      </w:r>
    </w:p>
    <w:p w14:paraId="3FBFA485" w14:textId="77777777" w:rsidR="00223A6C" w:rsidRDefault="00223A6C">
      <w:pPr>
        <w:pStyle w:val="berschrift2"/>
        <w:rPr>
          <w:rFonts w:eastAsia="Times New Roman"/>
        </w:rPr>
      </w:pPr>
      <w:bookmarkStart w:id="11" w:name="_Toc241436701"/>
      <w:r>
        <w:rPr>
          <w:rFonts w:eastAsia="Times New Roman"/>
        </w:rPr>
        <w:t>10 Data protection</w:t>
      </w:r>
      <w:bookmarkEnd w:id="11"/>
    </w:p>
    <w:p w14:paraId="36175E1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10.1</w:t>
      </w:r>
      <w:r>
        <w:rPr>
          <w:rFonts w:ascii="Calibri" w:hAnsi="Calibri" w:cs="Calibri"/>
          <w:b/>
          <w:bCs/>
          <w:color w:val="222233"/>
          <w:sz w:val="21"/>
          <w:szCs w:val="21"/>
        </w:rPr>
        <w:t> </w:t>
      </w:r>
    </w:p>
    <w:p w14:paraId="3981F8D7"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Documents contain personal data of directors, shareholders and beneficial owners. The parties act as </w:t>
      </w:r>
      <w:r>
        <w:rPr>
          <w:rStyle w:val="Fett"/>
          <w:rFonts w:ascii="Calibri" w:hAnsi="Calibri" w:cs="Calibri"/>
          <w:color w:val="222233"/>
          <w:sz w:val="21"/>
          <w:szCs w:val="21"/>
        </w:rPr>
        <w:t>independent controllers</w:t>
      </w:r>
      <w:r>
        <w:rPr>
          <w:rFonts w:ascii="Calibri" w:hAnsi="Calibri" w:cs="Calibri"/>
          <w:color w:val="222233"/>
          <w:sz w:val="21"/>
          <w:szCs w:val="21"/>
        </w:rPr>
        <w:t xml:space="preserve"> within the meaning of Art. 4 No. 7 GDPR. This Agreement establishes no processing on behalf of a controller under Art. 28 GDPR.</w:t>
      </w:r>
    </w:p>
    <w:p w14:paraId="4A343170"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10.2</w:t>
      </w:r>
      <w:r>
        <w:rPr>
          <w:rFonts w:ascii="Calibri" w:hAnsi="Calibri" w:cs="Calibri"/>
          <w:b/>
          <w:bCs/>
          <w:color w:val="222233"/>
          <w:sz w:val="21"/>
          <w:szCs w:val="21"/>
        </w:rPr>
        <w:t> </w:t>
      </w:r>
    </w:p>
    <w:p w14:paraId="4F596DA7"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Each party is responsible for the lawfulness of its own processing, for its own information duties, and for assessing its own reliance on Art. 14 (5) GDPR.</w:t>
      </w:r>
    </w:p>
    <w:p w14:paraId="34D082F3"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10.3</w:t>
      </w:r>
      <w:r>
        <w:rPr>
          <w:rFonts w:ascii="Calibri" w:hAnsi="Calibri" w:cs="Calibri"/>
          <w:b/>
          <w:bCs/>
          <w:color w:val="222233"/>
          <w:sz w:val="21"/>
          <w:szCs w:val="21"/>
        </w:rPr>
        <w:t> </w:t>
      </w:r>
    </w:p>
    <w:p w14:paraId="3E3C719B"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The arrangement under Art. 26 / Art. 14 GDPR and the technical and organisational measures are set out in Annex 3.</w:t>
      </w:r>
    </w:p>
    <w:p w14:paraId="2FDF0C2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10.4</w:t>
      </w:r>
      <w:r>
        <w:rPr>
          <w:rFonts w:ascii="Calibri" w:hAnsi="Calibri" w:cs="Calibri"/>
          <w:b/>
          <w:bCs/>
          <w:color w:val="222233"/>
          <w:sz w:val="21"/>
          <w:szCs w:val="21"/>
        </w:rPr>
        <w:t> </w:t>
      </w:r>
    </w:p>
    <w:p w14:paraId="1AE2A4B1"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Each party informs the other without undue delay of a personal data breach affecting data received from the other, and forwards data-subject requests that the other must answer.</w:t>
      </w:r>
    </w:p>
    <w:p w14:paraId="03D4D054" w14:textId="77777777" w:rsidR="00223A6C" w:rsidRDefault="00223A6C">
      <w:pPr>
        <w:pStyle w:val="berschrift2"/>
        <w:rPr>
          <w:rFonts w:eastAsia="Times New Roman"/>
        </w:rPr>
      </w:pPr>
      <w:bookmarkStart w:id="12" w:name="_Toc241436702"/>
      <w:r>
        <w:rPr>
          <w:rFonts w:eastAsia="Times New Roman"/>
        </w:rPr>
        <w:t>11 Confidentiality</w:t>
      </w:r>
      <w:bookmarkEnd w:id="12"/>
    </w:p>
    <w:p w14:paraId="1648D892"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11.1</w:t>
      </w:r>
      <w:r>
        <w:rPr>
          <w:rFonts w:ascii="Calibri" w:hAnsi="Calibri" w:cs="Calibri"/>
          <w:b/>
          <w:bCs/>
          <w:color w:val="222233"/>
          <w:sz w:val="21"/>
          <w:szCs w:val="21"/>
        </w:rPr>
        <w:t> </w:t>
      </w:r>
    </w:p>
    <w:p w14:paraId="03A91968"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Each party keeps the other's confidential information secret and uses it only for the purposes of this Agreement, during the term and for </w:t>
      </w:r>
      <w:r>
        <w:rPr>
          <w:rStyle w:val="Fett"/>
          <w:rFonts w:ascii="Calibri" w:hAnsi="Calibri" w:cs="Calibri"/>
          <w:color w:val="222233"/>
          <w:sz w:val="21"/>
          <w:szCs w:val="21"/>
        </w:rPr>
        <w:t>five years</w:t>
      </w:r>
      <w:r>
        <w:rPr>
          <w:rFonts w:ascii="Calibri" w:hAnsi="Calibri" w:cs="Calibri"/>
          <w:color w:val="222233"/>
          <w:sz w:val="21"/>
          <w:szCs w:val="21"/>
        </w:rPr>
        <w:t xml:space="preserve"> </w:t>
      </w:r>
      <w:r>
        <w:rPr>
          <w:rFonts w:ascii="Calibri" w:hAnsi="Calibri" w:cs="Calibri"/>
          <w:color w:val="222233"/>
          <w:sz w:val="21"/>
          <w:szCs w:val="21"/>
        </w:rPr>
        <w:t>thereafter. The procurement costs in Annex 2.1, and the information covered by clause 6.1, are confidential.</w:t>
      </w:r>
    </w:p>
    <w:p w14:paraId="09405F62"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11.2</w:t>
      </w:r>
      <w:r>
        <w:rPr>
          <w:rFonts w:ascii="Calibri" w:hAnsi="Calibri" w:cs="Calibri"/>
          <w:b/>
          <w:bCs/>
          <w:color w:val="222233"/>
          <w:sz w:val="21"/>
          <w:szCs w:val="21"/>
        </w:rPr>
        <w:t> </w:t>
      </w:r>
    </w:p>
    <w:p w14:paraId="0597F9B6"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The obligation does not apply to information that is public, was already lawfully known, is independently developed, or must be disclosed by law or authority; in the last case the other party is informed in advance where permitted.</w:t>
      </w:r>
    </w:p>
    <w:p w14:paraId="32537D0E" w14:textId="77777777" w:rsidR="00223A6C" w:rsidRDefault="00223A6C">
      <w:pPr>
        <w:pStyle w:val="berschrift2"/>
        <w:rPr>
          <w:rFonts w:eastAsia="Times New Roman"/>
        </w:rPr>
      </w:pPr>
      <w:bookmarkStart w:id="13" w:name="_Toc241436703"/>
      <w:r>
        <w:rPr>
          <w:rFonts w:eastAsia="Times New Roman"/>
        </w:rPr>
        <w:t>12 Warranty</w:t>
      </w:r>
      <w:bookmarkEnd w:id="13"/>
    </w:p>
    <w:p w14:paraId="47F155E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12.1</w:t>
      </w:r>
      <w:r>
        <w:rPr>
          <w:rFonts w:ascii="Calibri" w:hAnsi="Calibri" w:cs="Calibri"/>
          <w:b/>
          <w:bCs/>
          <w:color w:val="222233"/>
          <w:sz w:val="21"/>
          <w:szCs w:val="21"/>
        </w:rPr>
        <w:t> </w:t>
      </w:r>
    </w:p>
    <w:p w14:paraId="107A6F1E"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Founders1 warrants that </w:t>
      </w:r>
      <w:r>
        <w:rPr>
          <w:rStyle w:val="Fett"/>
          <w:rFonts w:ascii="Calibri" w:hAnsi="Calibri" w:cs="Calibri"/>
          <w:color w:val="222233"/>
          <w:sz w:val="21"/>
          <w:szCs w:val="21"/>
        </w:rPr>
        <w:t>the content of each Document delivered to STP corresponds to the content of the register concerned at the time of retrieval</w:t>
      </w:r>
      <w:r>
        <w:rPr>
          <w:rFonts w:ascii="Calibri" w:hAnsi="Calibri" w:cs="Calibri"/>
          <w:color w:val="222233"/>
          <w:sz w:val="21"/>
          <w:szCs w:val="21"/>
        </w:rPr>
        <w:t xml:space="preserve"> by Founders1 or by the third party it engages for that purpose, that it procures with professional diligence, and that the </w:t>
      </w:r>
      <w:r>
        <w:rPr>
          <w:rStyle w:val="Fett"/>
          <w:rFonts w:ascii="Calibri" w:hAnsi="Calibri" w:cs="Calibri"/>
          <w:color w:val="222233"/>
          <w:sz w:val="21"/>
          <w:szCs w:val="21"/>
        </w:rPr>
        <w:t>provenance metadata</w:t>
      </w:r>
      <w:r>
        <w:rPr>
          <w:rFonts w:ascii="Calibri" w:hAnsi="Calibri" w:cs="Calibri"/>
          <w:color w:val="222233"/>
          <w:sz w:val="21"/>
          <w:szCs w:val="21"/>
        </w:rPr>
        <w:t xml:space="preserve"> delivered with each Document — source reference, retrieval date, content date, evidence level, version — is accurate.</w:t>
      </w:r>
    </w:p>
    <w:p w14:paraId="44059BB4"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12.2</w:t>
      </w:r>
      <w:r>
        <w:rPr>
          <w:rFonts w:ascii="Calibri" w:hAnsi="Calibri" w:cs="Calibri"/>
          <w:b/>
          <w:bCs/>
          <w:color w:val="222233"/>
          <w:sz w:val="21"/>
          <w:szCs w:val="21"/>
        </w:rPr>
        <w:t> </w:t>
      </w:r>
    </w:p>
    <w:p w14:paraId="26331F02"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Founders1 does </w:t>
      </w:r>
      <w:r>
        <w:rPr>
          <w:rStyle w:val="Fett"/>
          <w:rFonts w:ascii="Calibri" w:hAnsi="Calibri" w:cs="Calibri"/>
          <w:color w:val="222233"/>
          <w:sz w:val="21"/>
          <w:szCs w:val="21"/>
        </w:rPr>
        <w:t>not</w:t>
      </w:r>
      <w:r>
        <w:rPr>
          <w:rFonts w:ascii="Calibri" w:hAnsi="Calibri" w:cs="Calibri"/>
          <w:color w:val="222233"/>
          <w:sz w:val="21"/>
          <w:szCs w:val="21"/>
        </w:rPr>
        <w:t xml:space="preserve"> </w:t>
      </w:r>
      <w:r>
        <w:rPr>
          <w:rFonts w:ascii="Calibri" w:hAnsi="Calibri" w:cs="Calibri"/>
          <w:color w:val="222233"/>
          <w:sz w:val="21"/>
          <w:szCs w:val="21"/>
        </w:rPr>
        <w:t>warrant the accuracy, completeness or currency of the content of the register itself, nor that a given document exists in a given jurisdiction or for a given legal form. What is owed is the correct retrieval of what the register publishes, its delivery to STP, and the classification and the answer set out in Annex 1, including the answer “not available”.</w:t>
      </w:r>
    </w:p>
    <w:p w14:paraId="123968A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12.3</w:t>
      </w:r>
      <w:r>
        <w:rPr>
          <w:rFonts w:ascii="Calibri" w:hAnsi="Calibri" w:cs="Calibri"/>
          <w:b/>
          <w:bCs/>
          <w:color w:val="222233"/>
          <w:sz w:val="21"/>
          <w:szCs w:val="21"/>
        </w:rPr>
        <w:t> </w:t>
      </w:r>
    </w:p>
    <w:p w14:paraId="3F7132E6"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 defect exists where a Document does not correspond to the order, to the content of the register at the time of retrieval, or to its provenance metadata. Founders1 remedies it by re-procuring at no charge or by crediting the price of the Case.</w:t>
      </w:r>
    </w:p>
    <w:p w14:paraId="74BA8608"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12.4</w:t>
      </w:r>
      <w:r>
        <w:rPr>
          <w:rFonts w:ascii="Calibri" w:hAnsi="Calibri" w:cs="Calibri"/>
          <w:b/>
          <w:bCs/>
          <w:color w:val="222233"/>
          <w:sz w:val="21"/>
          <w:szCs w:val="21"/>
        </w:rPr>
        <w:t> </w:t>
      </w:r>
    </w:p>
    <w:p w14:paraId="32B4D100"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No guarantee.</w:t>
      </w:r>
      <w:r>
        <w:rPr>
          <w:rFonts w:ascii="Calibri" w:eastAsia="Times New Roman" w:hAnsi="Calibri" w:cs="Calibri"/>
          <w:color w:val="222233"/>
          <w:sz w:val="21"/>
          <w:szCs w:val="21"/>
        </w:rPr>
        <w:t xml:space="preserve"> The undertakings in this clause 12 are contractual obligations. They are </w:t>
      </w:r>
      <w:r>
        <w:rPr>
          <w:rStyle w:val="Fett"/>
          <w:rFonts w:ascii="Calibri" w:eastAsia="Times New Roman" w:hAnsi="Calibri" w:cs="Calibri"/>
          <w:color w:val="222233"/>
          <w:sz w:val="21"/>
          <w:szCs w:val="21"/>
        </w:rPr>
        <w:t>not guarantees (Garantien) or warranted characteristics within the meaning of clause 13.1</w:t>
      </w:r>
      <w:r>
        <w:rPr>
          <w:rFonts w:ascii="Calibri" w:eastAsia="Times New Roman" w:hAnsi="Calibri" w:cs="Calibri"/>
          <w:color w:val="222233"/>
          <w:sz w:val="21"/>
          <w:szCs w:val="21"/>
        </w:rPr>
        <w:t>, and neither party's conduct is to be construed as assuming one. Liability for their breach follows clause 13.2.</w:t>
      </w:r>
    </w:p>
    <w:p w14:paraId="5DC2BCA6" w14:textId="77777777" w:rsidR="00223A6C" w:rsidRDefault="00223A6C">
      <w:pPr>
        <w:pStyle w:val="berschrift2"/>
        <w:rPr>
          <w:rFonts w:eastAsia="Times New Roman"/>
        </w:rPr>
      </w:pPr>
      <w:bookmarkStart w:id="14" w:name="_Toc241436704"/>
      <w:r>
        <w:rPr>
          <w:rFonts w:eastAsia="Times New Roman"/>
        </w:rPr>
        <w:t>13 Liability</w:t>
      </w:r>
      <w:bookmarkEnd w:id="14"/>
    </w:p>
    <w:p w14:paraId="12CC095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13.1</w:t>
      </w:r>
      <w:r>
        <w:rPr>
          <w:rFonts w:ascii="Calibri" w:hAnsi="Calibri" w:cs="Calibri"/>
          <w:b/>
          <w:bCs/>
          <w:color w:val="222233"/>
          <w:sz w:val="21"/>
          <w:szCs w:val="21"/>
        </w:rPr>
        <w:t> </w:t>
      </w:r>
    </w:p>
    <w:p w14:paraId="3890258E"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is liable without limitation for intent and gross negligence, for injury to life, body or health, under the Produkthaftungsgesetz, for guarantees given, and for fraudulently concealed defects.</w:t>
      </w:r>
    </w:p>
    <w:p w14:paraId="0CFD7A3A"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13.2</w:t>
      </w:r>
      <w:r>
        <w:rPr>
          <w:rFonts w:ascii="Calibri" w:hAnsi="Calibri" w:cs="Calibri"/>
          <w:b/>
          <w:bCs/>
          <w:color w:val="222233"/>
          <w:sz w:val="21"/>
          <w:szCs w:val="21"/>
        </w:rPr>
        <w:t> </w:t>
      </w:r>
    </w:p>
    <w:p w14:paraId="7346BB0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In cases of slight negligence Founders1 is liable only for breach of an obligation essential to the purpose of this Agreement, limited to the foreseeable damage typical for this type of contract, and in aggregate per contract year to </w:t>
      </w:r>
      <w:r>
        <w:rPr>
          <w:rStyle w:val="Fett"/>
          <w:rFonts w:ascii="Calibri" w:hAnsi="Calibri" w:cs="Calibri"/>
          <w:color w:val="222233"/>
          <w:sz w:val="21"/>
          <w:szCs w:val="21"/>
        </w:rPr>
        <w:t>the Fixed Fees paid under clause 8.2 in the preceding twelve months, and at least EUR [●]</w:t>
      </w:r>
      <w:r>
        <w:rPr>
          <w:rFonts w:ascii="Calibri" w:hAnsi="Calibri" w:cs="Calibri"/>
          <w:color w:val="222233"/>
          <w:sz w:val="21"/>
          <w:szCs w:val="21"/>
        </w:rPr>
        <w:t>. Procurement cost paid under clauses 8.2 and 8.7 is a pass-through of third-party cost and does not form part of the Fixed Fees.</w:t>
      </w:r>
    </w:p>
    <w:p w14:paraId="7B8262C5"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13.3</w:t>
      </w:r>
      <w:r>
        <w:rPr>
          <w:rFonts w:ascii="Calibri" w:hAnsi="Calibri" w:cs="Calibri"/>
          <w:b/>
          <w:bCs/>
          <w:color w:val="222233"/>
          <w:sz w:val="21"/>
          <w:szCs w:val="21"/>
        </w:rPr>
        <w:t> </w:t>
      </w:r>
    </w:p>
    <w:p w14:paraId="54140E62"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is not liable for decisions taken by STP or an End Client on the basis of registry content, nor for the regulatory consequences of an End Client's own AML assessment.</w:t>
      </w:r>
    </w:p>
    <w:p w14:paraId="2078B852" w14:textId="77777777" w:rsidR="00223A6C" w:rsidRDefault="00223A6C">
      <w:pPr>
        <w:pStyle w:val="berschrift2"/>
        <w:rPr>
          <w:rFonts w:eastAsia="Times New Roman"/>
        </w:rPr>
      </w:pPr>
      <w:bookmarkStart w:id="15" w:name="_Toc241436705"/>
      <w:r>
        <w:rPr>
          <w:rFonts w:eastAsia="Times New Roman"/>
        </w:rPr>
        <w:t>14 Term and termination</w:t>
      </w:r>
      <w:bookmarkEnd w:id="15"/>
    </w:p>
    <w:p w14:paraId="5243D8C9"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14.1</w:t>
      </w:r>
      <w:r>
        <w:rPr>
          <w:rFonts w:ascii="Calibri" w:hAnsi="Calibri" w:cs="Calibri"/>
          <w:b/>
          <w:bCs/>
          <w:color w:val="222233"/>
          <w:sz w:val="21"/>
          <w:szCs w:val="21"/>
        </w:rPr>
        <w:t> </w:t>
      </w:r>
    </w:p>
    <w:p w14:paraId="0FE07D4D"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The Agreement begins on signature and runs for a </w:t>
      </w:r>
      <w:r>
        <w:rPr>
          <w:rStyle w:val="Fett"/>
          <w:rFonts w:ascii="Calibri" w:hAnsi="Calibri" w:cs="Calibri"/>
          <w:color w:val="222233"/>
          <w:sz w:val="21"/>
          <w:szCs w:val="21"/>
        </w:rPr>
        <w:t>pilot term of 6 months</w:t>
      </w:r>
      <w:r>
        <w:rPr>
          <w:rFonts w:ascii="Calibri" w:hAnsi="Calibri" w:cs="Calibri"/>
          <w:color w:val="222233"/>
          <w:sz w:val="21"/>
          <w:szCs w:val="21"/>
        </w:rPr>
        <w:t xml:space="preserve">. It then renews for </w:t>
      </w:r>
      <w:r>
        <w:rPr>
          <w:rStyle w:val="Fett"/>
          <w:rFonts w:ascii="Calibri" w:hAnsi="Calibri" w:cs="Calibri"/>
          <w:color w:val="222233"/>
          <w:sz w:val="21"/>
          <w:szCs w:val="21"/>
        </w:rPr>
        <w:t>12 months</w:t>
      </w:r>
      <w:r>
        <w:rPr>
          <w:rFonts w:ascii="Calibri" w:hAnsi="Calibri" w:cs="Calibri"/>
          <w:color w:val="222233"/>
          <w:sz w:val="21"/>
          <w:szCs w:val="21"/>
        </w:rPr>
        <w:t>, and thereafter by 12 months at a time, unless terminated with one month's notice to the end of the pilot term or with three months' notice to the end of any later term.</w:t>
      </w:r>
    </w:p>
    <w:p w14:paraId="3233A420"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14.2</w:t>
      </w:r>
      <w:r>
        <w:rPr>
          <w:rFonts w:ascii="Calibri" w:hAnsi="Calibri" w:cs="Calibri"/>
          <w:b/>
          <w:bCs/>
          <w:color w:val="222233"/>
          <w:sz w:val="21"/>
          <w:szCs w:val="21"/>
        </w:rPr>
        <w:t> </w:t>
      </w:r>
    </w:p>
    <w:p w14:paraId="022C3F76"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The right to terminate for cause remains unaffected.</w:t>
      </w:r>
    </w:p>
    <w:p w14:paraId="768B518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14.2a</w:t>
      </w:r>
      <w:r>
        <w:rPr>
          <w:rFonts w:ascii="Calibri" w:hAnsi="Calibri" w:cs="Calibri"/>
          <w:b/>
          <w:bCs/>
          <w:color w:val="222233"/>
          <w:sz w:val="21"/>
          <w:szCs w:val="21"/>
        </w:rPr>
        <w:t> </w:t>
      </w:r>
    </w:p>
    <w:p w14:paraId="59C49D90"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Loss of supply.</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Where Founders1 permanently loses the ability to procure in a jurisdiction, it notifies STP without undue delay and that jurisdiction falls away; STP owes nothing further for it. A loss of supply exists only where (a) the register closes, or ceases or restricts supply, (b) a legal or sanctions bar prevents procurement, or (c) the supplier through which Founders1 procures in that jurisdiction ceases to supply and no replacement is available within 60 days. </w:t>
      </w:r>
      <w:r>
        <w:rPr>
          <w:rStyle w:val="Fett"/>
          <w:rFonts w:ascii="Calibri" w:eastAsia="Times New Roman" w:hAnsi="Calibri" w:cs="Calibri"/>
          <w:color w:val="222233"/>
          <w:sz w:val="21"/>
          <w:szCs w:val="21"/>
        </w:rPr>
        <w:t>A decision by Founders1 to stop serving a jurisdiction that remains procurable is not a loss of supply.</w:t>
      </w:r>
      <w:r>
        <w:rPr>
          <w:rFonts w:ascii="Calibri" w:eastAsia="Times New Roman" w:hAnsi="Calibri" w:cs="Calibri"/>
          <w:color w:val="222233"/>
          <w:sz w:val="21"/>
          <w:szCs w:val="21"/>
        </w:rPr>
        <w:t xml:space="preserve"> Where a replacement is available only at a higher cost, clause 8.6 applies. Where a loss of supply affects jurisdictions accounting for more than half of the Cases placed in the preceding six months, either party may terminate this Agreement on 30 days' notice, and the minimum under clause 8.4 does not accrue after that notice.</w:t>
      </w:r>
    </w:p>
    <w:p w14:paraId="66DD7A26"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14.3</w:t>
      </w:r>
      <w:r>
        <w:rPr>
          <w:rFonts w:ascii="Calibri" w:hAnsi="Calibri" w:cs="Calibri"/>
          <w:b/>
          <w:bCs/>
          <w:color w:val="222233"/>
          <w:sz w:val="21"/>
          <w:szCs w:val="21"/>
        </w:rPr>
        <w:t> </w:t>
      </w:r>
    </w:p>
    <w:p w14:paraId="59A3DFA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On termination the right to place Cases ends. </w:t>
      </w:r>
      <w:r>
        <w:rPr>
          <w:rStyle w:val="Fett"/>
          <w:rFonts w:ascii="Calibri" w:hAnsi="Calibri" w:cs="Calibri"/>
          <w:color w:val="222233"/>
          <w:sz w:val="21"/>
          <w:szCs w:val="21"/>
        </w:rPr>
        <w:t>Clause 3.5 survives for Documents already delivered.</w:t>
      </w:r>
      <w:r>
        <w:rPr>
          <w:rFonts w:ascii="Calibri" w:hAnsi="Calibri" w:cs="Calibri"/>
          <w:color w:val="222233"/>
          <w:sz w:val="21"/>
          <w:szCs w:val="21"/>
        </w:rPr>
        <w:t xml:space="preserve"> For 90 days after termination STP may retrieve and export its Case records and the Documents delivered to it; Founders1 owes no retrieval after that period. Clauses 5, 10, 11 and 13 survive, clause 5.2 for the period stated in it, and clause 6.2a for the period stated in it.</w:t>
      </w:r>
    </w:p>
    <w:p w14:paraId="7EC8711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14.4</w:t>
      </w:r>
      <w:r>
        <w:rPr>
          <w:rFonts w:ascii="Calibri" w:hAnsi="Calibri" w:cs="Calibri"/>
          <w:b/>
          <w:bCs/>
          <w:color w:val="222233"/>
          <w:sz w:val="21"/>
          <w:szCs w:val="21"/>
        </w:rPr>
        <w:t> </w:t>
      </w:r>
    </w:p>
    <w:p w14:paraId="6AA88F78"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Documents held by Founders1 are retained and deleted according to the retention rules in Annex 1.</w:t>
      </w:r>
    </w:p>
    <w:p w14:paraId="5F94ED4C" w14:textId="77777777" w:rsidR="00223A6C" w:rsidRDefault="00223A6C">
      <w:pPr>
        <w:pStyle w:val="berschrift2"/>
        <w:rPr>
          <w:rFonts w:eastAsia="Times New Roman"/>
        </w:rPr>
      </w:pPr>
      <w:bookmarkStart w:id="16" w:name="_Toc241436706"/>
      <w:r>
        <w:rPr>
          <w:rFonts w:eastAsia="Times New Roman"/>
        </w:rPr>
        <w:t>15 Final provisions</w:t>
      </w:r>
      <w:bookmarkEnd w:id="16"/>
    </w:p>
    <w:p w14:paraId="6F605C5D"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1</w:t>
      </w:r>
    </w:p>
    <w:p w14:paraId="5EC4613B" w14:textId="77777777" w:rsidR="00223A6C" w:rsidRDefault="00223A6C">
      <w:pPr>
        <w:ind w:left="720"/>
        <w:rPr>
          <w:rFonts w:ascii="Calibri" w:eastAsia="Times New Roman" w:hAnsi="Calibri" w:cs="Calibri"/>
          <w:color w:val="222233"/>
          <w:sz w:val="21"/>
          <w:szCs w:val="21"/>
        </w:rPr>
      </w:pPr>
      <w:r>
        <w:rPr>
          <w:rFonts w:ascii="Calibri" w:eastAsia="Times New Roman" w:hAnsi="Calibri" w:cs="Calibri"/>
          <w:color w:val="222233"/>
          <w:sz w:val="21"/>
          <w:szCs w:val="21"/>
        </w:rPr>
        <w:t>Service description and reseller use</w:t>
      </w:r>
    </w:p>
    <w:p w14:paraId="2ED3019B"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2</w:t>
      </w:r>
    </w:p>
    <w:p w14:paraId="6FF163BC" w14:textId="77777777" w:rsidR="00223A6C" w:rsidRDefault="00223A6C">
      <w:pPr>
        <w:ind w:left="720"/>
        <w:rPr>
          <w:rFonts w:ascii="Calibri" w:eastAsia="Times New Roman" w:hAnsi="Calibri" w:cs="Calibri"/>
          <w:color w:val="222233"/>
          <w:sz w:val="21"/>
          <w:szCs w:val="21"/>
        </w:rPr>
      </w:pPr>
      <w:r>
        <w:rPr>
          <w:rFonts w:ascii="Calibri" w:eastAsia="Times New Roman" w:hAnsi="Calibri" w:cs="Calibri"/>
          <w:color w:val="222233"/>
          <w:sz w:val="21"/>
          <w:szCs w:val="21"/>
        </w:rPr>
        <w:t>Jurisdictions, procurement costs, surcharges, turnaround and end-client rights</w:t>
      </w:r>
    </w:p>
    <w:p w14:paraId="1A8C07A1"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3</w:t>
      </w:r>
    </w:p>
    <w:p w14:paraId="090D675C" w14:textId="77777777" w:rsidR="00223A6C" w:rsidRDefault="00223A6C">
      <w:pPr>
        <w:ind w:left="720"/>
        <w:rPr>
          <w:rFonts w:ascii="Calibri" w:eastAsia="Times New Roman" w:hAnsi="Calibri" w:cs="Calibri"/>
          <w:color w:val="222233"/>
          <w:sz w:val="21"/>
          <w:szCs w:val="21"/>
        </w:rPr>
      </w:pPr>
      <w:r>
        <w:rPr>
          <w:rFonts w:ascii="Calibri" w:eastAsia="Times New Roman" w:hAnsi="Calibri" w:cs="Calibri"/>
          <w:color w:val="222233"/>
          <w:sz w:val="21"/>
          <w:szCs w:val="21"/>
        </w:rPr>
        <w:t>Data protection arrangement between independent controllers</w:t>
      </w:r>
    </w:p>
    <w:p w14:paraId="6242ECEB"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4</w:t>
      </w:r>
    </w:p>
    <w:p w14:paraId="3C87CB90" w14:textId="77777777" w:rsidR="00223A6C" w:rsidRDefault="00223A6C">
      <w:pPr>
        <w:ind w:left="720"/>
        <w:rPr>
          <w:rFonts w:ascii="Calibri" w:eastAsia="Times New Roman" w:hAnsi="Calibri" w:cs="Calibri"/>
          <w:color w:val="222233"/>
          <w:sz w:val="21"/>
          <w:szCs w:val="21"/>
        </w:rPr>
      </w:pPr>
      <w:r>
        <w:rPr>
          <w:rStyle w:val="Hervorhebung"/>
          <w:rFonts w:ascii="Calibri" w:eastAsia="Times New Roman" w:hAnsi="Calibri" w:cs="Calibri"/>
          <w:color w:val="222233"/>
          <w:sz w:val="21"/>
          <w:szCs w:val="21"/>
        </w:rPr>
        <w:t>(deleted)</w:t>
      </w:r>
    </w:p>
    <w:p w14:paraId="40992522"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5</w:t>
      </w:r>
    </w:p>
    <w:p w14:paraId="4E3270AD" w14:textId="77777777" w:rsidR="00223A6C" w:rsidRDefault="00223A6C">
      <w:pPr>
        <w:ind w:left="720"/>
        <w:rPr>
          <w:rFonts w:ascii="Calibri" w:eastAsia="Times New Roman" w:hAnsi="Calibri" w:cs="Calibri"/>
          <w:color w:val="222233"/>
          <w:sz w:val="21"/>
          <w:szCs w:val="21"/>
        </w:rPr>
      </w:pPr>
      <w:r>
        <w:rPr>
          <w:rStyle w:val="Hervorhebung"/>
          <w:rFonts w:ascii="Calibri" w:eastAsia="Times New Roman" w:hAnsi="Calibri" w:cs="Calibri"/>
          <w:color w:val="222233"/>
          <w:sz w:val="21"/>
          <w:szCs w:val="21"/>
        </w:rPr>
        <w:t>(deleted)</w:t>
      </w:r>
    </w:p>
    <w:p w14:paraId="00198933"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15.1</w:t>
      </w:r>
      <w:r>
        <w:rPr>
          <w:rFonts w:ascii="Calibri" w:hAnsi="Calibri" w:cs="Calibri"/>
          <w:b/>
          <w:bCs/>
          <w:color w:val="222233"/>
          <w:sz w:val="21"/>
          <w:szCs w:val="21"/>
        </w:rPr>
        <w:t> </w:t>
      </w:r>
    </w:p>
    <w:p w14:paraId="6EB10FA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Amendments require written form, including any amendment of this clause. There are no side agreements.</w:t>
      </w:r>
    </w:p>
    <w:p w14:paraId="19B2D80F"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15.2</w:t>
      </w:r>
      <w:r>
        <w:rPr>
          <w:rFonts w:ascii="Calibri" w:hAnsi="Calibri" w:cs="Calibri"/>
          <w:b/>
          <w:bCs/>
          <w:color w:val="222233"/>
          <w:sz w:val="21"/>
          <w:szCs w:val="21"/>
        </w:rPr>
        <w:t> </w:t>
      </w:r>
    </w:p>
    <w:p w14:paraId="7D177CE8"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Neither party may assign this Agreement without the other's consent, which will not be unreasonably withheld. Consent is not required for an assignment to an Affiliate. For an assignment to a successor in the business concerned, consent may be withheld where the successor is a competitor of the other party in the services covered by this Agreement.</w:t>
      </w:r>
    </w:p>
    <w:p w14:paraId="091FB8BC"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15.3</w:t>
      </w:r>
      <w:r>
        <w:rPr>
          <w:rFonts w:ascii="Calibri" w:hAnsi="Calibri" w:cs="Calibri"/>
          <w:b/>
          <w:bCs/>
          <w:color w:val="222233"/>
          <w:sz w:val="21"/>
          <w:szCs w:val="21"/>
        </w:rPr>
        <w:t> </w:t>
      </w:r>
    </w:p>
    <w:p w14:paraId="20FEBFDE"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German law applies, excluding the UN Convention on Contracts for the International Sale of Goods. Place of jurisdiction is </w:t>
      </w:r>
      <w:r>
        <w:rPr>
          <w:rStyle w:val="Fett"/>
          <w:rFonts w:ascii="Calibri" w:hAnsi="Calibri" w:cs="Calibri"/>
          <w:color w:val="222233"/>
          <w:sz w:val="21"/>
          <w:szCs w:val="21"/>
        </w:rPr>
        <w:t>Frankfurt am Main</w:t>
      </w:r>
      <w:r>
        <w:rPr>
          <w:rFonts w:ascii="Calibri" w:hAnsi="Calibri" w:cs="Calibri"/>
          <w:color w:val="222233"/>
          <w:sz w:val="21"/>
          <w:szCs w:val="21"/>
        </w:rPr>
        <w:t>.</w:t>
      </w:r>
    </w:p>
    <w:p w14:paraId="68136AA2"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15.4</w:t>
      </w:r>
      <w:r>
        <w:rPr>
          <w:rFonts w:ascii="Calibri" w:hAnsi="Calibri" w:cs="Calibri"/>
          <w:b/>
          <w:bCs/>
          <w:color w:val="222233"/>
          <w:sz w:val="21"/>
          <w:szCs w:val="21"/>
        </w:rPr>
        <w:t> </w:t>
      </w:r>
    </w:p>
    <w:p w14:paraId="4BEEB187"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Should a provision be or become invalid, the remainder stays in force.</w:t>
      </w:r>
    </w:p>
    <w:p w14:paraId="1F1D585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15.5</w:t>
      </w:r>
      <w:r>
        <w:rPr>
          <w:rFonts w:ascii="Calibri" w:hAnsi="Calibri" w:cs="Calibri"/>
          <w:b/>
          <w:bCs/>
          <w:color w:val="222233"/>
          <w:sz w:val="21"/>
          <w:szCs w:val="21"/>
        </w:rPr>
        <w:t> </w:t>
      </w:r>
    </w:p>
    <w:p w14:paraId="43D3DD33"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Independent parties.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STP acts as an independent reseller in its own name and for its own account (clause 2.1), sets its own prices (clause 8.1), bears the credit risk on its End Clients, and decides for itself whether and on what terms to conclude. This Agreement establishes no commercial agency (Handelsvertreterverhältnis), no commission agency (Kommission), no partnership, no joint venture and no company under German law. Neither party may bind the other. STP is not obliged to transfer its End Client base to Founders1 during </w:t>
      </w:r>
      <w:r>
        <w:rPr>
          <w:rFonts w:ascii="Calibri" w:eastAsia="Times New Roman" w:hAnsi="Calibri" w:cs="Calibri"/>
          <w:color w:val="222233"/>
          <w:sz w:val="21"/>
          <w:szCs w:val="21"/>
        </w:rPr>
        <w:t>the term or on termination; information about End Clients transmitted under clause 8.5 serves settlement and audit only, is limited to STP's own references rather than End Client names (clause 8.5), and is subject to clauses 6.2 and 6.2a.</w:t>
      </w:r>
    </w:p>
    <w:p w14:paraId="31D9B935"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15.6</w:t>
      </w:r>
      <w:r>
        <w:rPr>
          <w:rFonts w:ascii="Calibri" w:hAnsi="Calibri" w:cs="Calibri"/>
          <w:b/>
          <w:bCs/>
          <w:color w:val="222233"/>
          <w:sz w:val="21"/>
          <w:szCs w:val="21"/>
        </w:rPr>
        <w:t> </w:t>
      </w:r>
    </w:p>
    <w:p w14:paraId="08A2EB44"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Annexes, each forming part of this Agreement:</w:t>
      </w:r>
    </w:p>
    <w:p w14:paraId="6D284E57"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1</w:t>
      </w:r>
    </w:p>
    <w:p w14:paraId="3E525A1D" w14:textId="77777777" w:rsidR="00223A6C" w:rsidRDefault="00223A6C">
      <w:pPr>
        <w:ind w:left="720"/>
        <w:rPr>
          <w:rFonts w:ascii="Calibri" w:eastAsia="Times New Roman" w:hAnsi="Calibri" w:cs="Calibri"/>
          <w:color w:val="222233"/>
          <w:sz w:val="21"/>
          <w:szCs w:val="21"/>
        </w:rPr>
      </w:pPr>
      <w:r>
        <w:rPr>
          <w:rFonts w:ascii="Calibri" w:eastAsia="Times New Roman" w:hAnsi="Calibri" w:cs="Calibri"/>
          <w:color w:val="222233"/>
          <w:sz w:val="21"/>
          <w:szCs w:val="21"/>
        </w:rPr>
        <w:t>Service description and reseller use</w:t>
      </w:r>
    </w:p>
    <w:p w14:paraId="7857E3C6"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2</w:t>
      </w:r>
    </w:p>
    <w:p w14:paraId="5ECA0994" w14:textId="77777777" w:rsidR="00223A6C" w:rsidRDefault="00223A6C">
      <w:pPr>
        <w:ind w:left="720"/>
        <w:rPr>
          <w:rFonts w:ascii="Calibri" w:eastAsia="Times New Roman" w:hAnsi="Calibri" w:cs="Calibri"/>
          <w:color w:val="222233"/>
          <w:sz w:val="21"/>
          <w:szCs w:val="21"/>
        </w:rPr>
      </w:pPr>
      <w:r>
        <w:rPr>
          <w:rFonts w:ascii="Calibri" w:eastAsia="Times New Roman" w:hAnsi="Calibri" w:cs="Calibri"/>
          <w:color w:val="222233"/>
          <w:sz w:val="21"/>
          <w:szCs w:val="21"/>
        </w:rPr>
        <w:t>Jurisdictions, procurement costs, surcharges, turnaround and end-client rights</w:t>
      </w:r>
    </w:p>
    <w:p w14:paraId="07DE6D47"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3</w:t>
      </w:r>
    </w:p>
    <w:p w14:paraId="7B12EF97" w14:textId="77777777" w:rsidR="00223A6C" w:rsidRDefault="00223A6C">
      <w:pPr>
        <w:ind w:left="720"/>
        <w:rPr>
          <w:rFonts w:ascii="Calibri" w:eastAsia="Times New Roman" w:hAnsi="Calibri" w:cs="Calibri"/>
          <w:color w:val="222233"/>
          <w:sz w:val="21"/>
          <w:szCs w:val="21"/>
        </w:rPr>
      </w:pPr>
      <w:r>
        <w:rPr>
          <w:rFonts w:ascii="Calibri" w:eastAsia="Times New Roman" w:hAnsi="Calibri" w:cs="Calibri"/>
          <w:color w:val="222233"/>
          <w:sz w:val="21"/>
          <w:szCs w:val="21"/>
        </w:rPr>
        <w:t>Data protection arrangement between independent controllers</w:t>
      </w:r>
    </w:p>
    <w:p w14:paraId="207E79E8"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4</w:t>
      </w:r>
    </w:p>
    <w:p w14:paraId="2F176B1C" w14:textId="77777777" w:rsidR="00223A6C" w:rsidRDefault="00223A6C">
      <w:pPr>
        <w:ind w:left="720"/>
        <w:rPr>
          <w:rFonts w:ascii="Calibri" w:eastAsia="Times New Roman" w:hAnsi="Calibri" w:cs="Calibri"/>
          <w:color w:val="222233"/>
          <w:sz w:val="21"/>
          <w:szCs w:val="21"/>
        </w:rPr>
      </w:pPr>
      <w:r>
        <w:rPr>
          <w:rStyle w:val="Hervorhebung"/>
          <w:rFonts w:ascii="Calibri" w:eastAsia="Times New Roman" w:hAnsi="Calibri" w:cs="Calibri"/>
          <w:color w:val="222233"/>
          <w:sz w:val="21"/>
          <w:szCs w:val="21"/>
        </w:rPr>
        <w:t>(deleted)</w:t>
      </w:r>
    </w:p>
    <w:p w14:paraId="3074E2FF"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5</w:t>
      </w:r>
    </w:p>
    <w:p w14:paraId="0F35119A" w14:textId="77777777" w:rsidR="00223A6C" w:rsidRDefault="00223A6C">
      <w:pPr>
        <w:ind w:left="720"/>
        <w:rPr>
          <w:rFonts w:ascii="Calibri" w:eastAsia="Times New Roman" w:hAnsi="Calibri" w:cs="Calibri"/>
          <w:color w:val="222233"/>
          <w:sz w:val="21"/>
          <w:szCs w:val="21"/>
        </w:rPr>
      </w:pPr>
      <w:r>
        <w:rPr>
          <w:rStyle w:val="Hervorhebung"/>
          <w:rFonts w:ascii="Calibri" w:eastAsia="Times New Roman" w:hAnsi="Calibri" w:cs="Calibri"/>
          <w:color w:val="222233"/>
          <w:sz w:val="21"/>
          <w:szCs w:val="21"/>
        </w:rPr>
        <w:t>(deleted)</w:t>
      </w:r>
    </w:p>
    <w:p w14:paraId="01F106EF" w14:textId="77777777" w:rsidR="00223A6C" w:rsidRDefault="00223A6C">
      <w:pPr>
        <w:pStyle w:val="berschrift2"/>
        <w:rPr>
          <w:rFonts w:eastAsia="Times New Roman"/>
        </w:rPr>
      </w:pPr>
      <w:bookmarkStart w:id="17" w:name="_Toc241436707"/>
      <w:r>
        <w:rPr>
          <w:rFonts w:eastAsia="Times New Roman"/>
        </w:rPr>
        <w:t>Signatures</w:t>
      </w:r>
      <w:bookmarkEnd w:id="17"/>
    </w:p>
    <w:p w14:paraId="16A3A4F7"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GmbH</w:t>
      </w:r>
    </w:p>
    <w:p w14:paraId="1EFC5CAB"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w:t>
      </w:r>
    </w:p>
    <w:p w14:paraId="527BDACC"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_________________________________</w:t>
      </w:r>
    </w:p>
    <w:p w14:paraId="7485934E" w14:textId="77777777" w:rsidR="00223A6C" w:rsidRDefault="00223A6C">
      <w:pPr>
        <w:pStyle w:val="meta"/>
        <w:rPr>
          <w:rFonts w:ascii="Calibri" w:hAnsi="Calibri" w:cs="Calibri"/>
        </w:rPr>
      </w:pPr>
      <w:r>
        <w:rPr>
          <w:rFonts w:ascii="Calibri" w:hAnsi="Calibri" w:cs="Calibri"/>
        </w:rPr>
        <w:t>Place, date, signature — Eckhard Ortwein</w:t>
      </w:r>
    </w:p>
    <w:p w14:paraId="43711750"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Business Information GmbH</w:t>
      </w:r>
    </w:p>
    <w:p w14:paraId="64983B31"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w:t>
      </w:r>
    </w:p>
    <w:p w14:paraId="3F23AC8E"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_________________________________</w:t>
      </w:r>
    </w:p>
    <w:p w14:paraId="569F90B0" w14:textId="77777777" w:rsidR="00223A6C" w:rsidRDefault="00223A6C">
      <w:pPr>
        <w:pStyle w:val="meta"/>
        <w:rPr>
          <w:rFonts w:ascii="Calibri" w:hAnsi="Calibri" w:cs="Calibri"/>
        </w:rPr>
      </w:pPr>
      <w:r>
        <w:rPr>
          <w:rFonts w:ascii="Calibri" w:hAnsi="Calibri" w:cs="Calibri"/>
        </w:rPr>
        <w:t>Place, date, signature</w:t>
      </w:r>
    </w:p>
    <w:p w14:paraId="427E8641" w14:textId="77777777" w:rsidR="00223A6C" w:rsidRDefault="00223A6C">
      <w:pPr>
        <w:pStyle w:val="pagebreak"/>
        <w:spacing w:after="120"/>
        <w:rPr>
          <w:rFonts w:ascii="Calibri" w:hAnsi="Calibri" w:cs="Calibri"/>
          <w:color w:val="222233"/>
          <w:sz w:val="21"/>
          <w:szCs w:val="21"/>
        </w:rPr>
      </w:pPr>
      <w:r>
        <w:rPr>
          <w:rFonts w:ascii="Calibri" w:hAnsi="Calibri" w:cs="Calibri"/>
          <w:color w:val="222233"/>
          <w:sz w:val="21"/>
          <w:szCs w:val="21"/>
        </w:rPr>
        <w:t> </w:t>
      </w:r>
    </w:p>
    <w:p w14:paraId="0AF14F0C" w14:textId="77777777" w:rsidR="00223A6C" w:rsidRDefault="00223A6C">
      <w:pPr>
        <w:pStyle w:val="kicker"/>
        <w:rPr>
          <w:rFonts w:ascii="Calibri" w:hAnsi="Calibri" w:cs="Calibri"/>
        </w:rPr>
      </w:pPr>
      <w:r>
        <w:rPr>
          <w:rFonts w:ascii="Calibri" w:hAnsi="Calibri" w:cs="Calibri"/>
        </w:rPr>
        <w:t>Annex 1 to the Reseller Agreement</w:t>
      </w:r>
    </w:p>
    <w:p w14:paraId="66723442" w14:textId="77777777" w:rsidR="00223A6C" w:rsidRDefault="00223A6C">
      <w:pPr>
        <w:pStyle w:val="berschrift1"/>
        <w:rPr>
          <w:rFonts w:eastAsia="Times New Roman"/>
        </w:rPr>
      </w:pPr>
      <w:bookmarkStart w:id="18" w:name="_Toc241436708"/>
      <w:r>
        <w:rPr>
          <w:rFonts w:eastAsia="Times New Roman"/>
        </w:rPr>
        <w:t>Service description and reseller use</w:t>
      </w:r>
      <w:bookmarkEnd w:id="18"/>
    </w:p>
    <w:p w14:paraId="464BAAF5" w14:textId="77777777" w:rsidR="00223A6C" w:rsidRDefault="00223A6C">
      <w:pPr>
        <w:pStyle w:val="meta"/>
        <w:rPr>
          <w:rFonts w:ascii="Calibri" w:hAnsi="Calibri" w:cs="Calibri"/>
        </w:rPr>
      </w:pPr>
      <w:r>
        <w:rPr>
          <w:rFonts w:ascii="Calibri" w:hAnsi="Calibri" w:cs="Calibri"/>
        </w:rPr>
        <w:t>Founders1 GmbH — STP Business Information GmbH · Draft 2, 24 September 2026</w:t>
      </w:r>
    </w:p>
    <w:p w14:paraId="5FEA50D1" w14:textId="77777777" w:rsidR="00223A6C" w:rsidRDefault="00223A6C">
      <w:pPr>
        <w:pStyle w:val="berschrift2"/>
        <w:rPr>
          <w:rFonts w:eastAsia="Times New Roman"/>
        </w:rPr>
      </w:pPr>
      <w:bookmarkStart w:id="19" w:name="_Toc241436709"/>
      <w:r>
        <w:rPr>
          <w:rFonts w:eastAsia="Times New Roman"/>
        </w:rPr>
        <w:t>1.1 What the service provides</w:t>
      </w:r>
      <w:bookmarkEnd w:id="19"/>
    </w:p>
    <w:p w14:paraId="3B2B5DA2"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Founders1 supplies </w:t>
      </w:r>
      <w:r>
        <w:rPr>
          <w:rStyle w:val="Fett"/>
          <w:rFonts w:ascii="Calibri" w:hAnsi="Calibri" w:cs="Calibri"/>
          <w:color w:val="222233"/>
          <w:sz w:val="21"/>
          <w:szCs w:val="21"/>
        </w:rPr>
        <w:t>company registry documents and registry data</w:t>
      </w:r>
      <w:r>
        <w:rPr>
          <w:rFonts w:ascii="Calibri" w:hAnsi="Calibri" w:cs="Calibri"/>
          <w:color w:val="222233"/>
          <w:sz w:val="21"/>
          <w:szCs w:val="21"/>
        </w:rPr>
        <w:t xml:space="preserve"> for the jurisdictions listed in Annex 2, through BetterCo. Per company — one </w:t>
      </w:r>
      <w:r>
        <w:rPr>
          <w:rStyle w:val="Fett"/>
          <w:rFonts w:ascii="Calibri" w:hAnsi="Calibri" w:cs="Calibri"/>
          <w:color w:val="222233"/>
          <w:sz w:val="21"/>
          <w:szCs w:val="21"/>
        </w:rPr>
        <w:t>case</w:t>
      </w:r>
      <w:r>
        <w:rPr>
          <w:rFonts w:ascii="Calibri" w:hAnsi="Calibri" w:cs="Calibri"/>
          <w:color w:val="222233"/>
          <w:sz w:val="21"/>
          <w:szCs w:val="21"/>
        </w:rPr>
        <w:t xml:space="preserve"> — Founders1 procures and delivers:</w:t>
      </w:r>
    </w:p>
    <w:p w14:paraId="09B3E56C" w14:textId="77777777" w:rsidR="00223A6C" w:rsidRDefault="00223A6C">
      <w:pPr>
        <w:numPr>
          <w:ilvl w:val="0"/>
          <w:numId w:val="1"/>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the </w:t>
      </w:r>
      <w:r>
        <w:rPr>
          <w:rStyle w:val="Fett"/>
          <w:rFonts w:ascii="Calibri" w:eastAsia="Times New Roman" w:hAnsi="Calibri" w:cs="Calibri"/>
          <w:color w:val="222233"/>
          <w:sz w:val="21"/>
          <w:szCs w:val="21"/>
        </w:rPr>
        <w:t>registry extract</w:t>
      </w:r>
      <w:r>
        <w:rPr>
          <w:rFonts w:ascii="Calibri" w:eastAsia="Times New Roman" w:hAnsi="Calibri" w:cs="Calibri"/>
          <w:color w:val="222233"/>
          <w:sz w:val="21"/>
          <w:szCs w:val="21"/>
        </w:rPr>
        <w:t xml:space="preserve">, the </w:t>
      </w:r>
      <w:r>
        <w:rPr>
          <w:rStyle w:val="Fett"/>
          <w:rFonts w:ascii="Calibri" w:eastAsia="Times New Roman" w:hAnsi="Calibri" w:cs="Calibri"/>
          <w:color w:val="222233"/>
          <w:sz w:val="21"/>
          <w:szCs w:val="21"/>
        </w:rPr>
        <w:t>articles of association</w:t>
      </w:r>
      <w:r>
        <w:rPr>
          <w:rFonts w:ascii="Calibri" w:eastAsia="Times New Roman" w:hAnsi="Calibri" w:cs="Calibri"/>
          <w:color w:val="222233"/>
          <w:sz w:val="21"/>
          <w:szCs w:val="21"/>
        </w:rPr>
        <w:t xml:space="preserve"> and, where the register evidences it, the </w:t>
      </w:r>
      <w:r>
        <w:rPr>
          <w:rStyle w:val="Fett"/>
          <w:rFonts w:ascii="Calibri" w:eastAsia="Times New Roman" w:hAnsi="Calibri" w:cs="Calibri"/>
          <w:color w:val="222233"/>
          <w:sz w:val="21"/>
          <w:szCs w:val="21"/>
        </w:rPr>
        <w:t>shareholder record</w:t>
      </w:r>
      <w:r>
        <w:rPr>
          <w:rFonts w:ascii="Calibri" w:eastAsia="Times New Roman" w:hAnsi="Calibri" w:cs="Calibri"/>
          <w:color w:val="222233"/>
          <w:sz w:val="21"/>
          <w:szCs w:val="21"/>
        </w:rPr>
        <w:t>, together with the structured registry data;</w:t>
      </w:r>
    </w:p>
    <w:p w14:paraId="55752458" w14:textId="77777777" w:rsidR="00223A6C" w:rsidRDefault="00223A6C">
      <w:pPr>
        <w:numPr>
          <w:ilvl w:val="0"/>
          <w:numId w:val="1"/>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for every document: the source reference at the register, the </w:t>
      </w:r>
      <w:r>
        <w:rPr>
          <w:rStyle w:val="Fett"/>
          <w:rFonts w:ascii="Calibri" w:eastAsia="Times New Roman" w:hAnsi="Calibri" w:cs="Calibri"/>
          <w:color w:val="222233"/>
          <w:sz w:val="21"/>
          <w:szCs w:val="21"/>
        </w:rPr>
        <w:t>retrieval date</w:t>
      </w:r>
      <w:r>
        <w:rPr>
          <w:rFonts w:ascii="Calibri" w:eastAsia="Times New Roman" w:hAnsi="Calibri" w:cs="Calibri"/>
          <w:color w:val="222233"/>
          <w:sz w:val="21"/>
          <w:szCs w:val="21"/>
        </w:rPr>
        <w:t xml:space="preserve"> and, where the document carries one, the </w:t>
      </w:r>
      <w:r>
        <w:rPr>
          <w:rStyle w:val="Fett"/>
          <w:rFonts w:ascii="Calibri" w:eastAsia="Times New Roman" w:hAnsi="Calibri" w:cs="Calibri"/>
          <w:color w:val="222233"/>
          <w:sz w:val="21"/>
          <w:szCs w:val="21"/>
        </w:rPr>
        <w:t>content date</w:t>
      </w:r>
      <w:r>
        <w:rPr>
          <w:rFonts w:ascii="Calibri" w:eastAsia="Times New Roman" w:hAnsi="Calibri" w:cs="Calibri"/>
          <w:color w:val="222233"/>
          <w:sz w:val="21"/>
          <w:szCs w:val="21"/>
        </w:rPr>
        <w:t>, the document version, the evidence level, and — where the document allows it — a machine-readable text layer, since registry documents are frequently scans without one;</w:t>
      </w:r>
    </w:p>
    <w:p w14:paraId="0A002215" w14:textId="77777777" w:rsidR="00223A6C" w:rsidRDefault="00223A6C">
      <w:pPr>
        <w:numPr>
          <w:ilvl w:val="0"/>
          <w:numId w:val="1"/>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an explicit answer where a document does not exist.</w:t>
      </w:r>
    </w:p>
    <w:p w14:paraId="42283880" w14:textId="77777777" w:rsidR="00223A6C" w:rsidRDefault="00223A6C">
      <w:pPr>
        <w:pStyle w:val="berschrift2"/>
        <w:rPr>
          <w:rFonts w:eastAsia="Times New Roman"/>
        </w:rPr>
      </w:pPr>
      <w:bookmarkStart w:id="20" w:name="_Toc241436710"/>
      <w:r>
        <w:rPr>
          <w:rFonts w:eastAsia="Times New Roman"/>
        </w:rPr>
        <w:t>1.2 Evidence level</w:t>
      </w:r>
      <w:bookmarkEnd w:id="20"/>
    </w:p>
    <w:p w14:paraId="1C0C5B2C"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Not every document that carries an item of information is also evidence of it. Each delivery therefore states an </w:t>
      </w:r>
      <w:r>
        <w:rPr>
          <w:rStyle w:val="Fett"/>
          <w:rFonts w:ascii="Calibri" w:hAnsi="Calibri" w:cs="Calibri"/>
          <w:color w:val="222233"/>
          <w:sz w:val="21"/>
          <w:szCs w:val="21"/>
        </w:rPr>
        <w:t>evidence level</w:t>
      </w:r>
      <w:r>
        <w:rPr>
          <w:rFonts w:ascii="Calibri" w:hAnsi="Calibri" w:cs="Calibri"/>
          <w:color w:val="222233"/>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1030"/>
        <w:gridCol w:w="5076"/>
        <w:gridCol w:w="3306"/>
      </w:tblGrid>
      <w:tr w:rsidR="00000000" w14:paraId="1637EA44" w14:textId="77777777">
        <w:trPr>
          <w:tblHeader/>
        </w:trPr>
        <w:tc>
          <w:tcPr>
            <w:tcW w:w="0" w:type="auto"/>
            <w:shd w:val="clear" w:color="auto" w:fill="1A2340"/>
            <w:tcMar>
              <w:top w:w="80" w:type="dxa"/>
              <w:left w:w="120" w:type="dxa"/>
              <w:bottom w:w="80" w:type="dxa"/>
              <w:right w:w="120" w:type="dxa"/>
            </w:tcMar>
            <w:vAlign w:val="center"/>
            <w:hideMark/>
          </w:tcPr>
          <w:p w14:paraId="21126434"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Level</w:t>
            </w:r>
          </w:p>
        </w:tc>
        <w:tc>
          <w:tcPr>
            <w:tcW w:w="0" w:type="auto"/>
            <w:shd w:val="clear" w:color="auto" w:fill="1A2340"/>
            <w:tcMar>
              <w:top w:w="80" w:type="dxa"/>
              <w:left w:w="120" w:type="dxa"/>
              <w:bottom w:w="80" w:type="dxa"/>
              <w:right w:w="120" w:type="dxa"/>
            </w:tcMar>
            <w:vAlign w:val="center"/>
            <w:hideMark/>
          </w:tcPr>
          <w:p w14:paraId="599AE1BA"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Meaning</w:t>
            </w:r>
          </w:p>
        </w:tc>
        <w:tc>
          <w:tcPr>
            <w:tcW w:w="0" w:type="auto"/>
            <w:shd w:val="clear" w:color="auto" w:fill="1A2340"/>
            <w:tcMar>
              <w:top w:w="80" w:type="dxa"/>
              <w:left w:w="120" w:type="dxa"/>
              <w:bottom w:w="80" w:type="dxa"/>
              <w:right w:w="120" w:type="dxa"/>
            </w:tcMar>
            <w:vAlign w:val="center"/>
            <w:hideMark/>
          </w:tcPr>
          <w:p w14:paraId="25D2774F"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Example</w:t>
            </w:r>
          </w:p>
        </w:tc>
      </w:tr>
      <w:tr w:rsidR="00000000" w14:paraId="7951D316" w14:textId="77777777">
        <w:tc>
          <w:tcPr>
            <w:tcW w:w="0" w:type="auto"/>
            <w:tcBorders>
              <w:bottom w:val="single" w:sz="4" w:space="0" w:color="E5E7EB"/>
            </w:tcBorders>
            <w:tcMar>
              <w:top w:w="80" w:type="dxa"/>
              <w:left w:w="120" w:type="dxa"/>
              <w:bottom w:w="80" w:type="dxa"/>
              <w:right w:w="120" w:type="dxa"/>
            </w:tcMar>
            <w:hideMark/>
          </w:tcPr>
          <w:p w14:paraId="7A230100"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data</w:t>
            </w:r>
          </w:p>
        </w:tc>
        <w:tc>
          <w:tcPr>
            <w:tcW w:w="0" w:type="auto"/>
            <w:tcBorders>
              <w:bottom w:val="single" w:sz="4" w:space="0" w:color="E5E7EB"/>
            </w:tcBorders>
            <w:tcMar>
              <w:top w:w="80" w:type="dxa"/>
              <w:left w:w="120" w:type="dxa"/>
              <w:bottom w:w="80" w:type="dxa"/>
              <w:right w:w="120" w:type="dxa"/>
            </w:tcMar>
            <w:hideMark/>
          </w:tcPr>
          <w:p w14:paraId="2BEA5616"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an item of information, not a document — never evidence in itself</w:t>
            </w:r>
          </w:p>
        </w:tc>
        <w:tc>
          <w:tcPr>
            <w:tcW w:w="0" w:type="auto"/>
            <w:tcBorders>
              <w:bottom w:val="single" w:sz="4" w:space="0" w:color="E5E7EB"/>
            </w:tcBorders>
            <w:tcMar>
              <w:top w:w="80" w:type="dxa"/>
              <w:left w:w="120" w:type="dxa"/>
              <w:bottom w:w="80" w:type="dxa"/>
              <w:right w:w="120" w:type="dxa"/>
            </w:tcMar>
            <w:hideMark/>
          </w:tcPr>
          <w:p w14:paraId="57F551D9"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structured shareholder particulars</w:t>
            </w:r>
          </w:p>
        </w:tc>
      </w:tr>
      <w:tr w:rsidR="00000000" w14:paraId="7F077D8A" w14:textId="77777777">
        <w:tc>
          <w:tcPr>
            <w:tcW w:w="0" w:type="auto"/>
            <w:tcBorders>
              <w:bottom w:val="single" w:sz="4" w:space="0" w:color="E5E7EB"/>
            </w:tcBorders>
            <w:tcMar>
              <w:top w:w="80" w:type="dxa"/>
              <w:left w:w="120" w:type="dxa"/>
              <w:bottom w:w="80" w:type="dxa"/>
              <w:right w:w="120" w:type="dxa"/>
            </w:tcMar>
            <w:hideMark/>
          </w:tcPr>
          <w:p w14:paraId="531BEA5A"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document</w:t>
            </w:r>
          </w:p>
        </w:tc>
        <w:tc>
          <w:tcPr>
            <w:tcW w:w="0" w:type="auto"/>
            <w:tcBorders>
              <w:bottom w:val="single" w:sz="4" w:space="0" w:color="E5E7EB"/>
            </w:tcBorders>
            <w:tcMar>
              <w:top w:w="80" w:type="dxa"/>
              <w:left w:w="120" w:type="dxa"/>
              <w:bottom w:w="80" w:type="dxa"/>
              <w:right w:w="120" w:type="dxa"/>
            </w:tcMar>
            <w:hideMark/>
          </w:tcPr>
          <w:p w14:paraId="70FA662B"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 document actually filed with the register, without a seal</w:t>
            </w:r>
          </w:p>
        </w:tc>
        <w:tc>
          <w:tcPr>
            <w:tcW w:w="0" w:type="auto"/>
            <w:tcBorders>
              <w:bottom w:val="single" w:sz="4" w:space="0" w:color="E5E7EB"/>
            </w:tcBorders>
            <w:tcMar>
              <w:top w:w="80" w:type="dxa"/>
              <w:left w:w="120" w:type="dxa"/>
              <w:bottom w:w="80" w:type="dxa"/>
              <w:right w:w="120" w:type="dxa"/>
            </w:tcMar>
            <w:hideMark/>
          </w:tcPr>
          <w:p w14:paraId="512E79E7"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articles of association from the register</w:t>
            </w:r>
          </w:p>
        </w:tc>
      </w:tr>
      <w:tr w:rsidR="00000000" w14:paraId="24AF6DAB" w14:textId="77777777">
        <w:tc>
          <w:tcPr>
            <w:tcW w:w="0" w:type="auto"/>
            <w:tcBorders>
              <w:bottom w:val="single" w:sz="4" w:space="0" w:color="E5E7EB"/>
            </w:tcBorders>
            <w:tcMar>
              <w:top w:w="80" w:type="dxa"/>
              <w:left w:w="120" w:type="dxa"/>
              <w:bottom w:w="80" w:type="dxa"/>
              <w:right w:w="120" w:type="dxa"/>
            </w:tcMar>
            <w:hideMark/>
          </w:tcPr>
          <w:p w14:paraId="5D68032E"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certified</w:t>
            </w:r>
          </w:p>
        </w:tc>
        <w:tc>
          <w:tcPr>
            <w:tcW w:w="0" w:type="auto"/>
            <w:tcBorders>
              <w:bottom w:val="single" w:sz="4" w:space="0" w:color="E5E7EB"/>
            </w:tcBorders>
            <w:tcMar>
              <w:top w:w="80" w:type="dxa"/>
              <w:left w:w="120" w:type="dxa"/>
              <w:bottom w:w="80" w:type="dxa"/>
              <w:right w:w="120" w:type="dxa"/>
            </w:tcMar>
            <w:hideMark/>
          </w:tcPr>
          <w:p w14:paraId="7A4ED2D9"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issued and sealed by the registry authority</w:t>
            </w:r>
          </w:p>
        </w:tc>
        <w:tc>
          <w:tcPr>
            <w:tcW w:w="0" w:type="auto"/>
            <w:tcBorders>
              <w:bottom w:val="single" w:sz="4" w:space="0" w:color="E5E7EB"/>
            </w:tcBorders>
            <w:tcMar>
              <w:top w:w="80" w:type="dxa"/>
              <w:left w:w="120" w:type="dxa"/>
              <w:bottom w:w="80" w:type="dxa"/>
              <w:right w:w="120" w:type="dxa"/>
            </w:tcMar>
            <w:hideMark/>
          </w:tcPr>
          <w:p w14:paraId="3CFBD88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Kbis, certified commercial register extract</w:t>
            </w:r>
          </w:p>
        </w:tc>
      </w:tr>
    </w:tbl>
    <w:p w14:paraId="790F07CB" w14:textId="77777777" w:rsidR="00223A6C" w:rsidRDefault="00223A6C">
      <w:pPr>
        <w:pStyle w:val="StandardWeb"/>
        <w:rPr>
          <w:rFonts w:ascii="Calibri" w:hAnsi="Calibri" w:cs="Calibri"/>
          <w:color w:val="222233"/>
          <w:sz w:val="21"/>
          <w:szCs w:val="21"/>
        </w:rPr>
      </w:pPr>
      <w:r>
        <w:rPr>
          <w:rStyle w:val="Fett"/>
          <w:rFonts w:ascii="Calibri" w:hAnsi="Calibri" w:cs="Calibri"/>
          <w:color w:val="222233"/>
          <w:sz w:val="21"/>
          <w:szCs w:val="21"/>
        </w:rPr>
        <w:t>STP does not have to specify the level when ordering.</w:t>
      </w:r>
      <w:r>
        <w:rPr>
          <w:rFonts w:ascii="Calibri" w:hAnsi="Calibri" w:cs="Calibri"/>
          <w:color w:val="222233"/>
          <w:sz w:val="21"/>
          <w:szCs w:val="21"/>
        </w:rPr>
        <w:t xml:space="preserve"> Where more than one level is obtainable for a document kind in a jurisdiction, Founders1 delivers the highest obtainable level and labels it. An apostille is a property of a certified document, not a fourth level.</w:t>
      </w:r>
    </w:p>
    <w:p w14:paraId="50AAEC4F" w14:textId="77777777" w:rsidR="00223A6C" w:rsidRDefault="00223A6C">
      <w:pPr>
        <w:pStyle w:val="berschrift2"/>
        <w:rPr>
          <w:rFonts w:eastAsia="Times New Roman"/>
        </w:rPr>
      </w:pPr>
      <w:bookmarkStart w:id="21" w:name="_Toc241436711"/>
      <w:r>
        <w:rPr>
          <w:rFonts w:eastAsia="Times New Roman"/>
        </w:rPr>
        <w:t>1.3 Availability</w:t>
      </w:r>
      <w:bookmarkEnd w:id="21"/>
    </w:p>
    <w:p w14:paraId="48386C63"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Availability is classified per jurisdiction × legal form × document kind. Exactly one of four cases applies, and the fourth is a definitive answer rather than an error:</w:t>
      </w:r>
    </w:p>
    <w:tbl>
      <w:tblPr>
        <w:tblW w:w="5000" w:type="pct"/>
        <w:tblCellMar>
          <w:top w:w="15" w:type="dxa"/>
          <w:left w:w="15" w:type="dxa"/>
          <w:bottom w:w="15" w:type="dxa"/>
          <w:right w:w="15" w:type="dxa"/>
        </w:tblCellMar>
        <w:tblLook w:val="04A0" w:firstRow="1" w:lastRow="0" w:firstColumn="1" w:lastColumn="0" w:noHBand="0" w:noVBand="1"/>
      </w:tblPr>
      <w:tblGrid>
        <w:gridCol w:w="1433"/>
        <w:gridCol w:w="2817"/>
        <w:gridCol w:w="5162"/>
      </w:tblGrid>
      <w:tr w:rsidR="00000000" w14:paraId="030EC2A1" w14:textId="77777777">
        <w:trPr>
          <w:tblHeader/>
        </w:trPr>
        <w:tc>
          <w:tcPr>
            <w:tcW w:w="0" w:type="auto"/>
            <w:shd w:val="clear" w:color="auto" w:fill="1A2340"/>
            <w:tcMar>
              <w:top w:w="80" w:type="dxa"/>
              <w:left w:w="120" w:type="dxa"/>
              <w:bottom w:w="80" w:type="dxa"/>
              <w:right w:w="120" w:type="dxa"/>
            </w:tcMar>
            <w:vAlign w:val="center"/>
            <w:hideMark/>
          </w:tcPr>
          <w:p w14:paraId="37A2FC10"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Case</w:t>
            </w:r>
          </w:p>
        </w:tc>
        <w:tc>
          <w:tcPr>
            <w:tcW w:w="0" w:type="auto"/>
            <w:shd w:val="clear" w:color="auto" w:fill="1A2340"/>
            <w:tcMar>
              <w:top w:w="80" w:type="dxa"/>
              <w:left w:w="120" w:type="dxa"/>
              <w:bottom w:w="80" w:type="dxa"/>
              <w:right w:w="120" w:type="dxa"/>
            </w:tcMar>
            <w:vAlign w:val="center"/>
            <w:hideMark/>
          </w:tcPr>
          <w:p w14:paraId="02ACD373"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Meaning</w:t>
            </w:r>
          </w:p>
        </w:tc>
        <w:tc>
          <w:tcPr>
            <w:tcW w:w="0" w:type="auto"/>
            <w:shd w:val="clear" w:color="auto" w:fill="1A2340"/>
            <w:tcMar>
              <w:top w:w="80" w:type="dxa"/>
              <w:left w:w="120" w:type="dxa"/>
              <w:bottom w:w="80" w:type="dxa"/>
              <w:right w:w="120" w:type="dxa"/>
            </w:tcMar>
            <w:vAlign w:val="center"/>
            <w:hideMark/>
          </w:tcPr>
          <w:p w14:paraId="3B3889E4"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Price effect</w:t>
            </w:r>
          </w:p>
        </w:tc>
      </w:tr>
      <w:tr w:rsidR="00000000" w14:paraId="2E52522A" w14:textId="77777777">
        <w:tc>
          <w:tcPr>
            <w:tcW w:w="0" w:type="auto"/>
            <w:tcBorders>
              <w:bottom w:val="single" w:sz="4" w:space="0" w:color="E5E7EB"/>
            </w:tcBorders>
            <w:tcMar>
              <w:top w:w="80" w:type="dxa"/>
              <w:left w:w="120" w:type="dxa"/>
              <w:bottom w:w="80" w:type="dxa"/>
              <w:right w:w="120" w:type="dxa"/>
            </w:tcMar>
            <w:hideMark/>
          </w:tcPr>
          <w:p w14:paraId="684D59F3"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Base document</w:t>
            </w:r>
          </w:p>
        </w:tc>
        <w:tc>
          <w:tcPr>
            <w:tcW w:w="0" w:type="auto"/>
            <w:tcBorders>
              <w:bottom w:val="single" w:sz="4" w:space="0" w:color="E5E7EB"/>
            </w:tcBorders>
            <w:tcMar>
              <w:top w:w="80" w:type="dxa"/>
              <w:left w:w="120" w:type="dxa"/>
              <w:bottom w:w="80" w:type="dxa"/>
              <w:right w:w="120" w:type="dxa"/>
            </w:tcMar>
            <w:hideMark/>
          </w:tcPr>
          <w:p w14:paraId="7A80B9B6"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part of the standard retrieval</w:t>
            </w:r>
          </w:p>
        </w:tc>
        <w:tc>
          <w:tcPr>
            <w:tcW w:w="0" w:type="auto"/>
            <w:tcBorders>
              <w:bottom w:val="single" w:sz="4" w:space="0" w:color="E5E7EB"/>
            </w:tcBorders>
            <w:tcMar>
              <w:top w:w="80" w:type="dxa"/>
              <w:left w:w="120" w:type="dxa"/>
              <w:bottom w:w="80" w:type="dxa"/>
              <w:right w:w="120" w:type="dxa"/>
            </w:tcMar>
            <w:hideMark/>
          </w:tcPr>
          <w:p w14:paraId="37616451"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included in the base price</w:t>
            </w:r>
          </w:p>
        </w:tc>
      </w:tr>
      <w:tr w:rsidR="00000000" w14:paraId="0A451BA5" w14:textId="77777777">
        <w:tc>
          <w:tcPr>
            <w:tcW w:w="0" w:type="auto"/>
            <w:tcBorders>
              <w:bottom w:val="single" w:sz="4" w:space="0" w:color="E5E7EB"/>
            </w:tcBorders>
            <w:tcMar>
              <w:top w:w="80" w:type="dxa"/>
              <w:left w:w="120" w:type="dxa"/>
              <w:bottom w:w="80" w:type="dxa"/>
              <w:right w:w="120" w:type="dxa"/>
            </w:tcMar>
            <w:hideMark/>
          </w:tcPr>
          <w:p w14:paraId="2726EDD3"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Additional document</w:t>
            </w:r>
          </w:p>
        </w:tc>
        <w:tc>
          <w:tcPr>
            <w:tcW w:w="0" w:type="auto"/>
            <w:tcBorders>
              <w:bottom w:val="single" w:sz="4" w:space="0" w:color="E5E7EB"/>
            </w:tcBorders>
            <w:tcMar>
              <w:top w:w="80" w:type="dxa"/>
              <w:left w:w="120" w:type="dxa"/>
              <w:bottom w:w="80" w:type="dxa"/>
              <w:right w:w="120" w:type="dxa"/>
            </w:tcMar>
            <w:hideMark/>
          </w:tcPr>
          <w:p w14:paraId="1B7E85F4"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held by the register, not part of the standard retrieval</w:t>
            </w:r>
          </w:p>
        </w:tc>
        <w:tc>
          <w:tcPr>
            <w:tcW w:w="0" w:type="auto"/>
            <w:tcBorders>
              <w:bottom w:val="single" w:sz="4" w:space="0" w:color="E5E7EB"/>
            </w:tcBorders>
            <w:tcMar>
              <w:top w:w="80" w:type="dxa"/>
              <w:left w:w="120" w:type="dxa"/>
              <w:bottom w:w="80" w:type="dxa"/>
              <w:right w:w="120" w:type="dxa"/>
            </w:tcMar>
            <w:hideMark/>
          </w:tcPr>
          <w:p w14:paraId="5FE5B45C"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surcharge per Annex 2</w:t>
            </w:r>
          </w:p>
        </w:tc>
      </w:tr>
      <w:tr w:rsidR="00000000" w14:paraId="256005C4" w14:textId="77777777">
        <w:tc>
          <w:tcPr>
            <w:tcW w:w="0" w:type="auto"/>
            <w:tcBorders>
              <w:bottom w:val="single" w:sz="4" w:space="0" w:color="E5E7EB"/>
            </w:tcBorders>
            <w:tcMar>
              <w:top w:w="80" w:type="dxa"/>
              <w:left w:w="120" w:type="dxa"/>
              <w:bottom w:w="80" w:type="dxa"/>
              <w:right w:w="120" w:type="dxa"/>
            </w:tcMar>
            <w:hideMark/>
          </w:tcPr>
          <w:p w14:paraId="184243D6"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Data only</w:t>
            </w:r>
          </w:p>
        </w:tc>
        <w:tc>
          <w:tcPr>
            <w:tcW w:w="0" w:type="auto"/>
            <w:tcBorders>
              <w:bottom w:val="single" w:sz="4" w:space="0" w:color="E5E7EB"/>
            </w:tcBorders>
            <w:tcMar>
              <w:top w:w="80" w:type="dxa"/>
              <w:left w:w="120" w:type="dxa"/>
              <w:bottom w:w="80" w:type="dxa"/>
              <w:right w:w="120" w:type="dxa"/>
            </w:tcMar>
            <w:hideMark/>
          </w:tcPr>
          <w:p w14:paraId="413139B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no document, but structured particulars from the register</w:t>
            </w:r>
          </w:p>
        </w:tc>
        <w:tc>
          <w:tcPr>
            <w:tcW w:w="0" w:type="auto"/>
            <w:tcBorders>
              <w:bottom w:val="single" w:sz="4" w:space="0" w:color="E5E7EB"/>
            </w:tcBorders>
            <w:tcMar>
              <w:top w:w="80" w:type="dxa"/>
              <w:left w:w="120" w:type="dxa"/>
              <w:bottom w:w="80" w:type="dxa"/>
              <w:right w:w="120" w:type="dxa"/>
            </w:tcMar>
            <w:hideMark/>
          </w:tcPr>
          <w:p w14:paraId="1880EF10"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included in the base price</w:t>
            </w:r>
          </w:p>
        </w:tc>
      </w:tr>
      <w:tr w:rsidR="00000000" w14:paraId="2796E671" w14:textId="77777777">
        <w:tc>
          <w:tcPr>
            <w:tcW w:w="0" w:type="auto"/>
            <w:tcBorders>
              <w:bottom w:val="single" w:sz="4" w:space="0" w:color="E5E7EB"/>
            </w:tcBorders>
            <w:tcMar>
              <w:top w:w="80" w:type="dxa"/>
              <w:left w:w="120" w:type="dxa"/>
              <w:bottom w:w="80" w:type="dxa"/>
              <w:right w:w="120" w:type="dxa"/>
            </w:tcMar>
            <w:hideMark/>
          </w:tcPr>
          <w:p w14:paraId="6FC9F895"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Not available</w:t>
            </w:r>
          </w:p>
        </w:tc>
        <w:tc>
          <w:tcPr>
            <w:tcW w:w="0" w:type="auto"/>
            <w:tcBorders>
              <w:bottom w:val="single" w:sz="4" w:space="0" w:color="E5E7EB"/>
            </w:tcBorders>
            <w:tcMar>
              <w:top w:w="80" w:type="dxa"/>
              <w:left w:w="120" w:type="dxa"/>
              <w:bottom w:w="80" w:type="dxa"/>
              <w:right w:w="120" w:type="dxa"/>
            </w:tcMar>
            <w:hideMark/>
          </w:tcPr>
          <w:p w14:paraId="325257C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not obtainable in this jurisdiction for this legal form</w:t>
            </w:r>
          </w:p>
        </w:tc>
        <w:tc>
          <w:tcPr>
            <w:tcW w:w="0" w:type="auto"/>
            <w:tcBorders>
              <w:bottom w:val="single" w:sz="4" w:space="0" w:color="E5E7EB"/>
            </w:tcBorders>
            <w:tcMar>
              <w:top w:w="80" w:type="dxa"/>
              <w:left w:w="120" w:type="dxa"/>
              <w:bottom w:w="80" w:type="dxa"/>
              <w:right w:w="120" w:type="dxa"/>
            </w:tcMar>
            <w:hideMark/>
          </w:tcPr>
          <w:p w14:paraId="1BFF2E10"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no charge where this is known before procurement; where a Case had to be procured to establish it, clause 8.7 applies</w:t>
            </w:r>
          </w:p>
        </w:tc>
      </w:tr>
    </w:tbl>
    <w:p w14:paraId="63135397"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reads exclusively from BetterCo. The procurement routes behind it are not visible or addressable — not as an endpoint, a field name, or a status value.</w:t>
      </w:r>
    </w:p>
    <w:p w14:paraId="777AC030"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BetterCo is the system of record: documents are held, versioned and re-served there. When Founders1 adds or changes a procurement route, STP sees it in cost and provenance — </w:t>
      </w:r>
      <w:r>
        <w:rPr>
          <w:rStyle w:val="Fett"/>
          <w:rFonts w:ascii="Calibri" w:hAnsi="Calibri" w:cs="Calibri"/>
          <w:color w:val="222233"/>
          <w:sz w:val="21"/>
          <w:szCs w:val="21"/>
        </w:rPr>
        <w:t>not in code</w:t>
      </w:r>
      <w:r>
        <w:rPr>
          <w:rFonts w:ascii="Calibri" w:hAnsi="Calibri" w:cs="Calibri"/>
          <w:color w:val="222233"/>
          <w:sz w:val="21"/>
          <w:szCs w:val="21"/>
        </w:rPr>
        <w:t>.</w:t>
      </w:r>
    </w:p>
    <w:p w14:paraId="3B2BE6B3" w14:textId="77777777" w:rsidR="00223A6C" w:rsidRDefault="00223A6C">
      <w:pPr>
        <w:pStyle w:val="berschrift2"/>
        <w:rPr>
          <w:rFonts w:eastAsia="Times New Roman"/>
        </w:rPr>
      </w:pPr>
      <w:bookmarkStart w:id="22" w:name="_Toc241436712"/>
      <w:r>
        <w:rPr>
          <w:rFonts w:eastAsia="Times New Roman"/>
        </w:rPr>
        <w:t>1.4 How STP uses the service with its clients</w:t>
      </w:r>
      <w:bookmarkEnd w:id="22"/>
    </w:p>
    <w:p w14:paraId="1E3E4535"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integrates the service into its own onboarding, KYC and client-file workflows and offers it to its clients under its own name. Founders1 does not appear towards the end client and has no contractual relationship with them. Per end-client company:</w:t>
      </w:r>
    </w:p>
    <w:p w14:paraId="55F1D679" w14:textId="77777777" w:rsidR="00223A6C" w:rsidRDefault="00223A6C">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STP opens a case: jurisdiction, legal form, company identifiers, the document kinds required, and </w:t>
      </w:r>
      <w:r>
        <w:rPr>
          <w:rStyle w:val="Fett"/>
          <w:rFonts w:ascii="Calibri" w:eastAsia="Times New Roman" w:hAnsi="Calibri" w:cs="Calibri"/>
          <w:color w:val="222233"/>
          <w:sz w:val="21"/>
          <w:szCs w:val="21"/>
        </w:rPr>
        <w:t>its own reference for the End Client</w:t>
      </w:r>
      <w:r>
        <w:rPr>
          <w:rFonts w:ascii="Calibri" w:eastAsia="Times New Roman" w:hAnsi="Calibri" w:cs="Calibri"/>
          <w:color w:val="222233"/>
          <w:sz w:val="21"/>
          <w:szCs w:val="21"/>
        </w:rPr>
        <w:t xml:space="preserve"> (clause 6.2).</w:t>
      </w:r>
    </w:p>
    <w:p w14:paraId="39BDC017" w14:textId="77777777" w:rsidR="00223A6C" w:rsidRDefault="00223A6C">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Procurement runs </w:t>
      </w:r>
      <w:r>
        <w:rPr>
          <w:rStyle w:val="Fett"/>
          <w:rFonts w:ascii="Calibri" w:eastAsia="Times New Roman" w:hAnsi="Calibri" w:cs="Calibri"/>
          <w:color w:val="222233"/>
          <w:sz w:val="21"/>
          <w:szCs w:val="21"/>
        </w:rPr>
        <w:t>asynchronously</w:t>
      </w:r>
      <w:r>
        <w:rPr>
          <w:rFonts w:ascii="Calibri" w:eastAsia="Times New Roman" w:hAnsi="Calibri" w:cs="Calibri"/>
          <w:color w:val="222233"/>
          <w:sz w:val="21"/>
          <w:szCs w:val="21"/>
        </w:rPr>
        <w:t xml:space="preserve">. Some routes take minutes; manual registry routes take hours to days. Progress is reported by callback, and each document kind carries its own state: </w:t>
      </w:r>
    </w:p>
    <w:p w14:paraId="3F7F0DEB" w14:textId="77777777" w:rsidR="00223A6C" w:rsidRDefault="00223A6C">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requested</w:t>
      </w:r>
      <w:r>
        <w:rPr>
          <w:rFonts w:ascii="Calibri" w:eastAsia="Times New Roman" w:hAnsi="Calibri" w:cs="Calibri"/>
          <w:color w:val="222233"/>
          <w:sz w:val="21"/>
          <w:szCs w:val="21"/>
        </w:rPr>
        <w:t xml:space="preserve"> — the document kind has been asked for</w:t>
      </w:r>
    </w:p>
    <w:p w14:paraId="0845C8DD" w14:textId="77777777" w:rsidR="00223A6C" w:rsidRDefault="00223A6C">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ordered</w:t>
      </w:r>
      <w:r>
        <w:rPr>
          <w:rFonts w:ascii="Calibri" w:eastAsia="Times New Roman" w:hAnsi="Calibri" w:cs="Calibri"/>
          <w:color w:val="222233"/>
          <w:sz w:val="21"/>
          <w:szCs w:val="21"/>
        </w:rPr>
        <w:t xml:space="preserve"> — procurement has been triggered</w:t>
      </w:r>
    </w:p>
    <w:p w14:paraId="78378D9D" w14:textId="77777777" w:rsidR="00223A6C" w:rsidRDefault="00223A6C">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delivered</w:t>
      </w:r>
      <w:r>
        <w:rPr>
          <w:rFonts w:ascii="Calibri" w:eastAsia="Times New Roman" w:hAnsi="Calibri" w:cs="Calibri"/>
          <w:color w:val="222233"/>
          <w:sz w:val="21"/>
          <w:szCs w:val="21"/>
        </w:rPr>
        <w:t xml:space="preserve"> — the document has arrived at BetterCo</w:t>
      </w:r>
    </w:p>
    <w:p w14:paraId="0640BD3F" w14:textId="77777777" w:rsidR="00223A6C" w:rsidRDefault="00223A6C">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stored</w:t>
      </w:r>
      <w:r>
        <w:rPr>
          <w:rFonts w:ascii="Calibri" w:eastAsia="Times New Roman" w:hAnsi="Calibri" w:cs="Calibri"/>
          <w:color w:val="222233"/>
          <w:sz w:val="21"/>
          <w:szCs w:val="21"/>
        </w:rPr>
        <w:t xml:space="preserve"> — it is held and retrievable by STP</w:t>
      </w:r>
    </w:p>
    <w:p w14:paraId="7CA8BB14" w14:textId="77777777" w:rsidR="00223A6C" w:rsidRDefault="00223A6C">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failed</w:t>
      </w:r>
      <w:r>
        <w:rPr>
          <w:rFonts w:ascii="Calibri" w:eastAsia="Times New Roman" w:hAnsi="Calibri" w:cs="Calibri"/>
          <w:color w:val="222233"/>
          <w:sz w:val="21"/>
          <w:szCs w:val="21"/>
        </w:rPr>
        <w:t xml:space="preserve"> or </w:t>
      </w:r>
      <w:r>
        <w:rPr>
          <w:rFonts w:ascii="Calibri" w:eastAsia="Times New Roman" w:hAnsi="Calibri" w:cs="Calibri"/>
          <w:b/>
          <w:bCs/>
          <w:color w:val="222233"/>
          <w:sz w:val="21"/>
          <w:szCs w:val="21"/>
        </w:rPr>
        <w:t>not available</w:t>
      </w:r>
      <w:r>
        <w:rPr>
          <w:rFonts w:ascii="Calibri" w:eastAsia="Times New Roman" w:hAnsi="Calibri" w:cs="Calibri"/>
          <w:color w:val="222233"/>
          <w:sz w:val="21"/>
          <w:szCs w:val="21"/>
        </w:rPr>
        <w:t xml:space="preserve"> — the two end states that carry no document</w:t>
      </w:r>
    </w:p>
    <w:p w14:paraId="701DDA03" w14:textId="77777777" w:rsidR="00223A6C" w:rsidRDefault="00223A6C">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STP retrieves the documents and </w:t>
      </w:r>
      <w:r>
        <w:rPr>
          <w:rFonts w:ascii="Calibri" w:eastAsia="Times New Roman" w:hAnsi="Calibri" w:cs="Calibri"/>
          <w:color w:val="222233"/>
          <w:sz w:val="21"/>
          <w:szCs w:val="21"/>
        </w:rPr>
        <w:t>their provenance from BetterCo and files them in the client's file. Case and document identifiers are BetterCo identifiers and stay stable across a change of source.</w:t>
      </w:r>
    </w:p>
    <w:p w14:paraId="444186B9" w14:textId="77777777" w:rsidR="00223A6C" w:rsidRDefault="00223A6C">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Where STP places a Case for </w:t>
      </w:r>
      <w:r>
        <w:rPr>
          <w:rStyle w:val="Fett"/>
          <w:rFonts w:ascii="Calibri" w:eastAsia="Times New Roman" w:hAnsi="Calibri" w:cs="Calibri"/>
          <w:color w:val="222233"/>
          <w:sz w:val="21"/>
          <w:szCs w:val="21"/>
        </w:rPr>
        <w:t>the same End Client</w:t>
      </w:r>
      <w:r>
        <w:rPr>
          <w:rFonts w:ascii="Calibri" w:eastAsia="Times New Roman" w:hAnsi="Calibri" w:cs="Calibri"/>
          <w:color w:val="222233"/>
          <w:sz w:val="21"/>
          <w:szCs w:val="21"/>
        </w:rPr>
        <w:t xml:space="preserve">, the same company and the same document kind </w:t>
      </w:r>
      <w:r>
        <w:rPr>
          <w:rStyle w:val="Fett"/>
          <w:rFonts w:ascii="Calibri" w:eastAsia="Times New Roman" w:hAnsi="Calibri" w:cs="Calibri"/>
          <w:color w:val="222233"/>
          <w:sz w:val="21"/>
          <w:szCs w:val="21"/>
        </w:rPr>
        <w:t>within 48 hours</w:t>
      </w:r>
      <w:r>
        <w:rPr>
          <w:rFonts w:ascii="Calibri" w:eastAsia="Times New Roman" w:hAnsi="Calibri" w:cs="Calibri"/>
          <w:color w:val="222233"/>
          <w:sz w:val="21"/>
          <w:szCs w:val="21"/>
        </w:rPr>
        <w:t xml:space="preserve"> of a delivery, the Document already delivered is re-served without a new procurement and without a new charge (clause 5.3). Any other Case triggers a new procurement.</w:t>
      </w:r>
    </w:p>
    <w:p w14:paraId="20DA34C3" w14:textId="77777777" w:rsidR="00223A6C" w:rsidRDefault="00223A6C">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Where the register provides it, each document carries two dates: the </w:t>
      </w:r>
      <w:r>
        <w:rPr>
          <w:rStyle w:val="Fett"/>
          <w:rFonts w:ascii="Calibri" w:eastAsia="Times New Roman" w:hAnsi="Calibri" w:cs="Calibri"/>
          <w:color w:val="222233"/>
          <w:sz w:val="21"/>
          <w:szCs w:val="21"/>
        </w:rPr>
        <w:t>retrieval date</w:t>
      </w:r>
      <w:r>
        <w:rPr>
          <w:rFonts w:ascii="Calibri" w:eastAsia="Times New Roman" w:hAnsi="Calibri" w:cs="Calibri"/>
          <w:color w:val="222233"/>
          <w:sz w:val="21"/>
          <w:szCs w:val="21"/>
        </w:rPr>
        <w:t xml:space="preserve"> and the </w:t>
      </w:r>
      <w:r>
        <w:rPr>
          <w:rStyle w:val="Fett"/>
          <w:rFonts w:ascii="Calibri" w:eastAsia="Times New Roman" w:hAnsi="Calibri" w:cs="Calibri"/>
          <w:color w:val="222233"/>
          <w:sz w:val="21"/>
          <w:szCs w:val="21"/>
        </w:rPr>
        <w:t>content date</w:t>
      </w:r>
      <w:r>
        <w:rPr>
          <w:rFonts w:ascii="Calibri" w:eastAsia="Times New Roman" w:hAnsi="Calibri" w:cs="Calibri"/>
          <w:color w:val="222233"/>
          <w:sz w:val="21"/>
          <w:szCs w:val="21"/>
        </w:rPr>
        <w:t>. They are often not the same — a shareholding statement retrieved today may reproduce a much earlier filing. Founders1 delivers both wherever the documents allow, and suggests that STP's own currency rules build on the content date where its process permits.</w:t>
      </w:r>
    </w:p>
    <w:p w14:paraId="6E26D03D" w14:textId="77777777" w:rsidR="00223A6C" w:rsidRDefault="00223A6C">
      <w:pPr>
        <w:pStyle w:val="pagebreak"/>
        <w:spacing w:after="120"/>
        <w:rPr>
          <w:rFonts w:ascii="Calibri" w:hAnsi="Calibri" w:cs="Calibri"/>
          <w:color w:val="222233"/>
          <w:sz w:val="21"/>
          <w:szCs w:val="21"/>
        </w:rPr>
      </w:pPr>
      <w:r>
        <w:rPr>
          <w:rFonts w:ascii="Calibri" w:hAnsi="Calibri" w:cs="Calibri"/>
          <w:color w:val="222233"/>
          <w:sz w:val="21"/>
          <w:szCs w:val="21"/>
        </w:rPr>
        <w:t> </w:t>
      </w:r>
    </w:p>
    <w:p w14:paraId="620FA53A" w14:textId="77777777" w:rsidR="00223A6C" w:rsidRDefault="00223A6C">
      <w:pPr>
        <w:pStyle w:val="kicker"/>
        <w:rPr>
          <w:rFonts w:ascii="Calibri" w:hAnsi="Calibri" w:cs="Calibri"/>
        </w:rPr>
      </w:pPr>
      <w:r>
        <w:rPr>
          <w:rFonts w:ascii="Calibri" w:hAnsi="Calibri" w:cs="Calibri"/>
        </w:rPr>
        <w:t>Annex 2 to the Reseller Agreement</w:t>
      </w:r>
    </w:p>
    <w:p w14:paraId="0D427FA9" w14:textId="77777777" w:rsidR="00223A6C" w:rsidRDefault="00223A6C">
      <w:pPr>
        <w:pStyle w:val="berschrift1"/>
        <w:rPr>
          <w:rFonts w:eastAsia="Times New Roman"/>
        </w:rPr>
      </w:pPr>
      <w:bookmarkStart w:id="23" w:name="_Toc241436713"/>
      <w:r>
        <w:rPr>
          <w:rFonts w:eastAsia="Times New Roman"/>
        </w:rPr>
        <w:t>Jurisdictions, prices and end-client rights</w:t>
      </w:r>
      <w:bookmarkEnd w:id="23"/>
    </w:p>
    <w:p w14:paraId="4B2824DA" w14:textId="77777777" w:rsidR="00223A6C" w:rsidRDefault="00223A6C">
      <w:pPr>
        <w:pStyle w:val="meta"/>
        <w:rPr>
          <w:rFonts w:ascii="Calibri" w:hAnsi="Calibri" w:cs="Calibri"/>
        </w:rPr>
      </w:pPr>
      <w:r>
        <w:rPr>
          <w:rFonts w:ascii="Calibri" w:hAnsi="Calibri" w:cs="Calibri"/>
        </w:rPr>
        <w:t>Founders1 GmbH — STP Business Information GmbH · Draft 2, 24 September 2026</w:t>
      </w:r>
    </w:p>
    <w:p w14:paraId="5E1A8A59" w14:textId="77777777" w:rsidR="00223A6C" w:rsidRDefault="00223A6C">
      <w:pPr>
        <w:pStyle w:val="berschrift2"/>
        <w:rPr>
          <w:rFonts w:eastAsia="Times New Roman"/>
        </w:rPr>
      </w:pPr>
      <w:bookmarkStart w:id="24" w:name="_Toc241436714"/>
      <w:r>
        <w:rPr>
          <w:rFonts w:eastAsia="Times New Roman"/>
        </w:rPr>
        <w:t>2.1 Price tiers</w:t>
      </w:r>
      <w:bookmarkEnd w:id="24"/>
    </w:p>
    <w:p w14:paraId="3B3A594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The price depends on the jurisdiction, not on the number of documents. One case covers the standard retrieval with all base documents and the structured data, whether that is one document or five. Every covered jurisdiction sits in one of four </w:t>
      </w:r>
      <w:r>
        <w:rPr>
          <w:rStyle w:val="Fett"/>
          <w:rFonts w:ascii="Calibri" w:hAnsi="Calibri" w:cs="Calibri"/>
          <w:color w:val="222233"/>
          <w:sz w:val="21"/>
          <w:szCs w:val="21"/>
        </w:rPr>
        <w:t>price tiers</w:t>
      </w:r>
      <w:r>
        <w:rPr>
          <w:rFonts w:ascii="Calibri" w:hAnsi="Calibri" w:cs="Calibri"/>
          <w:color w:val="222233"/>
          <w:sz w:val="21"/>
          <w:szCs w:val="21"/>
        </w:rPr>
        <w:t xml:space="preserve">, and each tier carries a </w:t>
      </w:r>
      <w:r>
        <w:rPr>
          <w:rStyle w:val="Fett"/>
          <w:rFonts w:ascii="Calibri" w:hAnsi="Calibri" w:cs="Calibri"/>
          <w:color w:val="222233"/>
          <w:sz w:val="21"/>
          <w:szCs w:val="21"/>
        </w:rPr>
        <w:t>procurement cost</w:t>
      </w:r>
      <w:r>
        <w:rPr>
          <w:rFonts w:ascii="Calibri" w:hAnsi="Calibri" w:cs="Calibri"/>
          <w:color w:val="222233"/>
          <w:sz w:val="21"/>
          <w:szCs w:val="21"/>
        </w:rPr>
        <w:t xml:space="preserve"> per case.</w:t>
      </w:r>
    </w:p>
    <w:p w14:paraId="4880475F"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The </w:t>
      </w:r>
      <w:r>
        <w:rPr>
          <w:rStyle w:val="Fett"/>
          <w:rFonts w:ascii="Calibri" w:hAnsi="Calibri" w:cs="Calibri"/>
          <w:color w:val="222233"/>
          <w:sz w:val="21"/>
          <w:szCs w:val="21"/>
        </w:rPr>
        <w:t>procurement cost</w:t>
      </w:r>
      <w:r>
        <w:rPr>
          <w:rFonts w:ascii="Calibri" w:hAnsi="Calibri" w:cs="Calibri"/>
          <w:color w:val="222233"/>
          <w:sz w:val="21"/>
          <w:szCs w:val="21"/>
        </w:rPr>
        <w:t xml:space="preserve"> </w:t>
      </w:r>
      <w:r>
        <w:rPr>
          <w:rFonts w:ascii="Calibri" w:hAnsi="Calibri" w:cs="Calibri"/>
          <w:color w:val="222233"/>
          <w:sz w:val="21"/>
          <w:szCs w:val="21"/>
        </w:rPr>
        <w:t xml:space="preserve">per case for each tier is set out below. Where this Agreement refers to „the procurement cost for that jurisdiction“, it means the amount stated here for the tier to which Annex 2.2 assigns that jurisdiction, </w:t>
      </w:r>
      <w:r>
        <w:rPr>
          <w:rStyle w:val="Fett"/>
          <w:rFonts w:ascii="Calibri" w:hAnsi="Calibri" w:cs="Calibri"/>
          <w:color w:val="222233"/>
          <w:sz w:val="21"/>
          <w:szCs w:val="21"/>
        </w:rPr>
        <w:t>whichever route Founders1 uses to procure in that jurisdiction</w:t>
      </w:r>
      <w:r>
        <w:rPr>
          <w:rFonts w:ascii="Calibri" w:hAnsi="Calibri" w:cs="Calibri"/>
          <w:color w:val="222233"/>
          <w:sz w:val="21"/>
          <w:szCs w:val="21"/>
        </w:rPr>
        <w:t xml:space="preserve">. The price per Case adds the Fixed Fee under clause 8.2. The amounts are </w:t>
      </w:r>
      <w:r>
        <w:rPr>
          <w:rStyle w:val="Fett"/>
          <w:rFonts w:ascii="Calibri" w:hAnsi="Calibri" w:cs="Calibri"/>
          <w:color w:val="222233"/>
          <w:sz w:val="21"/>
          <w:szCs w:val="21"/>
        </w:rPr>
        <w:t>changed only under clause 8.6</w:t>
      </w:r>
      <w:r>
        <w:rPr>
          <w:rFonts w:ascii="Calibri" w:hAnsi="Calibri" w:cs="Calibri"/>
          <w:color w:val="222233"/>
          <w:sz w:val="21"/>
          <w:szCs w:val="21"/>
        </w:rPr>
        <w:t>. They are confidential under clause 11.</w:t>
      </w:r>
    </w:p>
    <w:tbl>
      <w:tblPr>
        <w:tblW w:w="5000" w:type="pct"/>
        <w:tblCellMar>
          <w:top w:w="15" w:type="dxa"/>
          <w:left w:w="15" w:type="dxa"/>
          <w:bottom w:w="15" w:type="dxa"/>
          <w:right w:w="15" w:type="dxa"/>
        </w:tblCellMar>
        <w:tblLook w:val="04A0" w:firstRow="1" w:lastRow="0" w:firstColumn="1" w:lastColumn="0" w:noHBand="0" w:noVBand="1"/>
      </w:tblPr>
      <w:tblGrid>
        <w:gridCol w:w="930"/>
        <w:gridCol w:w="2664"/>
        <w:gridCol w:w="1622"/>
        <w:gridCol w:w="2202"/>
        <w:gridCol w:w="1994"/>
      </w:tblGrid>
      <w:tr w:rsidR="00000000" w14:paraId="3531FAEA" w14:textId="77777777">
        <w:trPr>
          <w:tblHeader/>
        </w:trPr>
        <w:tc>
          <w:tcPr>
            <w:tcW w:w="0" w:type="auto"/>
            <w:shd w:val="clear" w:color="auto" w:fill="1A2340"/>
            <w:tcMar>
              <w:top w:w="80" w:type="dxa"/>
              <w:left w:w="120" w:type="dxa"/>
              <w:bottom w:w="80" w:type="dxa"/>
              <w:right w:w="120" w:type="dxa"/>
            </w:tcMar>
            <w:vAlign w:val="center"/>
            <w:hideMark/>
          </w:tcPr>
          <w:p w14:paraId="7C3ED908"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Tier</w:t>
            </w:r>
          </w:p>
        </w:tc>
        <w:tc>
          <w:tcPr>
            <w:tcW w:w="0" w:type="auto"/>
            <w:shd w:val="clear" w:color="auto" w:fill="1A2340"/>
            <w:tcMar>
              <w:top w:w="80" w:type="dxa"/>
              <w:left w:w="120" w:type="dxa"/>
              <w:bottom w:w="80" w:type="dxa"/>
              <w:right w:w="120" w:type="dxa"/>
            </w:tcMar>
            <w:vAlign w:val="center"/>
            <w:hideMark/>
          </w:tcPr>
          <w:p w14:paraId="1218F9BA"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Procurement cost</w:t>
            </w:r>
          </w:p>
        </w:tc>
        <w:tc>
          <w:tcPr>
            <w:tcW w:w="0" w:type="auto"/>
            <w:shd w:val="clear" w:color="auto" w:fill="1A2340"/>
            <w:tcMar>
              <w:top w:w="80" w:type="dxa"/>
              <w:left w:w="120" w:type="dxa"/>
              <w:bottom w:w="80" w:type="dxa"/>
              <w:right w:w="120" w:type="dxa"/>
            </w:tcMar>
            <w:vAlign w:val="center"/>
            <w:hideMark/>
          </w:tcPr>
          <w:p w14:paraId="633104BF"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Fixed Fee</w:t>
            </w:r>
          </w:p>
        </w:tc>
        <w:tc>
          <w:tcPr>
            <w:tcW w:w="0" w:type="auto"/>
            <w:shd w:val="clear" w:color="auto" w:fill="1A2340"/>
            <w:tcMar>
              <w:top w:w="80" w:type="dxa"/>
              <w:left w:w="120" w:type="dxa"/>
              <w:bottom w:w="80" w:type="dxa"/>
              <w:right w:w="120" w:type="dxa"/>
            </w:tcMar>
            <w:vAlign w:val="center"/>
            <w:hideMark/>
          </w:tcPr>
          <w:p w14:paraId="6A900BB8"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Price per Case</w:t>
            </w:r>
          </w:p>
        </w:tc>
        <w:tc>
          <w:tcPr>
            <w:tcW w:w="0" w:type="auto"/>
            <w:shd w:val="clear" w:color="auto" w:fill="1A2340"/>
            <w:tcMar>
              <w:top w:w="80" w:type="dxa"/>
              <w:left w:w="120" w:type="dxa"/>
              <w:bottom w:w="80" w:type="dxa"/>
              <w:right w:w="120" w:type="dxa"/>
            </w:tcMar>
            <w:vAlign w:val="center"/>
            <w:hideMark/>
          </w:tcPr>
          <w:p w14:paraId="331E871C"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Jurisdictions</w:t>
            </w:r>
          </w:p>
        </w:tc>
      </w:tr>
      <w:tr w:rsidR="00000000" w14:paraId="1D933D9F" w14:textId="77777777">
        <w:tc>
          <w:tcPr>
            <w:tcW w:w="0" w:type="auto"/>
            <w:tcBorders>
              <w:bottom w:val="single" w:sz="4" w:space="0" w:color="E5E7EB"/>
            </w:tcBorders>
            <w:tcMar>
              <w:top w:w="80" w:type="dxa"/>
              <w:left w:w="120" w:type="dxa"/>
              <w:bottom w:w="80" w:type="dxa"/>
              <w:right w:w="120" w:type="dxa"/>
            </w:tcMar>
            <w:hideMark/>
          </w:tcPr>
          <w:p w14:paraId="5973B042"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w:t>
            </w:r>
          </w:p>
        </w:tc>
        <w:tc>
          <w:tcPr>
            <w:tcW w:w="0" w:type="auto"/>
            <w:tcBorders>
              <w:bottom w:val="single" w:sz="4" w:space="0" w:color="E5E7EB"/>
            </w:tcBorders>
            <w:tcMar>
              <w:top w:w="80" w:type="dxa"/>
              <w:left w:w="120" w:type="dxa"/>
              <w:bottom w:w="80" w:type="dxa"/>
              <w:right w:w="120" w:type="dxa"/>
            </w:tcMar>
            <w:hideMark/>
          </w:tcPr>
          <w:p w14:paraId="463DB83B"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10,80 €</w:t>
            </w:r>
          </w:p>
        </w:tc>
        <w:tc>
          <w:tcPr>
            <w:tcW w:w="0" w:type="auto"/>
            <w:tcBorders>
              <w:bottom w:val="single" w:sz="4" w:space="0" w:color="E5E7EB"/>
            </w:tcBorders>
            <w:tcMar>
              <w:top w:w="80" w:type="dxa"/>
              <w:left w:w="120" w:type="dxa"/>
              <w:bottom w:w="80" w:type="dxa"/>
              <w:right w:w="120" w:type="dxa"/>
            </w:tcMar>
            <w:hideMark/>
          </w:tcPr>
          <w:p w14:paraId="48D18A9F"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7,50 €</w:t>
            </w:r>
          </w:p>
        </w:tc>
        <w:tc>
          <w:tcPr>
            <w:tcW w:w="0" w:type="auto"/>
            <w:tcBorders>
              <w:bottom w:val="single" w:sz="4" w:space="0" w:color="E5E7EB"/>
            </w:tcBorders>
            <w:tcMar>
              <w:top w:w="80" w:type="dxa"/>
              <w:left w:w="120" w:type="dxa"/>
              <w:bottom w:w="80" w:type="dxa"/>
              <w:right w:w="120" w:type="dxa"/>
            </w:tcMar>
            <w:hideMark/>
          </w:tcPr>
          <w:p w14:paraId="29BFD1C6"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18,30 €</w:t>
            </w:r>
          </w:p>
        </w:tc>
        <w:tc>
          <w:tcPr>
            <w:tcW w:w="0" w:type="auto"/>
            <w:tcBorders>
              <w:bottom w:val="single" w:sz="4" w:space="0" w:color="E5E7EB"/>
            </w:tcBorders>
            <w:tcMar>
              <w:top w:w="80" w:type="dxa"/>
              <w:left w:w="120" w:type="dxa"/>
              <w:bottom w:w="80" w:type="dxa"/>
              <w:right w:w="120" w:type="dxa"/>
            </w:tcMar>
            <w:hideMark/>
          </w:tcPr>
          <w:p w14:paraId="3EDF74DE"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103</w:t>
            </w:r>
          </w:p>
        </w:tc>
      </w:tr>
      <w:tr w:rsidR="00000000" w14:paraId="1BE64C6A" w14:textId="77777777">
        <w:tc>
          <w:tcPr>
            <w:tcW w:w="0" w:type="auto"/>
            <w:tcBorders>
              <w:bottom w:val="single" w:sz="4" w:space="0" w:color="E5E7EB"/>
            </w:tcBorders>
            <w:tcMar>
              <w:top w:w="80" w:type="dxa"/>
              <w:left w:w="120" w:type="dxa"/>
              <w:bottom w:w="80" w:type="dxa"/>
              <w:right w:w="120" w:type="dxa"/>
            </w:tcMar>
            <w:hideMark/>
          </w:tcPr>
          <w:p w14:paraId="34AFAF7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B</w:t>
            </w:r>
          </w:p>
        </w:tc>
        <w:tc>
          <w:tcPr>
            <w:tcW w:w="0" w:type="auto"/>
            <w:tcBorders>
              <w:bottom w:val="single" w:sz="4" w:space="0" w:color="E5E7EB"/>
            </w:tcBorders>
            <w:tcMar>
              <w:top w:w="80" w:type="dxa"/>
              <w:left w:w="120" w:type="dxa"/>
              <w:bottom w:w="80" w:type="dxa"/>
              <w:right w:w="120" w:type="dxa"/>
            </w:tcMar>
            <w:hideMark/>
          </w:tcPr>
          <w:p w14:paraId="52EC2720"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26,70 €</w:t>
            </w:r>
          </w:p>
        </w:tc>
        <w:tc>
          <w:tcPr>
            <w:tcW w:w="0" w:type="auto"/>
            <w:tcBorders>
              <w:bottom w:val="single" w:sz="4" w:space="0" w:color="E5E7EB"/>
            </w:tcBorders>
            <w:tcMar>
              <w:top w:w="80" w:type="dxa"/>
              <w:left w:w="120" w:type="dxa"/>
              <w:bottom w:w="80" w:type="dxa"/>
              <w:right w:w="120" w:type="dxa"/>
            </w:tcMar>
            <w:hideMark/>
          </w:tcPr>
          <w:p w14:paraId="48A5D2D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7,50 €</w:t>
            </w:r>
          </w:p>
        </w:tc>
        <w:tc>
          <w:tcPr>
            <w:tcW w:w="0" w:type="auto"/>
            <w:tcBorders>
              <w:bottom w:val="single" w:sz="4" w:space="0" w:color="E5E7EB"/>
            </w:tcBorders>
            <w:tcMar>
              <w:top w:w="80" w:type="dxa"/>
              <w:left w:w="120" w:type="dxa"/>
              <w:bottom w:w="80" w:type="dxa"/>
              <w:right w:w="120" w:type="dxa"/>
            </w:tcMar>
            <w:hideMark/>
          </w:tcPr>
          <w:p w14:paraId="1C9732C4"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34,20 €</w:t>
            </w:r>
          </w:p>
        </w:tc>
        <w:tc>
          <w:tcPr>
            <w:tcW w:w="0" w:type="auto"/>
            <w:tcBorders>
              <w:bottom w:val="single" w:sz="4" w:space="0" w:color="E5E7EB"/>
            </w:tcBorders>
            <w:tcMar>
              <w:top w:w="80" w:type="dxa"/>
              <w:left w:w="120" w:type="dxa"/>
              <w:bottom w:w="80" w:type="dxa"/>
              <w:right w:w="120" w:type="dxa"/>
            </w:tcMar>
            <w:hideMark/>
          </w:tcPr>
          <w:p w14:paraId="6F8351CE"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35</w:t>
            </w:r>
          </w:p>
        </w:tc>
      </w:tr>
      <w:tr w:rsidR="00000000" w14:paraId="6A4B0D67" w14:textId="77777777">
        <w:tc>
          <w:tcPr>
            <w:tcW w:w="0" w:type="auto"/>
            <w:tcBorders>
              <w:bottom w:val="single" w:sz="4" w:space="0" w:color="E5E7EB"/>
            </w:tcBorders>
            <w:tcMar>
              <w:top w:w="80" w:type="dxa"/>
              <w:left w:w="120" w:type="dxa"/>
              <w:bottom w:w="80" w:type="dxa"/>
              <w:right w:w="120" w:type="dxa"/>
            </w:tcMar>
            <w:hideMark/>
          </w:tcPr>
          <w:p w14:paraId="6D0E4CA8"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C</w:t>
            </w:r>
          </w:p>
        </w:tc>
        <w:tc>
          <w:tcPr>
            <w:tcW w:w="0" w:type="auto"/>
            <w:tcBorders>
              <w:bottom w:val="single" w:sz="4" w:space="0" w:color="E5E7EB"/>
            </w:tcBorders>
            <w:tcMar>
              <w:top w:w="80" w:type="dxa"/>
              <w:left w:w="120" w:type="dxa"/>
              <w:bottom w:w="80" w:type="dxa"/>
              <w:right w:w="120" w:type="dxa"/>
            </w:tcMar>
            <w:hideMark/>
          </w:tcPr>
          <w:p w14:paraId="589FB42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54,50 €</w:t>
            </w:r>
          </w:p>
        </w:tc>
        <w:tc>
          <w:tcPr>
            <w:tcW w:w="0" w:type="auto"/>
            <w:tcBorders>
              <w:bottom w:val="single" w:sz="4" w:space="0" w:color="E5E7EB"/>
            </w:tcBorders>
            <w:tcMar>
              <w:top w:w="80" w:type="dxa"/>
              <w:left w:w="120" w:type="dxa"/>
              <w:bottom w:w="80" w:type="dxa"/>
              <w:right w:w="120" w:type="dxa"/>
            </w:tcMar>
            <w:hideMark/>
          </w:tcPr>
          <w:p w14:paraId="01D018F7"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7,50 €</w:t>
            </w:r>
          </w:p>
        </w:tc>
        <w:tc>
          <w:tcPr>
            <w:tcW w:w="0" w:type="auto"/>
            <w:tcBorders>
              <w:bottom w:val="single" w:sz="4" w:space="0" w:color="E5E7EB"/>
            </w:tcBorders>
            <w:tcMar>
              <w:top w:w="80" w:type="dxa"/>
              <w:left w:w="120" w:type="dxa"/>
              <w:bottom w:w="80" w:type="dxa"/>
              <w:right w:w="120" w:type="dxa"/>
            </w:tcMar>
            <w:hideMark/>
          </w:tcPr>
          <w:p w14:paraId="275A5D73"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62,00 €</w:t>
            </w:r>
          </w:p>
        </w:tc>
        <w:tc>
          <w:tcPr>
            <w:tcW w:w="0" w:type="auto"/>
            <w:tcBorders>
              <w:bottom w:val="single" w:sz="4" w:space="0" w:color="E5E7EB"/>
            </w:tcBorders>
            <w:tcMar>
              <w:top w:w="80" w:type="dxa"/>
              <w:left w:w="120" w:type="dxa"/>
              <w:bottom w:w="80" w:type="dxa"/>
              <w:right w:w="120" w:type="dxa"/>
            </w:tcMar>
            <w:hideMark/>
          </w:tcPr>
          <w:p w14:paraId="50BFD494"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12</w:t>
            </w:r>
          </w:p>
        </w:tc>
      </w:tr>
      <w:tr w:rsidR="00000000" w14:paraId="1C0E1E18" w14:textId="77777777">
        <w:tc>
          <w:tcPr>
            <w:tcW w:w="0" w:type="auto"/>
            <w:tcBorders>
              <w:bottom w:val="single" w:sz="4" w:space="0" w:color="E5E7EB"/>
            </w:tcBorders>
            <w:tcMar>
              <w:top w:w="80" w:type="dxa"/>
              <w:left w:w="120" w:type="dxa"/>
              <w:bottom w:w="80" w:type="dxa"/>
              <w:right w:w="120" w:type="dxa"/>
            </w:tcMar>
            <w:hideMark/>
          </w:tcPr>
          <w:p w14:paraId="5C4E07E0"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w:t>
            </w:r>
          </w:p>
        </w:tc>
        <w:tc>
          <w:tcPr>
            <w:tcW w:w="0" w:type="auto"/>
            <w:tcBorders>
              <w:bottom w:val="single" w:sz="4" w:space="0" w:color="E5E7EB"/>
            </w:tcBorders>
            <w:tcMar>
              <w:top w:w="80" w:type="dxa"/>
              <w:left w:w="120" w:type="dxa"/>
              <w:bottom w:w="80" w:type="dxa"/>
              <w:right w:w="120" w:type="dxa"/>
            </w:tcMar>
            <w:hideMark/>
          </w:tcPr>
          <w:p w14:paraId="389105F3"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70,50 €</w:t>
            </w:r>
          </w:p>
        </w:tc>
        <w:tc>
          <w:tcPr>
            <w:tcW w:w="0" w:type="auto"/>
            <w:tcBorders>
              <w:bottom w:val="single" w:sz="4" w:space="0" w:color="E5E7EB"/>
            </w:tcBorders>
            <w:tcMar>
              <w:top w:w="80" w:type="dxa"/>
              <w:left w:w="120" w:type="dxa"/>
              <w:bottom w:w="80" w:type="dxa"/>
              <w:right w:w="120" w:type="dxa"/>
            </w:tcMar>
            <w:hideMark/>
          </w:tcPr>
          <w:p w14:paraId="2E9E127F"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7,50 €</w:t>
            </w:r>
          </w:p>
        </w:tc>
        <w:tc>
          <w:tcPr>
            <w:tcW w:w="0" w:type="auto"/>
            <w:tcBorders>
              <w:bottom w:val="single" w:sz="4" w:space="0" w:color="E5E7EB"/>
            </w:tcBorders>
            <w:tcMar>
              <w:top w:w="80" w:type="dxa"/>
              <w:left w:w="120" w:type="dxa"/>
              <w:bottom w:w="80" w:type="dxa"/>
              <w:right w:w="120" w:type="dxa"/>
            </w:tcMar>
            <w:hideMark/>
          </w:tcPr>
          <w:p w14:paraId="0138561A"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78,00 €</w:t>
            </w:r>
          </w:p>
        </w:tc>
        <w:tc>
          <w:tcPr>
            <w:tcW w:w="0" w:type="auto"/>
            <w:tcBorders>
              <w:bottom w:val="single" w:sz="4" w:space="0" w:color="E5E7EB"/>
            </w:tcBorders>
            <w:tcMar>
              <w:top w:w="80" w:type="dxa"/>
              <w:left w:w="120" w:type="dxa"/>
              <w:bottom w:w="80" w:type="dxa"/>
              <w:right w:w="120" w:type="dxa"/>
            </w:tcMar>
            <w:hideMark/>
          </w:tcPr>
          <w:p w14:paraId="694BCD41"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1</w:t>
            </w:r>
          </w:p>
        </w:tc>
      </w:tr>
    </w:tbl>
    <w:p w14:paraId="64A537BD"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 case that has to be worked manually carries a surcharge, notified in advance under Annex 2.3. All amounts are net of VAT.</w:t>
      </w:r>
    </w:p>
    <w:p w14:paraId="31583044" w14:textId="77777777" w:rsidR="00223A6C" w:rsidRDefault="00223A6C">
      <w:pPr>
        <w:pStyle w:val="StandardWeb"/>
        <w:rPr>
          <w:rFonts w:ascii="Calibri" w:hAnsi="Calibri" w:cs="Calibri"/>
          <w:color w:val="222233"/>
          <w:sz w:val="21"/>
          <w:szCs w:val="21"/>
        </w:rPr>
      </w:pPr>
      <w:r>
        <w:rPr>
          <w:rStyle w:val="Fett"/>
          <w:rFonts w:ascii="Calibri" w:hAnsi="Calibri" w:cs="Calibri"/>
          <w:color w:val="222233"/>
          <w:sz w:val="21"/>
          <w:szCs w:val="21"/>
        </w:rPr>
        <w:t>United States is not on a tier.</w:t>
      </w:r>
      <w:r>
        <w:rPr>
          <w:rFonts w:ascii="Calibri" w:hAnsi="Calibri" w:cs="Calibri"/>
          <w:color w:val="222233"/>
          <w:sz w:val="21"/>
          <w:szCs w:val="21"/>
        </w:rPr>
        <w:t xml:space="preserve"> </w:t>
      </w:r>
      <w:r>
        <w:rPr>
          <w:rFonts w:ascii="Calibri" w:hAnsi="Calibri" w:cs="Calibri"/>
          <w:color w:val="222233"/>
          <w:sz w:val="21"/>
          <w:szCs w:val="21"/>
        </w:rPr>
        <w:t>It has no single national register: company records are filed with each state, and availability is determined per state. Its cost is agreed separately and remains provisional under clause 8.6; the Fixed Fee applies to it as to every other jurisdiction. Annex 2.2 marks it accordingly.</w:t>
      </w:r>
    </w:p>
    <w:p w14:paraId="1F407C0B" w14:textId="77777777" w:rsidR="00223A6C" w:rsidRDefault="00223A6C">
      <w:pPr>
        <w:pStyle w:val="berschrift2"/>
        <w:rPr>
          <w:rFonts w:eastAsia="Times New Roman"/>
        </w:rPr>
      </w:pPr>
      <w:bookmarkStart w:id="25" w:name="_Toc241436715"/>
      <w:r>
        <w:rPr>
          <w:rFonts w:eastAsia="Times New Roman"/>
        </w:rPr>
        <w:t>2.2 Covered jurisdictions</w:t>
      </w:r>
      <w:bookmarkEnd w:id="25"/>
    </w:p>
    <w:p w14:paraId="07E37596"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152 jurisdictions are covered, together with 26 named sub-registers listed at the end. The </w:t>
      </w:r>
      <w:r>
        <w:rPr>
          <w:rStyle w:val="chip"/>
          <w:rFonts w:ascii="Calibri" w:hAnsi="Calibri" w:cs="Calibri"/>
          <w:color w:val="222233"/>
          <w:sz w:val="21"/>
          <w:szCs w:val="21"/>
        </w:rPr>
        <w:t>highlighted</w:t>
      </w:r>
      <w:r>
        <w:rPr>
          <w:rStyle w:val="chip"/>
          <w:rFonts w:ascii="Calibri" w:hAnsi="Calibri" w:cs="Calibri"/>
          <w:b/>
          <w:bCs/>
          <w:color w:val="222233"/>
          <w:sz w:val="21"/>
          <w:szCs w:val="21"/>
        </w:rPr>
        <w:t> </w:t>
      </w:r>
      <w:r>
        <w:rPr>
          <w:rFonts w:ascii="Calibri" w:hAnsi="Calibri" w:cs="Calibri"/>
          <w:color w:val="222233"/>
          <w:sz w:val="21"/>
          <w:szCs w:val="21"/>
        </w:rPr>
        <w:t xml:space="preserve"> </w:t>
      </w:r>
      <w:r>
        <w:rPr>
          <w:rFonts w:ascii="Calibri" w:hAnsi="Calibri" w:cs="Calibri"/>
          <w:color w:val="222233"/>
          <w:sz w:val="21"/>
          <w:szCs w:val="21"/>
        </w:rPr>
        <w:t>entries are STP's fifteen priority jurisdictions; the letter is the price tier per section 2.1, and — marks a jurisdiction that is not on a tier. Where a jurisdiction has no single national register, it is covered only through the sub-registers named below. Germany is not covered by this Agreement.</w:t>
      </w:r>
    </w:p>
    <w:p w14:paraId="3C22A8D3" w14:textId="77777777" w:rsidR="00223A6C" w:rsidRDefault="00223A6C">
      <w:pPr>
        <w:divId w:val="856502831"/>
        <w:rPr>
          <w:rFonts w:ascii="Calibri" w:eastAsia="Times New Roman" w:hAnsi="Calibri" w:cs="Calibri"/>
          <w:color w:val="222233"/>
          <w:sz w:val="21"/>
          <w:szCs w:val="21"/>
        </w:rPr>
      </w:pPr>
      <w:r>
        <w:rPr>
          <w:rFonts w:ascii="Calibri" w:eastAsia="Times New Roman" w:hAnsi="Calibri" w:cs="Calibri"/>
          <w:color w:val="222233"/>
          <w:sz w:val="21"/>
          <w:szCs w:val="21"/>
        </w:rPr>
        <w:t>Europe 48</w:t>
      </w:r>
    </w:p>
    <w:p w14:paraId="18B37C5F"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Aaland Islands B, Albania A, Austria B, Belarus A, Belgium A, Bosnia and Herzegovina A, Bulgaria A, Croatia A, Cyprus B, Czech Republic A, Denmark A, Estonia A, Faroe Islands A, Finland B, France C, Gibraltar B, Greece A, Guernsey C, Hungary A, Iceland A, Ireland A, Isle of Man B, Italy B, Jersey A, Kosovo A, Latvia A, Liechtenstein B, Luxembourg B, Malta B, Moldova A, Monaco C, Montenegro A, Netherlands A, North Macedonia B, Norway A, Poland A, Portugal C, Romania B, Russia A, San Marino B, Serbia A, Slova</w:t>
      </w:r>
      <w:r>
        <w:rPr>
          <w:rFonts w:ascii="Calibri" w:hAnsi="Calibri" w:cs="Calibri"/>
          <w:color w:val="222233"/>
          <w:sz w:val="21"/>
          <w:szCs w:val="21"/>
        </w:rPr>
        <w:t>kia A, Slovenia A, Spain B, Sweden C, Switzerland A, Ukraine A, United Kingdom A</w:t>
      </w:r>
    </w:p>
    <w:p w14:paraId="38B71A8F" w14:textId="77777777" w:rsidR="00223A6C" w:rsidRDefault="00223A6C">
      <w:pPr>
        <w:divId w:val="1029182272"/>
        <w:rPr>
          <w:rFonts w:ascii="Calibri" w:eastAsia="Times New Roman" w:hAnsi="Calibri" w:cs="Calibri"/>
          <w:color w:val="222233"/>
          <w:sz w:val="21"/>
          <w:szCs w:val="21"/>
        </w:rPr>
      </w:pPr>
      <w:r>
        <w:rPr>
          <w:rFonts w:ascii="Calibri" w:eastAsia="Times New Roman" w:hAnsi="Calibri" w:cs="Calibri"/>
          <w:color w:val="222233"/>
          <w:sz w:val="21"/>
          <w:szCs w:val="21"/>
        </w:rPr>
        <w:t>Americas 32</w:t>
      </w:r>
    </w:p>
    <w:p w14:paraId="6382B5D1"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Anguilla C, Argentina A, Aruba B, Bahamas B, Belize C, Bermuda B, Bolivia A, Bonaire, Sint Eustatius and Saba B, Brazil B, British Virgin Islands D, Canada B, Cayman Islands C, Chile A, Colombia A, Costa Rica B, Curacao A, Ecuador A, Greenland A, Guadeloupe A, Honduras A, Jamaica A, Martinique A, Mexico A, Montserrat A, Panama A, Paraguay A, Peru A, Puerto Rico A, Saint Vincent and the Grenadines A, Trinidad and Tobago A, U.S. Virgin Islands A, United States —</w:t>
      </w:r>
    </w:p>
    <w:p w14:paraId="2885F2E9" w14:textId="77777777" w:rsidR="00223A6C" w:rsidRDefault="00223A6C">
      <w:pPr>
        <w:divId w:val="2117095635"/>
        <w:rPr>
          <w:rFonts w:ascii="Calibri" w:eastAsia="Times New Roman" w:hAnsi="Calibri" w:cs="Calibri"/>
          <w:color w:val="222233"/>
          <w:sz w:val="21"/>
          <w:szCs w:val="21"/>
        </w:rPr>
      </w:pPr>
      <w:r>
        <w:rPr>
          <w:rFonts w:ascii="Calibri" w:eastAsia="Times New Roman" w:hAnsi="Calibri" w:cs="Calibri"/>
          <w:color w:val="222233"/>
          <w:sz w:val="21"/>
          <w:szCs w:val="21"/>
        </w:rPr>
        <w:t>Asia 28</w:t>
      </w:r>
    </w:p>
    <w:p w14:paraId="35C4A245"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Armenia B, Australia B, Azerbaijan A, Brunei C, Cambodia A, China A, Georgia A, Hong Kong B, India A, Indonesia C, Japan A, Kazakhstan A, Kyrgyzstan A, Laos A, Macau A, Malaysia B, Maldives A, Myanmar A, Nepal A, Pakistan B, Philippines B, Singapore A, South Korea A, Sri Lanka A, Taiwan A, Thailand A, Uzbekistan A, Vietnam B</w:t>
      </w:r>
    </w:p>
    <w:p w14:paraId="539211CC" w14:textId="77777777" w:rsidR="00223A6C" w:rsidRDefault="00223A6C">
      <w:pPr>
        <w:divId w:val="1359962946"/>
        <w:rPr>
          <w:rFonts w:ascii="Calibri" w:eastAsia="Times New Roman" w:hAnsi="Calibri" w:cs="Calibri"/>
          <w:color w:val="222233"/>
          <w:sz w:val="21"/>
          <w:szCs w:val="21"/>
        </w:rPr>
      </w:pPr>
      <w:r>
        <w:rPr>
          <w:rFonts w:ascii="Calibri" w:eastAsia="Times New Roman" w:hAnsi="Calibri" w:cs="Calibri"/>
          <w:color w:val="222233"/>
          <w:sz w:val="21"/>
          <w:szCs w:val="21"/>
        </w:rPr>
        <w:t>Middle East 12</w:t>
      </w:r>
    </w:p>
    <w:p w14:paraId="25C1AC0F"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Bahrain A, Iran A, Iraq A, Israel A, Jordan A, Kuwait A, Oman A, Palestine A, Qatar A, Turkey A, United Arab Emirates A, Yemen A</w:t>
      </w:r>
    </w:p>
    <w:p w14:paraId="11F272F9" w14:textId="77777777" w:rsidR="00223A6C" w:rsidRDefault="00223A6C">
      <w:pPr>
        <w:divId w:val="35280923"/>
        <w:rPr>
          <w:rFonts w:ascii="Calibri" w:eastAsia="Times New Roman" w:hAnsi="Calibri" w:cs="Calibri"/>
          <w:color w:val="222233"/>
          <w:sz w:val="21"/>
          <w:szCs w:val="21"/>
        </w:rPr>
      </w:pPr>
      <w:r>
        <w:rPr>
          <w:rFonts w:ascii="Calibri" w:eastAsia="Times New Roman" w:hAnsi="Calibri" w:cs="Calibri"/>
          <w:color w:val="222233"/>
          <w:sz w:val="21"/>
          <w:szCs w:val="21"/>
        </w:rPr>
        <w:t>Africa 19</w:t>
      </w:r>
    </w:p>
    <w:p w14:paraId="1D3184C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Angola A, Botswana A, Burkina Faso A, Djibouti A, Ethiopia A, Kenya B, Lesotho A, Madagascar A, Mauritius A, Mayotte A, Morocco C, Nigeria B, Reunion A, Senegal A, Seychelles C, South Africa A, Togo A, Tunisia A, Zambia B</w:t>
      </w:r>
    </w:p>
    <w:p w14:paraId="0FBFF40E" w14:textId="77777777" w:rsidR="00223A6C" w:rsidRDefault="00223A6C">
      <w:pPr>
        <w:divId w:val="504325649"/>
        <w:rPr>
          <w:rFonts w:ascii="Calibri" w:eastAsia="Times New Roman" w:hAnsi="Calibri" w:cs="Calibri"/>
          <w:color w:val="222233"/>
          <w:sz w:val="21"/>
          <w:szCs w:val="21"/>
        </w:rPr>
      </w:pPr>
      <w:r>
        <w:rPr>
          <w:rFonts w:ascii="Calibri" w:eastAsia="Times New Roman" w:hAnsi="Calibri" w:cs="Calibri"/>
          <w:color w:val="222233"/>
          <w:sz w:val="21"/>
          <w:szCs w:val="21"/>
        </w:rPr>
        <w:t>Oceania 13</w:t>
      </w:r>
    </w:p>
    <w:p w14:paraId="5202792D"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Christmas Island B, Cocos (Keeling) Islands B, Cook Islands A, Fiji B, French Polynesia A, Marshall Islands A, New Caledonia B, New Zealand A, Papua New Guinea A, Samoa A, Solomon Islands A, Tonga A, Vanuatu A</w:t>
      </w:r>
    </w:p>
    <w:p w14:paraId="43EFA71D" w14:textId="77777777" w:rsidR="00223A6C" w:rsidRDefault="00223A6C">
      <w:pPr>
        <w:divId w:val="1112821039"/>
        <w:rPr>
          <w:rFonts w:ascii="Calibri" w:eastAsia="Times New Roman" w:hAnsi="Calibri" w:cs="Calibri"/>
          <w:color w:val="222233"/>
          <w:sz w:val="21"/>
          <w:szCs w:val="21"/>
        </w:rPr>
      </w:pPr>
      <w:r>
        <w:rPr>
          <w:rFonts w:ascii="Calibri" w:eastAsia="Times New Roman" w:hAnsi="Calibri" w:cs="Calibri"/>
          <w:color w:val="222233"/>
          <w:sz w:val="21"/>
          <w:szCs w:val="21"/>
        </w:rPr>
        <w:t>Sub-registers — where the parent jurisdiction has no single national register 26</w:t>
      </w:r>
    </w:p>
    <w:p w14:paraId="5BEACF5C" w14:textId="77777777" w:rsidR="00223A6C" w:rsidRDefault="00223A6C">
      <w:pPr>
        <w:pStyle w:val="subnote"/>
        <w:rPr>
          <w:rFonts w:ascii="Calibri" w:hAnsi="Calibri" w:cs="Calibri"/>
          <w:color w:val="222233"/>
          <w:sz w:val="21"/>
          <w:szCs w:val="21"/>
        </w:rPr>
      </w:pPr>
      <w:r>
        <w:rPr>
          <w:rStyle w:val="Fett"/>
          <w:rFonts w:ascii="Calibri" w:hAnsi="Calibri" w:cs="Calibri"/>
          <w:color w:val="222233"/>
          <w:sz w:val="21"/>
          <w:szCs w:val="21"/>
        </w:rPr>
        <w:t>Canada</w:t>
      </w:r>
      <w:r>
        <w:rPr>
          <w:rFonts w:ascii="Calibri" w:hAnsi="Calibri" w:cs="Calibri"/>
          <w:color w:val="222233"/>
          <w:sz w:val="21"/>
          <w:szCs w:val="21"/>
        </w:rPr>
        <w:t xml:space="preserve"> resolves only in the following 3, and a Case can be placed only in one of them:</w:t>
      </w:r>
    </w:p>
    <w:p w14:paraId="5A21F5BB"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British Columbia B, Newfoundland and Labrador B, Northwest Territories B</w:t>
      </w:r>
    </w:p>
    <w:p w14:paraId="63DCE3B1" w14:textId="77777777" w:rsidR="00223A6C" w:rsidRDefault="00223A6C">
      <w:pPr>
        <w:pStyle w:val="subnote"/>
        <w:rPr>
          <w:rFonts w:ascii="Calibri" w:hAnsi="Calibri" w:cs="Calibri"/>
          <w:color w:val="222233"/>
          <w:sz w:val="21"/>
          <w:szCs w:val="21"/>
        </w:rPr>
      </w:pPr>
      <w:r>
        <w:rPr>
          <w:rStyle w:val="Fett"/>
          <w:rFonts w:ascii="Calibri" w:hAnsi="Calibri" w:cs="Calibri"/>
          <w:color w:val="222233"/>
          <w:sz w:val="21"/>
          <w:szCs w:val="21"/>
        </w:rPr>
        <w:t>United States</w:t>
      </w:r>
      <w:r>
        <w:rPr>
          <w:rFonts w:ascii="Calibri" w:hAnsi="Calibri" w:cs="Calibri"/>
          <w:color w:val="222233"/>
          <w:sz w:val="21"/>
          <w:szCs w:val="21"/>
        </w:rPr>
        <w:t xml:space="preserve"> resolves only in the following 23, and a Case can be placed only in one of them:</w:t>
      </w:r>
    </w:p>
    <w:p w14:paraId="2C17F88F"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Alabama A, Arkansas A, Colorado A, Connecticut A, Delaware A, Florida A, Hawaii A, Idaho A, Iowa A, Kentucky A, Massachusetts A, Minnesota A, Mississippi A, Missouri A, New Jersey A, New Mexico A, New York A, North Dakota A, Oregon A, Rhode Island A, Vermont A, West Virginia A, Wisconsin A</w:t>
      </w:r>
    </w:p>
    <w:p w14:paraId="2EA75812" w14:textId="77777777" w:rsidR="00223A6C" w:rsidRDefault="00223A6C">
      <w:pPr>
        <w:pStyle w:val="pagebreak"/>
        <w:spacing w:after="120"/>
        <w:rPr>
          <w:rFonts w:ascii="Calibri" w:hAnsi="Calibri" w:cs="Calibri"/>
          <w:color w:val="222233"/>
          <w:sz w:val="21"/>
          <w:szCs w:val="21"/>
        </w:rPr>
      </w:pPr>
      <w:r>
        <w:rPr>
          <w:rFonts w:ascii="Calibri" w:hAnsi="Calibri" w:cs="Calibri"/>
          <w:color w:val="222233"/>
          <w:sz w:val="21"/>
          <w:szCs w:val="21"/>
        </w:rPr>
        <w:t> </w:t>
      </w:r>
    </w:p>
    <w:p w14:paraId="64EA8760" w14:textId="77777777" w:rsidR="00223A6C" w:rsidRDefault="00223A6C">
      <w:pPr>
        <w:pStyle w:val="kicker"/>
        <w:rPr>
          <w:rFonts w:ascii="Calibri" w:hAnsi="Calibri" w:cs="Calibri"/>
        </w:rPr>
      </w:pPr>
      <w:r>
        <w:rPr>
          <w:rFonts w:ascii="Calibri" w:hAnsi="Calibri" w:cs="Calibri"/>
        </w:rPr>
        <w:t>Annex 2 to the Reseller Agreement · continued</w:t>
      </w:r>
    </w:p>
    <w:p w14:paraId="145849BD" w14:textId="77777777" w:rsidR="00223A6C" w:rsidRDefault="00223A6C">
      <w:pPr>
        <w:pStyle w:val="berschrift1"/>
        <w:rPr>
          <w:rFonts w:eastAsia="Times New Roman"/>
        </w:rPr>
      </w:pPr>
      <w:bookmarkStart w:id="26" w:name="_Toc241436716"/>
      <w:r>
        <w:rPr>
          <w:rFonts w:eastAsia="Times New Roman"/>
        </w:rPr>
        <w:t>Surcharges, turnaround and end-client rights</w:t>
      </w:r>
      <w:bookmarkEnd w:id="26"/>
    </w:p>
    <w:p w14:paraId="1A11A5AA" w14:textId="77777777" w:rsidR="00223A6C" w:rsidRDefault="00223A6C">
      <w:pPr>
        <w:pStyle w:val="berschrift2"/>
        <w:rPr>
          <w:rFonts w:eastAsia="Times New Roman"/>
        </w:rPr>
      </w:pPr>
      <w:bookmarkStart w:id="27" w:name="_Toc241436717"/>
      <w:r>
        <w:rPr>
          <w:rFonts w:eastAsia="Times New Roman"/>
        </w:rPr>
        <w:t>2.3 Surcharge for additional documents</w:t>
      </w:r>
      <w:bookmarkEnd w:id="27"/>
    </w:p>
    <w:p w14:paraId="320D219B"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Where a document kind is an </w:t>
      </w:r>
      <w:r>
        <w:rPr>
          <w:rStyle w:val="Hervorhebung"/>
          <w:rFonts w:ascii="Calibri" w:hAnsi="Calibri" w:cs="Calibri"/>
          <w:color w:val="222233"/>
          <w:sz w:val="21"/>
          <w:szCs w:val="21"/>
        </w:rPr>
        <w:t>additional document</w:t>
      </w:r>
      <w:r>
        <w:rPr>
          <w:rFonts w:ascii="Calibri" w:hAnsi="Calibri" w:cs="Calibri"/>
          <w:color w:val="222233"/>
          <w:sz w:val="21"/>
          <w:szCs w:val="21"/>
        </w:rPr>
        <w:t xml:space="preserve"> in the sense of Annex 1.3, a </w:t>
      </w:r>
      <w:r>
        <w:rPr>
          <w:rStyle w:val="Fett"/>
          <w:rFonts w:ascii="Calibri" w:hAnsi="Calibri" w:cs="Calibri"/>
          <w:color w:val="222233"/>
          <w:sz w:val="21"/>
          <w:szCs w:val="21"/>
        </w:rPr>
        <w:t>surcharge</w:t>
      </w:r>
      <w:r>
        <w:rPr>
          <w:rFonts w:ascii="Calibri" w:hAnsi="Calibri" w:cs="Calibri"/>
          <w:color w:val="222233"/>
          <w:sz w:val="21"/>
          <w:szCs w:val="21"/>
        </w:rPr>
        <w:t xml:space="preserve"> </w:t>
      </w:r>
      <w:r>
        <w:rPr>
          <w:rFonts w:ascii="Calibri" w:hAnsi="Calibri" w:cs="Calibri"/>
          <w:color w:val="222233"/>
          <w:sz w:val="21"/>
          <w:szCs w:val="21"/>
        </w:rPr>
        <w:t>applies on top of the case price. The surcharge differs per jurisdiction and per document kind.</w:t>
      </w:r>
    </w:p>
    <w:p w14:paraId="3CCF0FA6" w14:textId="77777777" w:rsidR="00223A6C" w:rsidRDefault="00223A6C">
      <w:pPr>
        <w:numPr>
          <w:ilvl w:val="0"/>
          <w:numId w:val="3"/>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Founders1 notifies the applicable amount before it applies. </w:t>
      </w:r>
      <w:r>
        <w:rPr>
          <w:rStyle w:val="Fett"/>
          <w:rFonts w:ascii="Calibri" w:eastAsia="Times New Roman" w:hAnsi="Calibri" w:cs="Calibri"/>
          <w:color w:val="222233"/>
          <w:sz w:val="21"/>
          <w:szCs w:val="21"/>
        </w:rPr>
        <w:t>A surcharge that has not been notified to STP in advance is not charged.</w:t>
      </w:r>
    </w:p>
    <w:p w14:paraId="6E98330F" w14:textId="77777777" w:rsidR="00223A6C" w:rsidRDefault="00223A6C">
      <w:pPr>
        <w:numPr>
          <w:ilvl w:val="0"/>
          <w:numId w:val="3"/>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Founders1 notifies a new or changed surcharge at least 30 days before it applies.</w:t>
      </w:r>
    </w:p>
    <w:p w14:paraId="5FEBCBE5" w14:textId="77777777" w:rsidR="00223A6C" w:rsidRDefault="00223A6C">
      <w:pPr>
        <w:numPr>
          <w:ilvl w:val="0"/>
          <w:numId w:val="3"/>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Per jurisdiction, the parties agree whether the additional document is retrieved </w:t>
      </w:r>
      <w:r>
        <w:rPr>
          <w:rStyle w:val="Fett"/>
          <w:rFonts w:ascii="Calibri" w:eastAsia="Times New Roman" w:hAnsi="Calibri" w:cs="Calibri"/>
          <w:color w:val="222233"/>
          <w:sz w:val="21"/>
          <w:szCs w:val="21"/>
        </w:rPr>
        <w:t>with every case</w:t>
      </w:r>
      <w:r>
        <w:rPr>
          <w:rFonts w:ascii="Calibri" w:eastAsia="Times New Roman" w:hAnsi="Calibri" w:cs="Calibri"/>
          <w:color w:val="222233"/>
          <w:sz w:val="21"/>
          <w:szCs w:val="21"/>
        </w:rPr>
        <w:t xml:space="preserve"> in that jurisdiction, or </w:t>
      </w:r>
      <w:r>
        <w:rPr>
          <w:rStyle w:val="Fett"/>
          <w:rFonts w:ascii="Calibri" w:eastAsia="Times New Roman" w:hAnsi="Calibri" w:cs="Calibri"/>
          <w:color w:val="222233"/>
          <w:sz w:val="21"/>
          <w:szCs w:val="21"/>
        </w:rPr>
        <w:t>only on request</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per case. Where nothing is agreed, it is retrieved only on request.</w:t>
      </w:r>
    </w:p>
    <w:p w14:paraId="73F9FD5C" w14:textId="77777777" w:rsidR="00223A6C" w:rsidRDefault="00223A6C">
      <w:pPr>
        <w:pStyle w:val="berschrift2"/>
        <w:rPr>
          <w:rFonts w:eastAsia="Times New Roman"/>
        </w:rPr>
      </w:pPr>
      <w:bookmarkStart w:id="28" w:name="_Toc241436718"/>
      <w:r>
        <w:rPr>
          <w:rFonts w:eastAsia="Times New Roman"/>
        </w:rPr>
        <w:t>2.4 Turnaround</w:t>
      </w:r>
      <w:bookmarkEnd w:id="28"/>
    </w:p>
    <w:p w14:paraId="5879A536"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Procurement is asynchronous. Automated routes typically complete within minutes to hours; jurisdictions served by a manual registry route take longer, and no fixed turnaround is owed for them (clause 7.2). Founders1 states the expected range per jurisdiction on request; where no range has been stated, none is owed.</w:t>
      </w:r>
    </w:p>
    <w:p w14:paraId="4DC3ECF2" w14:textId="77777777" w:rsidR="00223A6C" w:rsidRDefault="00223A6C">
      <w:pPr>
        <w:pStyle w:val="berschrift2"/>
        <w:rPr>
          <w:rFonts w:eastAsia="Times New Roman"/>
        </w:rPr>
      </w:pPr>
      <w:bookmarkStart w:id="29" w:name="_Toc241436719"/>
      <w:r>
        <w:rPr>
          <w:rFonts w:eastAsia="Times New Roman"/>
        </w:rPr>
        <w:t>2.5 End-client rights</w:t>
      </w:r>
      <w:bookmarkEnd w:id="29"/>
    </w:p>
    <w:p w14:paraId="7065E211"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Wha</w:t>
      </w:r>
      <w:r>
        <w:rPr>
          <w:rFonts w:ascii="Calibri" w:hAnsi="Calibri" w:cs="Calibri"/>
          <w:color w:val="222233"/>
          <w:sz w:val="21"/>
          <w:szCs w:val="21"/>
        </w:rPr>
        <w:t>t an End Client may do with a Document is set out in clause 3.5. STP determines its terms with End Clients itself.</w:t>
      </w:r>
    </w:p>
    <w:p w14:paraId="0F9EA46F" w14:textId="77777777" w:rsidR="00223A6C" w:rsidRDefault="00223A6C">
      <w:pPr>
        <w:pStyle w:val="pagebreak"/>
        <w:spacing w:after="120"/>
        <w:rPr>
          <w:rFonts w:ascii="Calibri" w:hAnsi="Calibri" w:cs="Calibri"/>
          <w:color w:val="222233"/>
          <w:sz w:val="21"/>
          <w:szCs w:val="21"/>
        </w:rPr>
      </w:pPr>
      <w:r>
        <w:rPr>
          <w:rFonts w:ascii="Calibri" w:hAnsi="Calibri" w:cs="Calibri"/>
          <w:color w:val="222233"/>
          <w:sz w:val="21"/>
          <w:szCs w:val="21"/>
        </w:rPr>
        <w:t> </w:t>
      </w:r>
    </w:p>
    <w:p w14:paraId="5416EC59" w14:textId="77777777" w:rsidR="00223A6C" w:rsidRDefault="00223A6C">
      <w:pPr>
        <w:pStyle w:val="kicker"/>
        <w:rPr>
          <w:rFonts w:ascii="Calibri" w:hAnsi="Calibri" w:cs="Calibri"/>
        </w:rPr>
      </w:pPr>
      <w:r>
        <w:rPr>
          <w:rFonts w:ascii="Calibri" w:hAnsi="Calibri" w:cs="Calibri"/>
        </w:rPr>
        <w:t>Annex 3 to the Reseller Agreement</w:t>
      </w:r>
    </w:p>
    <w:p w14:paraId="0E75EAC0" w14:textId="77777777" w:rsidR="00223A6C" w:rsidRDefault="00223A6C">
      <w:pPr>
        <w:pStyle w:val="berschrift1"/>
        <w:rPr>
          <w:rFonts w:eastAsia="Times New Roman"/>
        </w:rPr>
      </w:pPr>
      <w:bookmarkStart w:id="30" w:name="_Toc241436720"/>
      <w:r>
        <w:rPr>
          <w:rFonts w:eastAsia="Times New Roman"/>
        </w:rPr>
        <w:t>Data protection between independent controllers</w:t>
      </w:r>
      <w:bookmarkEnd w:id="30"/>
    </w:p>
    <w:p w14:paraId="5CBB881D" w14:textId="77777777" w:rsidR="00223A6C" w:rsidRDefault="00223A6C">
      <w:pPr>
        <w:pStyle w:val="meta"/>
        <w:rPr>
          <w:rFonts w:ascii="Calibri" w:hAnsi="Calibri" w:cs="Calibri"/>
        </w:rPr>
      </w:pPr>
      <w:r>
        <w:rPr>
          <w:rFonts w:ascii="Calibri" w:hAnsi="Calibri" w:cs="Calibri"/>
        </w:rPr>
        <w:t>Founders1 GmbH — STP Business Information GmbH · Draft 2, 24 September 2026</w:t>
      </w:r>
    </w:p>
    <w:p w14:paraId="21619B80" w14:textId="77777777" w:rsidR="00223A6C" w:rsidRDefault="00223A6C">
      <w:pPr>
        <w:pStyle w:val="berschrift2"/>
        <w:rPr>
          <w:rFonts w:eastAsia="Times New Roman"/>
        </w:rPr>
      </w:pPr>
      <w:bookmarkStart w:id="31" w:name="_Toc241436721"/>
      <w:r>
        <w:rPr>
          <w:rFonts w:eastAsia="Times New Roman"/>
        </w:rPr>
        <w:t>3.1 Roles</w:t>
      </w:r>
      <w:bookmarkEnd w:id="31"/>
    </w:p>
    <w:p w14:paraId="3897449C"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Each party determines the purposes and means of its own processing and acts as an </w:t>
      </w:r>
      <w:r>
        <w:rPr>
          <w:rStyle w:val="Fett"/>
          <w:rFonts w:ascii="Calibri" w:hAnsi="Calibri" w:cs="Calibri"/>
          <w:color w:val="222233"/>
          <w:sz w:val="21"/>
          <w:szCs w:val="21"/>
        </w:rPr>
        <w:t>independent controller</w:t>
      </w:r>
      <w:r>
        <w:rPr>
          <w:rFonts w:ascii="Calibri" w:hAnsi="Calibri" w:cs="Calibri"/>
          <w:color w:val="222233"/>
          <w:sz w:val="21"/>
          <w:szCs w:val="21"/>
        </w:rPr>
        <w:t xml:space="preserve"> </w:t>
      </w:r>
      <w:r>
        <w:rPr>
          <w:rFonts w:ascii="Calibri" w:hAnsi="Calibri" w:cs="Calibri"/>
          <w:color w:val="222233"/>
          <w:sz w:val="21"/>
          <w:szCs w:val="21"/>
        </w:rPr>
        <w:t>under Art. 4 No. 7 GDPR. Neither party processes on behalf of the other; Art. 28 GDPR does not apply, and no joint controllership under Art. 26 GDPR is established. Each party is separately responsible for the lawfulness of its own processing.</w:t>
      </w:r>
    </w:p>
    <w:p w14:paraId="1E2FD69C"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decides which route a Case takes, what is retrieved, and how long it is held, and is the controller of that processing along its whole procurement chain; parties Founders1 engages for procurement act as its processors. Delivery to STP is therefore a transfer between two controllers, not a disclosure by a processor.</w:t>
      </w:r>
    </w:p>
    <w:p w14:paraId="2C48F285"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Founders1 also </w:t>
      </w:r>
      <w:r>
        <w:rPr>
          <w:rStyle w:val="Fett"/>
          <w:rFonts w:ascii="Calibri" w:hAnsi="Calibri" w:cs="Calibri"/>
          <w:color w:val="222233"/>
          <w:sz w:val="21"/>
          <w:szCs w:val="21"/>
        </w:rPr>
        <w:t>holds the documents it procures under its own retention rules</w:t>
      </w:r>
      <w:r>
        <w:rPr>
          <w:rFonts w:ascii="Calibri" w:hAnsi="Calibri" w:cs="Calibri"/>
          <w:color w:val="222233"/>
          <w:sz w:val="21"/>
          <w:szCs w:val="21"/>
        </w:rPr>
        <w:t xml:space="preserve"> </w:t>
      </w:r>
      <w:r>
        <w:rPr>
          <w:rFonts w:ascii="Calibri" w:hAnsi="Calibri" w:cs="Calibri"/>
          <w:color w:val="222233"/>
          <w:sz w:val="21"/>
          <w:szCs w:val="21"/>
        </w:rPr>
        <w:t>(clause 14.4). It therefore processes for its own purposes and on its own determination, and not solely on STP's instruction, which is what distinguishes this arrangement from processing under Art. 28 GDPR.</w:t>
      </w:r>
    </w:p>
    <w:p w14:paraId="058C959D" w14:textId="77777777" w:rsidR="00223A6C" w:rsidRDefault="00223A6C">
      <w:pPr>
        <w:pStyle w:val="berschrift2"/>
        <w:rPr>
          <w:rFonts w:eastAsia="Times New Roman"/>
        </w:rPr>
      </w:pPr>
      <w:bookmarkStart w:id="32" w:name="_Toc241436722"/>
      <w:r>
        <w:rPr>
          <w:rFonts w:eastAsia="Times New Roman"/>
        </w:rPr>
        <w:t>3.2 What is processed</w:t>
      </w:r>
      <w:bookmarkEnd w:id="32"/>
    </w:p>
    <w:tbl>
      <w:tblPr>
        <w:tblW w:w="5000" w:type="pct"/>
        <w:tblCellMar>
          <w:top w:w="15" w:type="dxa"/>
          <w:left w:w="15" w:type="dxa"/>
          <w:bottom w:w="15" w:type="dxa"/>
          <w:right w:w="15" w:type="dxa"/>
        </w:tblCellMar>
        <w:tblLook w:val="04A0" w:firstRow="1" w:lastRow="0" w:firstColumn="1" w:lastColumn="0" w:noHBand="0" w:noVBand="1"/>
      </w:tblPr>
      <w:tblGrid>
        <w:gridCol w:w="2314"/>
        <w:gridCol w:w="7098"/>
      </w:tblGrid>
      <w:tr w:rsidR="00000000" w14:paraId="2B809921" w14:textId="77777777">
        <w:trPr>
          <w:tblHeader/>
        </w:trPr>
        <w:tc>
          <w:tcPr>
            <w:tcW w:w="0" w:type="auto"/>
            <w:shd w:val="clear" w:color="auto" w:fill="1A2340"/>
            <w:tcMar>
              <w:top w:w="80" w:type="dxa"/>
              <w:left w:w="120" w:type="dxa"/>
              <w:bottom w:w="80" w:type="dxa"/>
              <w:right w:w="120" w:type="dxa"/>
            </w:tcMar>
            <w:vAlign w:val="center"/>
            <w:hideMark/>
          </w:tcPr>
          <w:p w14:paraId="7D544B79"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Data subjects</w:t>
            </w:r>
          </w:p>
        </w:tc>
        <w:tc>
          <w:tcPr>
            <w:tcW w:w="0" w:type="auto"/>
            <w:shd w:val="clear" w:color="auto" w:fill="1A2340"/>
            <w:tcMar>
              <w:top w:w="80" w:type="dxa"/>
              <w:left w:w="120" w:type="dxa"/>
              <w:bottom w:w="80" w:type="dxa"/>
              <w:right w:w="120" w:type="dxa"/>
            </w:tcMar>
            <w:vAlign w:val="center"/>
            <w:hideMark/>
          </w:tcPr>
          <w:p w14:paraId="25E05DF0"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Categories of data</w:t>
            </w:r>
          </w:p>
        </w:tc>
      </w:tr>
      <w:tr w:rsidR="00000000" w14:paraId="4836F361" w14:textId="77777777">
        <w:tc>
          <w:tcPr>
            <w:tcW w:w="0" w:type="auto"/>
            <w:tcBorders>
              <w:bottom w:val="single" w:sz="4" w:space="0" w:color="E5E7EB"/>
            </w:tcBorders>
            <w:tcMar>
              <w:top w:w="80" w:type="dxa"/>
              <w:left w:w="120" w:type="dxa"/>
              <w:bottom w:w="80" w:type="dxa"/>
              <w:right w:w="120" w:type="dxa"/>
            </w:tcMar>
            <w:hideMark/>
          </w:tcPr>
          <w:p w14:paraId="7F7F51C3"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Directors and officers</w:t>
            </w:r>
          </w:p>
        </w:tc>
        <w:tc>
          <w:tcPr>
            <w:tcW w:w="0" w:type="auto"/>
            <w:tcBorders>
              <w:bottom w:val="single" w:sz="4" w:space="0" w:color="E5E7EB"/>
            </w:tcBorders>
            <w:tcMar>
              <w:top w:w="80" w:type="dxa"/>
              <w:left w:w="120" w:type="dxa"/>
              <w:bottom w:w="80" w:type="dxa"/>
              <w:right w:w="120" w:type="dxa"/>
            </w:tcMar>
            <w:hideMark/>
          </w:tcPr>
          <w:p w14:paraId="5270B0AE"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name, function, date of birth, address as held by the register</w:t>
            </w:r>
          </w:p>
        </w:tc>
      </w:tr>
      <w:tr w:rsidR="00000000" w14:paraId="407E115B" w14:textId="77777777">
        <w:tc>
          <w:tcPr>
            <w:tcW w:w="0" w:type="auto"/>
            <w:tcBorders>
              <w:bottom w:val="single" w:sz="4" w:space="0" w:color="E5E7EB"/>
            </w:tcBorders>
            <w:tcMar>
              <w:top w:w="80" w:type="dxa"/>
              <w:left w:w="120" w:type="dxa"/>
              <w:bottom w:w="80" w:type="dxa"/>
              <w:right w:w="120" w:type="dxa"/>
            </w:tcMar>
            <w:hideMark/>
          </w:tcPr>
          <w:p w14:paraId="7F23A6DA"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Shareholders</w:t>
            </w:r>
          </w:p>
        </w:tc>
        <w:tc>
          <w:tcPr>
            <w:tcW w:w="0" w:type="auto"/>
            <w:tcBorders>
              <w:bottom w:val="single" w:sz="4" w:space="0" w:color="E5E7EB"/>
            </w:tcBorders>
            <w:tcMar>
              <w:top w:w="80" w:type="dxa"/>
              <w:left w:w="120" w:type="dxa"/>
              <w:bottom w:w="80" w:type="dxa"/>
              <w:right w:w="120" w:type="dxa"/>
            </w:tcMar>
            <w:hideMark/>
          </w:tcPr>
          <w:p w14:paraId="15C4F880"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name, address, shareholding, capital contribution as held by the register</w:t>
            </w:r>
          </w:p>
        </w:tc>
      </w:tr>
      <w:tr w:rsidR="00000000" w14:paraId="49FE2CBF" w14:textId="77777777">
        <w:tc>
          <w:tcPr>
            <w:tcW w:w="0" w:type="auto"/>
            <w:tcBorders>
              <w:bottom w:val="single" w:sz="4" w:space="0" w:color="E5E7EB"/>
            </w:tcBorders>
            <w:tcMar>
              <w:top w:w="80" w:type="dxa"/>
              <w:left w:w="120" w:type="dxa"/>
              <w:bottom w:w="80" w:type="dxa"/>
              <w:right w:w="120" w:type="dxa"/>
            </w:tcMar>
            <w:hideMark/>
          </w:tcPr>
          <w:p w14:paraId="3F6C9525"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Beneficial owners</w:t>
            </w:r>
          </w:p>
        </w:tc>
        <w:tc>
          <w:tcPr>
            <w:tcW w:w="0" w:type="auto"/>
            <w:tcBorders>
              <w:bottom w:val="single" w:sz="4" w:space="0" w:color="E5E7EB"/>
            </w:tcBorders>
            <w:tcMar>
              <w:top w:w="80" w:type="dxa"/>
              <w:left w:w="120" w:type="dxa"/>
              <w:bottom w:w="80" w:type="dxa"/>
              <w:right w:w="120" w:type="dxa"/>
            </w:tcMar>
            <w:hideMark/>
          </w:tcPr>
          <w:p w14:paraId="43A2720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name, date of birth, nationality, nature and extent of the interest</w:t>
            </w:r>
          </w:p>
        </w:tc>
      </w:tr>
      <w:tr w:rsidR="00000000" w14:paraId="6B67C1D9" w14:textId="77777777">
        <w:tc>
          <w:tcPr>
            <w:tcW w:w="0" w:type="auto"/>
            <w:tcBorders>
              <w:bottom w:val="single" w:sz="4" w:space="0" w:color="E5E7EB"/>
            </w:tcBorders>
            <w:tcMar>
              <w:top w:w="80" w:type="dxa"/>
              <w:left w:w="120" w:type="dxa"/>
              <w:bottom w:w="80" w:type="dxa"/>
              <w:right w:w="120" w:type="dxa"/>
            </w:tcMar>
            <w:hideMark/>
          </w:tcPr>
          <w:p w14:paraId="370774E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Users at STP</w:t>
            </w:r>
          </w:p>
        </w:tc>
        <w:tc>
          <w:tcPr>
            <w:tcW w:w="0" w:type="auto"/>
            <w:tcBorders>
              <w:bottom w:val="single" w:sz="4" w:space="0" w:color="E5E7EB"/>
            </w:tcBorders>
            <w:tcMar>
              <w:top w:w="80" w:type="dxa"/>
              <w:left w:w="120" w:type="dxa"/>
              <w:bottom w:w="80" w:type="dxa"/>
              <w:right w:w="120" w:type="dxa"/>
            </w:tcMar>
            <w:hideMark/>
          </w:tcPr>
          <w:p w14:paraId="341D8443"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name, business contact details, account and log data of the API</w:t>
            </w:r>
          </w:p>
        </w:tc>
      </w:tr>
    </w:tbl>
    <w:p w14:paraId="068494ED"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No special categories under Art. 9 GDPR are processed. The register content originates from public company registers; Founders1 does not obtain it from the data subject.</w:t>
      </w:r>
    </w:p>
    <w:p w14:paraId="2751FB93" w14:textId="77777777" w:rsidR="00223A6C" w:rsidRDefault="00223A6C">
      <w:pPr>
        <w:pStyle w:val="berschrift2"/>
        <w:rPr>
          <w:rFonts w:eastAsia="Times New Roman"/>
        </w:rPr>
      </w:pPr>
      <w:bookmarkStart w:id="33" w:name="_Toc241436723"/>
      <w:r>
        <w:rPr>
          <w:rFonts w:eastAsia="Times New Roman"/>
        </w:rPr>
        <w:t>3.3 Purposes and legal basis</w:t>
      </w:r>
      <w:bookmarkEnd w:id="33"/>
    </w:p>
    <w:p w14:paraId="0F2D0814"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Processing serves the procurement, delivery and documentation of registry information so that STP and its End Clients can meet their obligations under money-laundering law. Each party relies on its own legal basis, as a rule Art. 6 (1) (b) or (f) GDPR, and for End Clients subject to money-laundering law additionally Art. 6 (1) (c) GDPR.</w:t>
      </w:r>
    </w:p>
    <w:p w14:paraId="4D9B9A4B"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The information duty under Art. 14 GDPR falls on each party for its own processing. Each party assesses independently whether Art. 14 (5) GDPR applies.</w:t>
      </w:r>
    </w:p>
    <w:p w14:paraId="657AFD78" w14:textId="77777777" w:rsidR="00223A6C" w:rsidRDefault="00223A6C">
      <w:pPr>
        <w:pStyle w:val="berschrift2"/>
        <w:rPr>
          <w:rFonts w:eastAsia="Times New Roman"/>
        </w:rPr>
      </w:pPr>
      <w:bookmarkStart w:id="34" w:name="_Toc241436724"/>
      <w:r>
        <w:rPr>
          <w:rFonts w:eastAsia="Times New Roman"/>
        </w:rPr>
        <w:t>3.4 Technical and organisational measures</w:t>
      </w:r>
      <w:bookmarkEnd w:id="34"/>
    </w:p>
    <w:p w14:paraId="3A5AD6B6" w14:textId="77777777" w:rsidR="00223A6C" w:rsidRDefault="00223A6C">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Encryption in transit (TLS) and at rest for stored documents; access only over authenticated, rate-limited API access bound to STP's account.</w:t>
      </w:r>
    </w:p>
    <w:p w14:paraId="49EBD018" w14:textId="77777777" w:rsidR="00223A6C" w:rsidRDefault="00223A6C">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Role-based access within Founders1, restricted to staff who need it; access to production data logged.</w:t>
      </w:r>
    </w:p>
    <w:p w14:paraId="769B0999" w14:textId="77777777" w:rsidR="00223A6C" w:rsidRDefault="00223A6C">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Documents and case records are held within the EU/EEA. Founders1 maintains a </w:t>
      </w:r>
      <w:r>
        <w:rPr>
          <w:rStyle w:val="Fett"/>
          <w:rFonts w:ascii="Calibri" w:eastAsia="Times New Roman" w:hAnsi="Calibri" w:cs="Calibri"/>
          <w:color w:val="222233"/>
          <w:sz w:val="21"/>
          <w:szCs w:val="21"/>
        </w:rPr>
        <w:t>list of its sub-processors</w:t>
      </w:r>
      <w:r>
        <w:rPr>
          <w:rFonts w:ascii="Calibri" w:eastAsia="Times New Roman" w:hAnsi="Calibri" w:cs="Calibri"/>
          <w:color w:val="222233"/>
          <w:sz w:val="21"/>
          <w:szCs w:val="21"/>
        </w:rPr>
        <w:t>, provides it on request and keeps it current, and notifies STP at least 30 days before adding or replacing one. STP may object on reasonable grounds relating to data protection; where the objection cannot be resolved, STP may terminate the affected jurisdictions.</w:t>
      </w:r>
    </w:p>
    <w:p w14:paraId="34CC2D77" w14:textId="77777777" w:rsidR="00223A6C" w:rsidRDefault="00223A6C">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Segregation of test and production environments; backups encrypted; restore tested.</w:t>
      </w:r>
    </w:p>
    <w:p w14:paraId="17F903E0" w14:textId="77777777" w:rsidR="00223A6C" w:rsidRDefault="00223A6C">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Retention and deletion follow Annex 1 and clause 14.4.</w:t>
      </w:r>
    </w:p>
    <w:p w14:paraId="47167374" w14:textId="77777777" w:rsidR="00223A6C" w:rsidRDefault="00223A6C">
      <w:pPr>
        <w:pStyle w:val="berschrift2"/>
        <w:rPr>
          <w:rFonts w:eastAsia="Times New Roman"/>
        </w:rPr>
      </w:pPr>
      <w:bookmarkStart w:id="35" w:name="_Toc241436725"/>
      <w:r>
        <w:rPr>
          <w:rFonts w:eastAsia="Times New Roman"/>
        </w:rPr>
        <w:t>3.5 Transfers to third countries</w:t>
      </w:r>
      <w:bookmarkEnd w:id="35"/>
    </w:p>
    <w:p w14:paraId="43580321"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Storage is in the EU/EEA (section 3.4). </w:t>
      </w:r>
      <w:r>
        <w:rPr>
          <w:rStyle w:val="Fett"/>
          <w:rFonts w:ascii="Calibri" w:hAnsi="Calibri" w:cs="Calibri"/>
          <w:color w:val="222233"/>
          <w:sz w:val="21"/>
          <w:szCs w:val="21"/>
        </w:rPr>
        <w:t>Procurement is not.</w:t>
      </w:r>
      <w:r>
        <w:rPr>
          <w:rFonts w:ascii="Calibri" w:hAnsi="Calibri" w:cs="Calibri"/>
          <w:color w:val="222233"/>
          <w:sz w:val="21"/>
          <w:szCs w:val="21"/>
        </w:rPr>
        <w:t xml:space="preserve"> </w:t>
      </w:r>
      <w:r>
        <w:rPr>
          <w:rFonts w:ascii="Calibri" w:hAnsi="Calibri" w:cs="Calibri"/>
          <w:color w:val="222233"/>
          <w:sz w:val="21"/>
          <w:szCs w:val="21"/>
        </w:rPr>
        <w:t>Retrieving a record from a register means transmitting the company identifiers, and where applicable the name of a person searched for, to the jurisdiction of that register. For the jurisdictions covered by Annex 2.2 that necessarily includes third countries without an adequacy decision.</w:t>
      </w:r>
    </w:p>
    <w:p w14:paraId="227CE899" w14:textId="77777777" w:rsidR="00223A6C" w:rsidRDefault="00223A6C">
      <w:pPr>
        <w:numPr>
          <w:ilvl w:val="0"/>
          <w:numId w:val="5"/>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Where a transfer is necessary to perform the Case that STP has placed, or to establish or defend legal claims, Founders1 relies on </w:t>
      </w:r>
      <w:r>
        <w:rPr>
          <w:rStyle w:val="Fett"/>
          <w:rFonts w:ascii="Calibri" w:eastAsia="Times New Roman" w:hAnsi="Calibri" w:cs="Calibri"/>
          <w:color w:val="222233"/>
          <w:sz w:val="21"/>
          <w:szCs w:val="21"/>
        </w:rPr>
        <w:t>Art. 49 (1) (b) or (e) GDPR</w:t>
      </w:r>
      <w:r>
        <w:rPr>
          <w:rFonts w:ascii="Calibri" w:eastAsia="Times New Roman" w:hAnsi="Calibri" w:cs="Calibri"/>
          <w:color w:val="222233"/>
          <w:sz w:val="21"/>
          <w:szCs w:val="21"/>
        </w:rPr>
        <w:t>. Such transfers are occasional, limited to the identifiers needed to address the register, and are not bulk.</w:t>
      </w:r>
    </w:p>
    <w:p w14:paraId="2CF406BB" w14:textId="77777777" w:rsidR="00223A6C" w:rsidRDefault="00223A6C">
      <w:pPr>
        <w:numPr>
          <w:ilvl w:val="0"/>
          <w:numId w:val="5"/>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Documents and case records returned from a register are stored in the EU/EEA. Onward transfer of a Document by Founders1 to a third country does not take place.</w:t>
      </w:r>
    </w:p>
    <w:p w14:paraId="28B302E9" w14:textId="77777777" w:rsidR="00223A6C" w:rsidRDefault="00223A6C">
      <w:pPr>
        <w:numPr>
          <w:ilvl w:val="0"/>
          <w:numId w:val="5"/>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Founders1 maintains a list of covered jurisdictions outside the EU/EEA and provides it on request. STP may exclude jurisdictions from its own use of the service at any time.</w:t>
      </w:r>
    </w:p>
    <w:p w14:paraId="7683695A" w14:textId="77777777" w:rsidR="00223A6C" w:rsidRDefault="00223A6C">
      <w:pPr>
        <w:numPr>
          <w:ilvl w:val="0"/>
          <w:numId w:val="5"/>
        </w:numPr>
        <w:spacing w:after="80"/>
        <w:ind w:left="1080"/>
        <w:rPr>
          <w:rFonts w:ascii="Calibri" w:eastAsia="Times New Roman" w:hAnsi="Calibri" w:cs="Calibri"/>
          <w:color w:val="222233"/>
          <w:sz w:val="21"/>
          <w:szCs w:val="21"/>
        </w:rPr>
      </w:pPr>
      <w:r>
        <w:rPr>
          <w:rStyle w:val="Fett"/>
          <w:rFonts w:ascii="Calibri" w:eastAsia="Times New Roman" w:hAnsi="Calibri" w:cs="Calibri"/>
          <w:color w:val="222233"/>
          <w:sz w:val="21"/>
          <w:szCs w:val="21"/>
        </w:rPr>
        <w:t>Sanctions.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A jurisdiction appearing in Annex 2.2 is a statement about register coverage, not a representation that a Case in that jurisdiction may lawfully be placed. Each party remains responsible for its own sanctions and export-control compliance, and Founders1 may decline a Case under clause 7.4 on that ground.</w:t>
      </w:r>
    </w:p>
    <w:p w14:paraId="2A6D9131" w14:textId="77777777" w:rsidR="00223A6C" w:rsidRDefault="00223A6C">
      <w:pPr>
        <w:pStyle w:val="berschrift2"/>
        <w:rPr>
          <w:rFonts w:eastAsia="Times New Roman"/>
        </w:rPr>
      </w:pPr>
      <w:bookmarkStart w:id="36" w:name="_Toc241436726"/>
      <w:r>
        <w:rPr>
          <w:rFonts w:eastAsia="Times New Roman"/>
        </w:rPr>
        <w:t>3.6 Cooperation</w:t>
      </w:r>
      <w:bookmarkEnd w:id="36"/>
    </w:p>
    <w:p w14:paraId="4867C311"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Each party informs the other without undue delay of a personal data breach affecting data received from the other, with the information needed for that party's own notification duties. Data-subject requests are answered by the party that received them; where a request concerns the other party's processing, it is forwarded without undue delay. Each party names a contact point for data protection matters on signature.</w:t>
      </w:r>
    </w:p>
    <w:sectPr w:rsidR="00223A6C" w:rsidSect="00A4197D">
      <w:pgSz w:w="11906" w:h="16838"/>
      <w:pgMar w:top="1134" w:right="1247" w:bottom="1134" w:left="124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5FE2"/>
    <w:multiLevelType w:val="multilevel"/>
    <w:tmpl w:val="390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916E5"/>
    <w:multiLevelType w:val="multilevel"/>
    <w:tmpl w:val="01F2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E7AEC"/>
    <w:multiLevelType w:val="multilevel"/>
    <w:tmpl w:val="16FE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30471F"/>
    <w:multiLevelType w:val="multilevel"/>
    <w:tmpl w:val="2612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AD3188"/>
    <w:multiLevelType w:val="multilevel"/>
    <w:tmpl w:val="E640B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601983">
    <w:abstractNumId w:val="3"/>
  </w:num>
  <w:num w:numId="2" w16cid:durableId="122113735">
    <w:abstractNumId w:val="4"/>
  </w:num>
  <w:num w:numId="3" w16cid:durableId="1649430628">
    <w:abstractNumId w:val="2"/>
  </w:num>
  <w:num w:numId="4" w16cid:durableId="2141678696">
    <w:abstractNumId w:val="0"/>
  </w:num>
  <w:num w:numId="5" w16cid:durableId="1983121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trackRevisions/>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197D"/>
    <w:rsid w:val="00223A6C"/>
    <w:rsid w:val="0030057D"/>
    <w:rsid w:val="004C30B2"/>
    <w:rsid w:val="00A419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3CCD6D"/>
  <w15:chartTrackingRefBased/>
  <w15:docId w15:val="{E3313B8A-93EE-486D-9F91-1186A945E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after="80"/>
      <w:outlineLvl w:val="0"/>
    </w:pPr>
    <w:rPr>
      <w:rFonts w:ascii="Calibri" w:hAnsi="Calibri" w:cs="Calibri"/>
      <w:b/>
      <w:bCs/>
      <w:color w:val="1A2340"/>
      <w:kern w:val="36"/>
      <w:sz w:val="38"/>
      <w:szCs w:val="38"/>
    </w:rPr>
  </w:style>
  <w:style w:type="paragraph" w:styleId="berschrift2">
    <w:name w:val="heading 2"/>
    <w:basedOn w:val="Standard"/>
    <w:link w:val="berschrift2Zchn"/>
    <w:uiPriority w:val="9"/>
    <w:qFormat/>
    <w:pPr>
      <w:pBdr>
        <w:bottom w:val="single" w:sz="8" w:space="2" w:color="6895FF"/>
      </w:pBdr>
      <w:spacing w:before="320" w:after="120"/>
      <w:outlineLvl w:val="1"/>
    </w:pPr>
    <w:rPr>
      <w:rFonts w:ascii="Calibri" w:hAnsi="Calibri" w:cs="Calibri"/>
      <w:b/>
      <w:bCs/>
      <w:color w:val="1A2340"/>
    </w:rPr>
  </w:style>
  <w:style w:type="paragraph" w:styleId="berschrift3">
    <w:name w:val="heading 3"/>
    <w:basedOn w:val="Standard"/>
    <w:link w:val="berschrift3Zchn"/>
    <w:uiPriority w:val="9"/>
    <w:qFormat/>
    <w:pPr>
      <w:spacing w:before="240" w:after="80"/>
      <w:outlineLvl w:val="2"/>
    </w:pPr>
    <w:rPr>
      <w:b/>
      <w:bCs/>
      <w:color w:val="1A2340"/>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Standard"/>
    <w:pPr>
      <w:spacing w:after="120"/>
    </w:pPr>
  </w:style>
  <w:style w:type="paragraph" w:styleId="StandardWeb">
    <w:name w:val="Normal (Web)"/>
    <w:basedOn w:val="Standard"/>
    <w:uiPriority w:val="99"/>
    <w:semiHidden/>
    <w:unhideWhenUsed/>
    <w:pPr>
      <w:spacing w:after="120"/>
    </w:pPr>
  </w:style>
  <w:style w:type="paragraph" w:customStyle="1" w:styleId="cl">
    <w:name w:val="cl"/>
    <w:basedOn w:val="Standard"/>
    <w:pPr>
      <w:spacing w:after="120"/>
    </w:pPr>
  </w:style>
  <w:style w:type="paragraph" w:customStyle="1" w:styleId="kicker">
    <w:name w:val="kicker"/>
    <w:basedOn w:val="Standard"/>
    <w:pPr>
      <w:spacing w:after="40"/>
    </w:pPr>
    <w:rPr>
      <w:color w:val="6895FF"/>
      <w:spacing w:val="20"/>
      <w:sz w:val="16"/>
      <w:szCs w:val="16"/>
    </w:rPr>
  </w:style>
  <w:style w:type="paragraph" w:customStyle="1" w:styleId="meta">
    <w:name w:val="meta"/>
    <w:basedOn w:val="Standard"/>
    <w:pPr>
      <w:spacing w:after="60"/>
    </w:pPr>
    <w:rPr>
      <w:color w:val="6B7280"/>
      <w:sz w:val="18"/>
      <w:szCs w:val="18"/>
    </w:rPr>
  </w:style>
  <w:style w:type="paragraph" w:customStyle="1" w:styleId="pagebreak">
    <w:name w:val="pagebreak"/>
    <w:basedOn w:val="Standard"/>
    <w:pPr>
      <w:pageBreakBefore/>
      <w:spacing w:after="80"/>
    </w:pPr>
  </w:style>
  <w:style w:type="character" w:styleId="Fett">
    <w:name w:val="Strong"/>
    <w:basedOn w:val="Absatz-Standardschriftart"/>
    <w:uiPriority w:val="22"/>
    <w:qFormat/>
    <w:rPr>
      <w:b/>
      <w:bCs/>
    </w:rPr>
  </w:style>
  <w:style w:type="character" w:styleId="Hervorhebung">
    <w:name w:val="Emphasis"/>
    <w:basedOn w:val="Absatz-Standardschriftart"/>
    <w:uiPriority w:val="20"/>
    <w:qFormat/>
    <w:rPr>
      <w:i/>
      <w:iCs/>
    </w:rPr>
  </w:style>
  <w:style w:type="character" w:customStyle="1" w:styleId="chip">
    <w:name w:val="chip"/>
    <w:basedOn w:val="Absatz-Standardschriftart"/>
  </w:style>
  <w:style w:type="paragraph" w:customStyle="1" w:styleId="subnote">
    <w:name w:val="subnote"/>
    <w:basedOn w:val="Standard"/>
    <w:pPr>
      <w:spacing w:after="120"/>
    </w:pPr>
  </w:style>
  <w:style w:type="paragraph" w:styleId="Verzeichnis1">
    <w:name w:val="toc 1"/>
    <w:basedOn w:val="Standard"/>
    <w:next w:val="Standard"/>
    <w:autoRedefine/>
    <w:uiPriority w:val="39"/>
    <w:unhideWhenUsed/>
    <w:rsid w:val="004C30B2"/>
    <w:pPr>
      <w:spacing w:after="100"/>
    </w:pPr>
  </w:style>
  <w:style w:type="paragraph" w:styleId="Verzeichnis2">
    <w:name w:val="toc 2"/>
    <w:basedOn w:val="Standard"/>
    <w:next w:val="Standard"/>
    <w:autoRedefine/>
    <w:uiPriority w:val="39"/>
    <w:unhideWhenUsed/>
    <w:rsid w:val="004C30B2"/>
    <w:pPr>
      <w:spacing w:after="100"/>
      <w:ind w:left="240"/>
    </w:pPr>
  </w:style>
  <w:style w:type="paragraph" w:styleId="berarbeitung">
    <w:name w:val="Revision"/>
    <w:hidden/>
    <w:uiPriority w:val="99"/>
    <w:semiHidden/>
    <w:rsid w:val="004C30B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0923">
      <w:marLeft w:val="0"/>
      <w:marRight w:val="0"/>
      <w:marTop w:val="0"/>
      <w:marBottom w:val="0"/>
      <w:divBdr>
        <w:top w:val="none" w:sz="0" w:space="0" w:color="auto"/>
        <w:left w:val="none" w:sz="0" w:space="0" w:color="auto"/>
        <w:bottom w:val="none" w:sz="0" w:space="0" w:color="auto"/>
        <w:right w:val="none" w:sz="0" w:space="0" w:color="auto"/>
      </w:divBdr>
    </w:div>
    <w:div w:id="504325649">
      <w:marLeft w:val="0"/>
      <w:marRight w:val="0"/>
      <w:marTop w:val="0"/>
      <w:marBottom w:val="0"/>
      <w:divBdr>
        <w:top w:val="none" w:sz="0" w:space="0" w:color="auto"/>
        <w:left w:val="none" w:sz="0" w:space="0" w:color="auto"/>
        <w:bottom w:val="none" w:sz="0" w:space="0" w:color="auto"/>
        <w:right w:val="none" w:sz="0" w:space="0" w:color="auto"/>
      </w:divBdr>
    </w:div>
    <w:div w:id="856502831">
      <w:marLeft w:val="0"/>
      <w:marRight w:val="0"/>
      <w:marTop w:val="0"/>
      <w:marBottom w:val="0"/>
      <w:divBdr>
        <w:top w:val="none" w:sz="0" w:space="0" w:color="auto"/>
        <w:left w:val="none" w:sz="0" w:space="0" w:color="auto"/>
        <w:bottom w:val="none" w:sz="0" w:space="0" w:color="auto"/>
        <w:right w:val="none" w:sz="0" w:space="0" w:color="auto"/>
      </w:divBdr>
    </w:div>
    <w:div w:id="1029182272">
      <w:marLeft w:val="0"/>
      <w:marRight w:val="0"/>
      <w:marTop w:val="0"/>
      <w:marBottom w:val="0"/>
      <w:divBdr>
        <w:top w:val="none" w:sz="0" w:space="0" w:color="auto"/>
        <w:left w:val="none" w:sz="0" w:space="0" w:color="auto"/>
        <w:bottom w:val="none" w:sz="0" w:space="0" w:color="auto"/>
        <w:right w:val="none" w:sz="0" w:space="0" w:color="auto"/>
      </w:divBdr>
    </w:div>
    <w:div w:id="1112821039">
      <w:marLeft w:val="0"/>
      <w:marRight w:val="0"/>
      <w:marTop w:val="0"/>
      <w:marBottom w:val="0"/>
      <w:divBdr>
        <w:top w:val="none" w:sz="0" w:space="0" w:color="auto"/>
        <w:left w:val="none" w:sz="0" w:space="0" w:color="auto"/>
        <w:bottom w:val="none" w:sz="0" w:space="0" w:color="auto"/>
        <w:right w:val="none" w:sz="0" w:space="0" w:color="auto"/>
      </w:divBdr>
    </w:div>
    <w:div w:id="1359962946">
      <w:marLeft w:val="0"/>
      <w:marRight w:val="0"/>
      <w:marTop w:val="0"/>
      <w:marBottom w:val="0"/>
      <w:divBdr>
        <w:top w:val="none" w:sz="0" w:space="0" w:color="auto"/>
        <w:left w:val="none" w:sz="0" w:space="0" w:color="auto"/>
        <w:bottom w:val="none" w:sz="0" w:space="0" w:color="auto"/>
        <w:right w:val="none" w:sz="0" w:space="0" w:color="auto"/>
      </w:divBdr>
    </w:div>
    <w:div w:id="211709563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6026</Words>
  <Characters>31101</Characters>
  <Application>Microsoft Office Word</Application>
  <DocSecurity>0</DocSecurity>
  <Lines>641</Lines>
  <Paragraphs>388</Paragraphs>
  <ScaleCrop>false</ScaleCrop>
  <Company/>
  <LinksUpToDate>false</LinksUpToDate>
  <CharactersWithSpaces>36790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Reseller Agreement</dc:title>
  <dc:subject/>
  <dc:creator>Eckhard Ortwein</dc:creator>
  <cp:keywords/>
  <dc:description/>
  <cp:lastModifiedBy>Eckhard Ortwein</cp:lastModifiedBy>
  <cp:revision>3</cp:revision>
  <dcterms:created xsi:type="dcterms:W3CDTF">2026-09-27T19:23:00Z</dcterms:created>
  <dcterms:modified xsi:type="dcterms:W3CDTF">2026-09-27T19:23:00Z</dcterms:modified>
</cp:coreProperties>
</file>