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E53717" w14:textId="3185D02B" w:rsidR="00F63106" w:rsidRPr="00F63106" w:rsidRDefault="00F63106" w:rsidP="00F63106">
      <w:pPr>
        <w:pStyle w:val="Heading1"/>
        <w:rPr>
          <w:color w:val="4462A8"/>
          <w:lang w:val="en-US"/>
        </w:rPr>
      </w:pPr>
      <w:r w:rsidRPr="00F63106">
        <w:rPr>
          <w:color w:val="4462A8"/>
          <w:lang w:val="en-US"/>
        </w:rPr>
        <w:t xml:space="preserve">EEA </w:t>
      </w:r>
      <w:r>
        <w:rPr>
          <w:color w:val="4462A8"/>
          <w:lang w:val="en-US"/>
        </w:rPr>
        <w:t xml:space="preserve">Token </w:t>
      </w:r>
      <w:r w:rsidR="00200ED8">
        <w:rPr>
          <w:color w:val="4462A8"/>
          <w:lang w:val="en-US"/>
        </w:rPr>
        <w:t>Taxonomy Initiative</w:t>
      </w:r>
      <w:r w:rsidR="00200ED8" w:rsidRPr="00F63106">
        <w:rPr>
          <w:color w:val="4462A8"/>
          <w:lang w:val="en-US"/>
        </w:rPr>
        <w:t xml:space="preserve"> </w:t>
      </w:r>
      <w:r w:rsidRPr="00F63106">
        <w:rPr>
          <w:color w:val="4462A8"/>
          <w:lang w:val="en-US"/>
        </w:rPr>
        <w:t xml:space="preserve">Charter </w:t>
      </w:r>
    </w:p>
    <w:p w14:paraId="09E3C556" w14:textId="77777777" w:rsidR="001076B8" w:rsidRDefault="001076B8">
      <w:bookmarkStart w:id="0" w:name="_gjdgxs" w:colFirst="0" w:colLast="0"/>
      <w:bookmarkEnd w:id="0"/>
    </w:p>
    <w:tbl>
      <w:tblPr>
        <w:tblStyle w:val="1"/>
        <w:tblW w:w="9375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604DD6" w14:paraId="27FBD4DC" w14:textId="77777777">
        <w:trPr>
          <w:trHeight w:val="730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2B82" w14:textId="5A36692B" w:rsidR="00604DD6" w:rsidRDefault="00604DD6" w:rsidP="00604DD6">
            <w:pPr>
              <w:contextualSpacing w:val="0"/>
              <w:rPr>
                <w:b/>
              </w:rPr>
            </w:pPr>
            <w:r w:rsidRPr="00315F86">
              <w:rPr>
                <w:b/>
              </w:rPr>
              <w:t xml:space="preserve">Name of the </w:t>
            </w:r>
            <w:r w:rsidR="00200ED8">
              <w:rPr>
                <w:b/>
              </w:rPr>
              <w:t>Initiative</w:t>
            </w:r>
            <w:r>
              <w:t xml:space="preserve">:   </w:t>
            </w:r>
            <w:r>
              <w:rPr>
                <w:b/>
              </w:rPr>
              <w:t xml:space="preserve">Token </w:t>
            </w:r>
            <w:r w:rsidR="00200ED8">
              <w:rPr>
                <w:b/>
              </w:rPr>
              <w:t>Taxonomy Initiative</w:t>
            </w:r>
          </w:p>
          <w:p w14:paraId="5CFE6F2C" w14:textId="62E95F36" w:rsidR="00D76061" w:rsidRDefault="00604DD6" w:rsidP="00315F86">
            <w:pPr>
              <w:contextualSpacing w:val="0"/>
              <w:rPr>
                <w:noProof/>
              </w:rPr>
            </w:pPr>
            <w:r w:rsidRPr="00315F86">
              <w:rPr>
                <w:b/>
              </w:rPr>
              <w:t>Proposed Chair, Vice Chair</w:t>
            </w:r>
            <w:r>
              <w:t xml:space="preserve">:    </w:t>
            </w:r>
            <w:r w:rsidR="00D76061" w:rsidRPr="00315F86">
              <w:rPr>
                <w:b/>
              </w:rPr>
              <w:t>Chair</w:t>
            </w:r>
            <w:r w:rsidR="00D76061">
              <w:t xml:space="preserve">: </w:t>
            </w:r>
            <w:r w:rsidR="00245362">
              <w:t>Marley Gray, Microsoft</w:t>
            </w:r>
            <w:r w:rsidR="00315F86">
              <w:t>;</w:t>
            </w:r>
            <w:r w:rsidR="00245362">
              <w:t xml:space="preserve"> </w:t>
            </w:r>
            <w:r w:rsidR="00D76061" w:rsidRPr="00315F86">
              <w:rPr>
                <w:b/>
              </w:rPr>
              <w:t>Vice Chair</w:t>
            </w:r>
            <w:r w:rsidR="00D76061">
              <w:t xml:space="preserve">: </w:t>
            </w:r>
            <w:r w:rsidR="00245362">
              <w:t>TBD</w:t>
            </w:r>
          </w:p>
        </w:tc>
      </w:tr>
      <w:tr w:rsidR="001076B8" w14:paraId="7D1F6F12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BA79" w14:textId="746D8D74" w:rsidR="001076B8" w:rsidRDefault="004E1343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Scope and Deliverable(s) of the </w:t>
            </w:r>
            <w:r w:rsidR="00200ED8">
              <w:rPr>
                <w:b/>
              </w:rPr>
              <w:t>Initiative</w:t>
            </w:r>
            <w:r>
              <w:rPr>
                <w:b/>
              </w:rPr>
              <w:t xml:space="preserve"> </w:t>
            </w:r>
          </w:p>
        </w:tc>
      </w:tr>
      <w:tr w:rsidR="001076B8" w14:paraId="1B0B38F6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42A4" w14:textId="13B6899E" w:rsidR="00245362" w:rsidRDefault="00EF0F17" w:rsidP="00EF0F17">
            <w:r w:rsidRPr="00EF0F17">
              <w:t xml:space="preserve">Bitcoin ushered in a new asset class – </w:t>
            </w:r>
            <w:r w:rsidR="001F7F67">
              <w:t xml:space="preserve">financial instruments </w:t>
            </w:r>
            <w:r w:rsidRPr="00EF0F17">
              <w:t xml:space="preserve">that </w:t>
            </w:r>
            <w:r w:rsidR="001F7F67">
              <w:t xml:space="preserve">could be </w:t>
            </w:r>
            <w:r w:rsidR="00973922">
              <w:t xml:space="preserve">a medium of exchange, </w:t>
            </w:r>
            <w:r w:rsidR="001F7F67">
              <w:t xml:space="preserve">securities, </w:t>
            </w:r>
            <w:r w:rsidR="00973922">
              <w:t>or token for consumer use</w:t>
            </w:r>
            <w:r w:rsidRPr="00EF0F17">
              <w:t xml:space="preserve">. The virtual currency, coin, altcoin, app coin and token market has grown from zero to over $100bn in less than 10 years. This phenomenal growth is starting to attract institutional and retail investors who will require prudential and conduct controls and safeguards, </w:t>
            </w:r>
            <w:r w:rsidR="00973922">
              <w:t xml:space="preserve">particularly before and while </w:t>
            </w:r>
            <w:r w:rsidRPr="00EF0F17">
              <w:t>conventional regulatory frameworks</w:t>
            </w:r>
            <w:r w:rsidR="00973922">
              <w:t xml:space="preserve"> define these instruments</w:t>
            </w:r>
            <w:r w:rsidRPr="00EF0F17">
              <w:t>.</w:t>
            </w:r>
            <w:r w:rsidR="00245362">
              <w:t xml:space="preserve">  </w:t>
            </w:r>
          </w:p>
          <w:p w14:paraId="1DC9A1ED" w14:textId="77777777" w:rsidR="00245362" w:rsidRDefault="00245362" w:rsidP="00EF0F17"/>
          <w:p w14:paraId="5C1C5814" w14:textId="5CCA31DC" w:rsidR="00245362" w:rsidRDefault="00245362" w:rsidP="00EF0F17">
            <w:r>
              <w:t xml:space="preserve">This growth has spread to other vertical industries and additional networks presenting enterprise challenges for adoption due to several levels of complexity.  Compounding these challenges is a general lack of understanding and entrenched mis-conceptions due to market speculation.  </w:t>
            </w:r>
          </w:p>
          <w:p w14:paraId="346C6603" w14:textId="77777777" w:rsidR="00245362" w:rsidRDefault="00245362" w:rsidP="00EF0F17"/>
          <w:p w14:paraId="6104CCBF" w14:textId="12017C7B" w:rsidR="001E360C" w:rsidRDefault="00245362" w:rsidP="00EF0F17">
            <w:r>
              <w:t xml:space="preserve">A Token Reboot is required.  One that addresses enterprise </w:t>
            </w:r>
            <w:r w:rsidR="00973922">
              <w:t xml:space="preserve">adoption </w:t>
            </w:r>
            <w:r>
              <w:t>issues</w:t>
            </w:r>
            <w:r w:rsidR="0042789D">
              <w:t xml:space="preserve"> directly and leverag</w:t>
            </w:r>
            <w:r w:rsidR="00973922">
              <w:t xml:space="preserve">es </w:t>
            </w:r>
            <w:r w:rsidR="0042789D">
              <w:t xml:space="preserve">the significant work and </w:t>
            </w:r>
            <w:r w:rsidR="00973922">
              <w:t xml:space="preserve">lessons learned </w:t>
            </w:r>
            <w:r w:rsidR="0042789D">
              <w:t xml:space="preserve">from Ethereum and </w:t>
            </w:r>
            <w:r w:rsidR="00973922">
              <w:t xml:space="preserve">other platforms.  This reboot must </w:t>
            </w:r>
            <w:r w:rsidR="0042789D">
              <w:t xml:space="preserve">expand across networks to unblock </w:t>
            </w:r>
            <w:r w:rsidR="00973922">
              <w:t xml:space="preserve">the </w:t>
            </w:r>
            <w:r w:rsidR="0042789D">
              <w:t xml:space="preserve">much larger ecosystem. Enterprises will be a part of multiple networks of different types and will soon face integration and interoperability challenges that </w:t>
            </w:r>
            <w:r w:rsidR="00973922">
              <w:t xml:space="preserve">could </w:t>
            </w:r>
            <w:r w:rsidR="0042789D">
              <w:t xml:space="preserve">further hinder innovation. </w:t>
            </w:r>
          </w:p>
          <w:p w14:paraId="39CC9054" w14:textId="77C9CBAA" w:rsidR="001E360C" w:rsidRDefault="001E360C" w:rsidP="00EF0F17"/>
          <w:p w14:paraId="13974135" w14:textId="48E40D34" w:rsidR="001E360C" w:rsidRDefault="001E360C" w:rsidP="00EF0F17">
            <w:r>
              <w:t>Creating this interoperable</w:t>
            </w:r>
            <w:r w:rsidR="00973922">
              <w:t>,</w:t>
            </w:r>
            <w:r>
              <w:t xml:space="preserve"> </w:t>
            </w:r>
            <w:r w:rsidR="00D76061">
              <w:t>technology</w:t>
            </w:r>
            <w:r w:rsidR="00973922">
              <w:t>-</w:t>
            </w:r>
            <w:r w:rsidR="00836C53">
              <w:t>neutral</w:t>
            </w:r>
            <w:r w:rsidR="00D76061">
              <w:t xml:space="preserve"> </w:t>
            </w:r>
            <w:r>
              <w:t xml:space="preserve">ecosystem requires a first step.  The Token </w:t>
            </w:r>
            <w:r w:rsidR="00585165">
              <w:t>Taxonomy Initiative</w:t>
            </w:r>
            <w:r>
              <w:t xml:space="preserve"> will deliver that first step by creating a common set of terms, definitions and taxonomy for describing and defining tokens that can be understood </w:t>
            </w:r>
            <w:r w:rsidR="00973922">
              <w:t xml:space="preserve">equally </w:t>
            </w:r>
            <w:r>
              <w:t>by business and technology participant</w:t>
            </w:r>
            <w:r w:rsidR="00585165">
              <w:t>s</w:t>
            </w:r>
            <w:r>
              <w:t>.  It will establish common ground for business requirements, technical innovation</w:t>
            </w:r>
            <w:r w:rsidR="00973922">
              <w:t>,</w:t>
            </w:r>
            <w:r>
              <w:t xml:space="preserve"> and legal/regulatory bodies</w:t>
            </w:r>
            <w:r w:rsidR="00973922">
              <w:t xml:space="preserve">, all of which will </w:t>
            </w:r>
            <w:r>
              <w:t>accelerate this ecosystem’s growth.</w:t>
            </w:r>
          </w:p>
          <w:p w14:paraId="39A4A8C7" w14:textId="03AD7203" w:rsidR="00245362" w:rsidRDefault="00245362" w:rsidP="00EF0F17"/>
          <w:p w14:paraId="6002C690" w14:textId="4BFE33BF" w:rsidR="00E95BAE" w:rsidRDefault="00831967" w:rsidP="00E95BAE">
            <w:r>
              <w:t>This common ground is not just between business and technical, but should also be common for blockchain platforms, industry competitors and start-ups.</w:t>
            </w:r>
            <w:r w:rsidR="00E95BAE">
              <w:t xml:space="preserve"> </w:t>
            </w:r>
            <w:r>
              <w:t xml:space="preserve"> This requires that </w:t>
            </w:r>
            <w:r w:rsidR="00953004">
              <w:t xml:space="preserve">participants </w:t>
            </w:r>
            <w:r w:rsidR="00973922">
              <w:t>collaborate</w:t>
            </w:r>
            <w:r>
              <w:t xml:space="preserve"> at a higher level </w:t>
            </w:r>
            <w:r w:rsidR="00E95BAE">
              <w:t xml:space="preserve">to model existing </w:t>
            </w:r>
            <w:r w:rsidR="003F7FFB">
              <w:t xml:space="preserve">tokens </w:t>
            </w:r>
            <w:r w:rsidR="00E95BAE">
              <w:t xml:space="preserve">and define new </w:t>
            </w:r>
            <w:r w:rsidR="001D00B0">
              <w:t>business-based</w:t>
            </w:r>
            <w:r w:rsidR="00E95BAE">
              <w:t xml:space="preserve"> tokens </w:t>
            </w:r>
            <w:r w:rsidR="00836C53">
              <w:t>neutral</w:t>
            </w:r>
            <w:r w:rsidR="00E95BAE">
              <w:t xml:space="preserve"> </w:t>
            </w:r>
            <w:r w:rsidR="003F7FFB">
              <w:t>to any technology</w:t>
            </w:r>
            <w:r w:rsidR="00E95BAE">
              <w:t>.</w:t>
            </w:r>
          </w:p>
          <w:p w14:paraId="66BE318E" w14:textId="77777777" w:rsidR="00315F86" w:rsidRDefault="00315F86" w:rsidP="00E95BAE"/>
          <w:p w14:paraId="79AB3541" w14:textId="26D31BD5" w:rsidR="00E2529F" w:rsidRDefault="00E95BAE" w:rsidP="00245362">
            <w:r>
              <w:t xml:space="preserve">The key word is </w:t>
            </w:r>
            <w:r w:rsidR="00836C53">
              <w:rPr>
                <w:b/>
                <w:i/>
                <w:u w:val="single"/>
              </w:rPr>
              <w:t>neutral</w:t>
            </w:r>
            <w:r w:rsidR="00973922">
              <w:t xml:space="preserve">.  By this we mean that the solution must be </w:t>
            </w:r>
            <w:r>
              <w:t>platform</w:t>
            </w:r>
            <w:r w:rsidR="00973922">
              <w:t>-</w:t>
            </w:r>
            <w:r>
              <w:t>, language</w:t>
            </w:r>
            <w:r w:rsidR="00973922">
              <w:t>-,</w:t>
            </w:r>
            <w:r>
              <w:t xml:space="preserve"> and business implementation</w:t>
            </w:r>
            <w:r w:rsidR="00973922">
              <w:t>-</w:t>
            </w:r>
            <w:r w:rsidR="00836C53">
              <w:t>neutral</w:t>
            </w:r>
            <w:r>
              <w:t xml:space="preserve">.  </w:t>
            </w:r>
            <w:r w:rsidR="00973922">
              <w:t>T</w:t>
            </w:r>
            <w:r>
              <w:t xml:space="preserve">his </w:t>
            </w:r>
            <w:r w:rsidR="00D76061">
              <w:t xml:space="preserve">Token </w:t>
            </w:r>
            <w:r w:rsidR="00953004">
              <w:t xml:space="preserve">Taxonomy Initiative </w:t>
            </w:r>
            <w:r w:rsidRPr="00315F86">
              <w:rPr>
                <w:b/>
                <w:i/>
              </w:rPr>
              <w:t>MUST</w:t>
            </w:r>
            <w:r>
              <w:t xml:space="preserve"> include leaders and </w:t>
            </w:r>
            <w:r>
              <w:lastRenderedPageBreak/>
              <w:t xml:space="preserve">participants </w:t>
            </w:r>
            <w:r w:rsidR="00E2529F">
              <w:t xml:space="preserve">from </w:t>
            </w:r>
            <w:r>
              <w:t>non-Ethereum based platforms</w:t>
            </w:r>
            <w:r w:rsidR="003F7FFB">
              <w:t xml:space="preserve"> </w:t>
            </w:r>
            <w:proofErr w:type="gramStart"/>
            <w:r w:rsidR="003F7FFB">
              <w:t>in order for</w:t>
            </w:r>
            <w:proofErr w:type="gramEnd"/>
            <w:r w:rsidR="003F7FFB">
              <w:t xml:space="preserve"> tokens to achieve global acceptance</w:t>
            </w:r>
            <w:r w:rsidR="00315F86">
              <w:t>, interoperability</w:t>
            </w:r>
            <w:r w:rsidR="003F7FFB">
              <w:t xml:space="preserve"> and adoption</w:t>
            </w:r>
            <w:r>
              <w:t>.</w:t>
            </w:r>
            <w:r w:rsidR="00E2529F">
              <w:t xml:space="preserve"> </w:t>
            </w:r>
          </w:p>
          <w:p w14:paraId="498EFABE" w14:textId="77777777" w:rsidR="00E2529F" w:rsidRDefault="00E2529F" w:rsidP="00245362"/>
          <w:p w14:paraId="5D5A02BC" w14:textId="48325BCD" w:rsidR="00E95BAE" w:rsidRDefault="00E95BAE" w:rsidP="00245362">
            <w:r>
              <w:t>In every</w:t>
            </w:r>
            <w:r w:rsidR="00C47F4E">
              <w:t xml:space="preserve"> cycle between waves of</w:t>
            </w:r>
            <w:r>
              <w:t xml:space="preserve"> innovation, there are windows of opportunities to make very rapid leaps forward</w:t>
            </w:r>
            <w:r w:rsidR="00C47F4E">
              <w:t xml:space="preserve">, </w:t>
            </w:r>
            <w:r>
              <w:t>dramatically chang</w:t>
            </w:r>
            <w:r w:rsidR="00C47F4E">
              <w:t>ing</w:t>
            </w:r>
            <w:r>
              <w:t xml:space="preserve"> the landscape and </w:t>
            </w:r>
            <w:r w:rsidR="00C47F4E">
              <w:t xml:space="preserve">unleashing </w:t>
            </w:r>
            <w:r>
              <w:t xml:space="preserve">new opportunities. </w:t>
            </w:r>
          </w:p>
          <w:p w14:paraId="605BDB43" w14:textId="77777777" w:rsidR="00E95BAE" w:rsidRDefault="00E95BAE" w:rsidP="00245362"/>
          <w:p w14:paraId="3EFFC718" w14:textId="724986F4" w:rsidR="00E95BAE" w:rsidRDefault="00E95BAE" w:rsidP="00245362">
            <w:r>
              <w:t xml:space="preserve">This is that window for </w:t>
            </w:r>
            <w:r w:rsidR="00953004">
              <w:t>t</w:t>
            </w:r>
            <w:r>
              <w:t>okens.</w:t>
            </w:r>
          </w:p>
          <w:p w14:paraId="262D8F7A" w14:textId="77777777" w:rsidR="00E95BAE" w:rsidRDefault="00E95BAE" w:rsidP="00245362"/>
          <w:p w14:paraId="042D2031" w14:textId="7A6B3F20" w:rsidR="001E6CC1" w:rsidRDefault="00E95BAE" w:rsidP="00245362">
            <w:r>
              <w:t xml:space="preserve">The EEA </w:t>
            </w:r>
            <w:proofErr w:type="gramStart"/>
            <w:r>
              <w:t>has the opportunity to</w:t>
            </w:r>
            <w:proofErr w:type="gramEnd"/>
            <w:r>
              <w:t xml:space="preserve"> </w:t>
            </w:r>
            <w:r w:rsidR="00E2529F">
              <w:t>lead</w:t>
            </w:r>
            <w:r>
              <w:t xml:space="preserve"> and share the significant contributions and progress made in the Ethereum community </w:t>
            </w:r>
            <w:r w:rsidR="00E2529F">
              <w:t>with</w:t>
            </w:r>
            <w:r>
              <w:t xml:space="preserve"> the larger ecosystem by openly inviting competitors, </w:t>
            </w:r>
            <w:r w:rsidR="00973922">
              <w:t>both inside Ethereum and across other platforms and networks.</w:t>
            </w:r>
          </w:p>
          <w:p w14:paraId="654E7A99" w14:textId="77777777" w:rsidR="001E6CC1" w:rsidRDefault="001E6CC1" w:rsidP="00245362"/>
          <w:p w14:paraId="410FA59D" w14:textId="3F5ABD09" w:rsidR="009A41E2" w:rsidRDefault="001E6CC1" w:rsidP="00245362">
            <w:r>
              <w:t xml:space="preserve">However, in order to lead and drive this initiative, we must </w:t>
            </w:r>
            <w:r w:rsidR="00973922">
              <w:t>create</w:t>
            </w:r>
            <w:r>
              <w:t xml:space="preserve"> a Win-Win scenario where joining will not </w:t>
            </w:r>
            <w:r w:rsidR="00081231">
              <w:t>be perceived as</w:t>
            </w:r>
            <w:r>
              <w:t xml:space="preserve"> a lack of commitment </w:t>
            </w:r>
            <w:r w:rsidR="00081231">
              <w:t>to proprietary technology, n</w:t>
            </w:r>
            <w:r w:rsidR="009A41E2">
              <w:t xml:space="preserve">or risk negative press or commentary. This </w:t>
            </w:r>
            <w:r w:rsidR="00953004">
              <w:t>initiative</w:t>
            </w:r>
            <w:r w:rsidR="009A41E2">
              <w:t xml:space="preserve"> should </w:t>
            </w:r>
            <w:proofErr w:type="gramStart"/>
            <w:r w:rsidR="009A41E2">
              <w:t>be seen as</w:t>
            </w:r>
            <w:proofErr w:type="gramEnd"/>
            <w:r w:rsidR="009A41E2">
              <w:t xml:space="preserve"> a sign of maturity and commitment to tokens and the enterprise.</w:t>
            </w:r>
          </w:p>
          <w:p w14:paraId="1920E2AC" w14:textId="77777777" w:rsidR="009A41E2" w:rsidRDefault="009A41E2" w:rsidP="00245362"/>
          <w:p w14:paraId="0864D5BB" w14:textId="0CF02278" w:rsidR="00313571" w:rsidRDefault="00C94F35" w:rsidP="00245362">
            <w:r>
              <w:t xml:space="preserve">To seize this window of opportunity will require the EEA to make some adjustments.  These adjustments require </w:t>
            </w:r>
            <w:r w:rsidR="00D76061">
              <w:t>non</w:t>
            </w:r>
            <w:r w:rsidR="00315F86">
              <w:t>-</w:t>
            </w:r>
            <w:r w:rsidR="00D76061">
              <w:t xml:space="preserve">EEA members to join this Token </w:t>
            </w:r>
            <w:r w:rsidR="00953004">
              <w:t>Taxonomy Initiative</w:t>
            </w:r>
            <w:r w:rsidR="00D76061">
              <w:t xml:space="preserve">, participate in its activities and contribute, subject to agreement to and execution of the Token </w:t>
            </w:r>
            <w:r w:rsidR="00953004">
              <w:t xml:space="preserve">Taxonomy Initiative </w:t>
            </w:r>
            <w:r w:rsidR="00D76061">
              <w:t>Participation</w:t>
            </w:r>
            <w:r>
              <w:t xml:space="preserve"> </w:t>
            </w:r>
            <w:r w:rsidR="00D76061">
              <w:t>A</w:t>
            </w:r>
            <w:r>
              <w:t>greement</w:t>
            </w:r>
            <w:r w:rsidR="003F7FFB">
              <w:t xml:space="preserve"> and acceptance of </w:t>
            </w:r>
            <w:r w:rsidR="00315F86">
              <w:t xml:space="preserve">the </w:t>
            </w:r>
            <w:r w:rsidR="003F7FFB">
              <w:t xml:space="preserve">EEA </w:t>
            </w:r>
            <w:r w:rsidR="00315F86" w:rsidRPr="00913D33">
              <w:t>Intellectual Property Rights Policy</w:t>
            </w:r>
            <w:r w:rsidR="00315F86">
              <w:t xml:space="preserve">, </w:t>
            </w:r>
            <w:r w:rsidR="00315F86" w:rsidRPr="00913D33">
              <w:t xml:space="preserve">Confidentiality </w:t>
            </w:r>
            <w:r w:rsidR="00315F86">
              <w:t xml:space="preserve">and Non-Disclosure </w:t>
            </w:r>
            <w:r w:rsidR="00315F86" w:rsidRPr="00913D33">
              <w:t>Policy</w:t>
            </w:r>
            <w:r w:rsidR="00315F86">
              <w:t xml:space="preserve"> and Antitrust </w:t>
            </w:r>
            <w:r w:rsidR="00315F86" w:rsidRPr="00913D33">
              <w:t>Policy</w:t>
            </w:r>
            <w:r w:rsidR="00315F86">
              <w:t xml:space="preserve"> and Guidelines, </w:t>
            </w:r>
            <w:r w:rsidR="003F7FFB">
              <w:t xml:space="preserve">and other </w:t>
            </w:r>
            <w:r w:rsidR="00315F86">
              <w:t xml:space="preserve">EEA rules, </w:t>
            </w:r>
            <w:r w:rsidR="003F7FFB">
              <w:t>policies</w:t>
            </w:r>
            <w:r w:rsidR="00315F86">
              <w:t xml:space="preserve"> and procedures</w:t>
            </w:r>
            <w:r w:rsidR="00315F86" w:rsidDel="00315F86">
              <w:t xml:space="preserve"> </w:t>
            </w:r>
            <w:r w:rsidR="003F7FFB">
              <w:t>for the protection of all participants</w:t>
            </w:r>
            <w:r>
              <w:t xml:space="preserve"> </w:t>
            </w:r>
            <w:r w:rsidR="00D76061">
              <w:t>in the form as approved by the EEA</w:t>
            </w:r>
            <w:r w:rsidR="00313571">
              <w:t xml:space="preserve">.  </w:t>
            </w:r>
          </w:p>
          <w:p w14:paraId="753D7D2C" w14:textId="77777777" w:rsidR="00313571" w:rsidRDefault="00313571" w:rsidP="00245362"/>
          <w:p w14:paraId="0A2FA038" w14:textId="03492532" w:rsidR="00C94F35" w:rsidRDefault="00081231" w:rsidP="00245362">
            <w:r>
              <w:t xml:space="preserve">The </w:t>
            </w:r>
            <w:r w:rsidR="00B22E5F">
              <w:t xml:space="preserve">Token </w:t>
            </w:r>
            <w:r w:rsidR="00953004">
              <w:t>Taxonomy Initiative</w:t>
            </w:r>
            <w:r w:rsidR="00313571">
              <w:t xml:space="preserve"> </w:t>
            </w:r>
            <w:r w:rsidR="003F7FFB">
              <w:t xml:space="preserve">has </w:t>
            </w:r>
            <w:r>
              <w:t xml:space="preserve">an </w:t>
            </w:r>
            <w:r w:rsidR="003F7FFB">
              <w:t>option to</w:t>
            </w:r>
            <w:r w:rsidR="00315F86">
              <w:t xml:space="preserve"> design and adopt a</w:t>
            </w:r>
            <w:r w:rsidR="003F7FFB">
              <w:t xml:space="preserve"> trademark</w:t>
            </w:r>
            <w:r w:rsidR="00315F86">
              <w:t>/</w:t>
            </w:r>
            <w:r w:rsidR="00313571">
              <w:t xml:space="preserve">logo and </w:t>
            </w:r>
            <w:r w:rsidR="003F7FFB">
              <w:t xml:space="preserve">associated </w:t>
            </w:r>
            <w:r w:rsidR="00313571">
              <w:t xml:space="preserve">language in documentation and marketing.  </w:t>
            </w:r>
          </w:p>
          <w:p w14:paraId="1FB67551" w14:textId="77777777" w:rsidR="007E552C" w:rsidRDefault="007E552C" w:rsidP="00245362"/>
          <w:p w14:paraId="1CA7A64E" w14:textId="73672072" w:rsidR="00E95BAE" w:rsidRDefault="00313571" w:rsidP="00E95BAE">
            <w:r>
              <w:t>Microsoft has donated t</w:t>
            </w:r>
            <w:r w:rsidR="00E95BAE">
              <w:t>he Token Taxonomy Framework</w:t>
            </w:r>
            <w:r w:rsidR="00FC2B35">
              <w:t xml:space="preserve"> (“TTF”)</w:t>
            </w:r>
            <w:r w:rsidR="00E95BAE">
              <w:t xml:space="preserve">, </w:t>
            </w:r>
            <w:r>
              <w:t>that</w:t>
            </w:r>
            <w:r w:rsidR="00E95BAE">
              <w:t xml:space="preserve"> will seed and boost the Token </w:t>
            </w:r>
            <w:r w:rsidR="00F85B58">
              <w:t>Taxonomy Initiative</w:t>
            </w:r>
            <w:r w:rsidR="00E95BAE">
              <w:t xml:space="preserve"> </w:t>
            </w:r>
            <w:r w:rsidR="007E552C">
              <w:t>to</w:t>
            </w:r>
            <w:r w:rsidR="00E95BAE">
              <w:t xml:space="preserve"> rapidly bring these competitive platforms, </w:t>
            </w:r>
            <w:r w:rsidR="00831967">
              <w:t>start-ups and enterprises together</w:t>
            </w:r>
            <w:r>
              <w:t xml:space="preserve"> and </w:t>
            </w:r>
            <w:r w:rsidR="00831967">
              <w:t>deliver this significant and historic milestone in the evolution of blockchain technology.</w:t>
            </w:r>
          </w:p>
          <w:p w14:paraId="45D12D8F" w14:textId="77777777" w:rsidR="00E95BAE" w:rsidRDefault="00E95BAE" w:rsidP="00245362"/>
          <w:p w14:paraId="4AE08B91" w14:textId="46721E2E" w:rsidR="00245362" w:rsidRDefault="00245362" w:rsidP="00245362">
            <w:r>
              <w:t>The</w:t>
            </w:r>
            <w:r w:rsidR="00313571">
              <w:t xml:space="preserve"> Token </w:t>
            </w:r>
            <w:r w:rsidR="00FC2B35">
              <w:t>Taxonomy Initiative</w:t>
            </w:r>
            <w:r w:rsidR="00313571">
              <w:t xml:space="preserve"> will </w:t>
            </w:r>
            <w:r w:rsidR="003F7FFB">
              <w:t xml:space="preserve">serve to </w:t>
            </w:r>
            <w:r w:rsidR="00313571">
              <w:t xml:space="preserve">evolve this donation and </w:t>
            </w:r>
            <w:r w:rsidR="003F7FFB">
              <w:t xml:space="preserve">continue </w:t>
            </w:r>
            <w:r w:rsidR="00313571">
              <w:t>deliver an improved</w:t>
            </w:r>
            <w:r>
              <w:t xml:space="preserve"> framework</w:t>
            </w:r>
            <w:r w:rsidR="00313571">
              <w:t xml:space="preserve"> with the</w:t>
            </w:r>
            <w:r>
              <w:t xml:space="preserve"> purpose </w:t>
            </w:r>
            <w:r w:rsidR="00313571">
              <w:t>being</w:t>
            </w:r>
            <w:r>
              <w:t>:</w:t>
            </w:r>
          </w:p>
          <w:p w14:paraId="2357231A" w14:textId="77777777" w:rsidR="00245362" w:rsidRDefault="00245362" w:rsidP="00245362"/>
          <w:p w14:paraId="2948A4A2" w14:textId="5654A0DC" w:rsidR="00AF7997" w:rsidRDefault="00245362" w:rsidP="00245362">
            <w:pPr>
              <w:pStyle w:val="ListParagraph"/>
              <w:numPr>
                <w:ilvl w:val="0"/>
                <w:numId w:val="6"/>
              </w:numPr>
            </w:pPr>
            <w:r>
              <w:t xml:space="preserve">Educate – take a step back and CLEARLY define a token in non-technical and cross industry terms.  Using real world, everyday analogies so ANYONE can understand them using properties and </w:t>
            </w:r>
            <w:r w:rsidR="00313571">
              <w:t>behaviours</w:t>
            </w:r>
            <w:r>
              <w:t xml:space="preserve"> to describe and define them</w:t>
            </w:r>
            <w:r w:rsidR="00081231">
              <w:t>;</w:t>
            </w:r>
          </w:p>
          <w:p w14:paraId="4609FCC2" w14:textId="54458416" w:rsidR="00AF7997" w:rsidRDefault="00245362" w:rsidP="00245362">
            <w:pPr>
              <w:pStyle w:val="ListParagraph"/>
              <w:numPr>
                <w:ilvl w:val="0"/>
                <w:numId w:val="6"/>
              </w:numPr>
            </w:pPr>
            <w:r>
              <w:t>Define a common set of concepts</w:t>
            </w:r>
            <w:r w:rsidR="00250D89">
              <w:t>,</w:t>
            </w:r>
            <w:r>
              <w:t xml:space="preserve"> terms </w:t>
            </w:r>
            <w:r w:rsidR="00250D89">
              <w:t xml:space="preserve">and grammar </w:t>
            </w:r>
            <w:r>
              <w:t>that can be used by business and technical participants to speak the same language</w:t>
            </w:r>
            <w:r w:rsidR="00081231">
              <w:t>;</w:t>
            </w:r>
          </w:p>
          <w:p w14:paraId="369A5533" w14:textId="1B17FC16" w:rsidR="00AF7997" w:rsidRDefault="00245362" w:rsidP="00245362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Produce token definitions that have clear and understood requirements that are implementation </w:t>
            </w:r>
            <w:r w:rsidR="00836C53">
              <w:t>neutral</w:t>
            </w:r>
            <w:r>
              <w:t xml:space="preserve"> for developers to follow and standards to validate</w:t>
            </w:r>
            <w:r w:rsidR="00081231">
              <w:t>;</w:t>
            </w:r>
          </w:p>
          <w:p w14:paraId="3D991AFC" w14:textId="210AB4FA" w:rsidR="00AF7997" w:rsidRDefault="00245362" w:rsidP="00245362">
            <w:pPr>
              <w:pStyle w:val="ListParagraph"/>
              <w:numPr>
                <w:ilvl w:val="0"/>
                <w:numId w:val="6"/>
              </w:numPr>
            </w:pPr>
            <w:r>
              <w:t xml:space="preserve">Create a Token </w:t>
            </w:r>
            <w:r w:rsidR="00535689">
              <w:t>Taxonomy Framework</w:t>
            </w:r>
            <w:r>
              <w:t xml:space="preserve"> (</w:t>
            </w:r>
            <w:r w:rsidR="00FC2B35">
              <w:t>“</w:t>
            </w:r>
            <w:r>
              <w:t>T</w:t>
            </w:r>
            <w:r w:rsidR="00535689">
              <w:t>TF</w:t>
            </w:r>
            <w:r w:rsidR="00FC2B35">
              <w:t>”</w:t>
            </w:r>
            <w:r>
              <w:t xml:space="preserve">) that is simple to understand and navigate for anyone interested in learning and discovering </w:t>
            </w:r>
            <w:r w:rsidR="00FC2B35">
              <w:t>t</w:t>
            </w:r>
            <w:r>
              <w:t>okens and underlying implementations</w:t>
            </w:r>
            <w:r w:rsidR="00081231">
              <w:t>;</w:t>
            </w:r>
          </w:p>
          <w:p w14:paraId="41FA37C0" w14:textId="6952164C" w:rsidR="00AF7997" w:rsidRDefault="007D39C8" w:rsidP="00245362">
            <w:pPr>
              <w:pStyle w:val="ListParagraph"/>
              <w:numPr>
                <w:ilvl w:val="0"/>
                <w:numId w:val="6"/>
              </w:numPr>
            </w:pPr>
            <w:r>
              <w:t>Define</w:t>
            </w:r>
            <w:r w:rsidR="00081231">
              <w:t xml:space="preserve"> </w:t>
            </w:r>
            <w:r w:rsidR="00245362">
              <w:t>meta-data using the T</w:t>
            </w:r>
            <w:r w:rsidR="006041ED">
              <w:t>T</w:t>
            </w:r>
            <w:r w:rsidR="00245362">
              <w:t>F syntax</w:t>
            </w:r>
            <w:r w:rsidR="009E7E8D">
              <w:t xml:space="preserve"> and grammar</w:t>
            </w:r>
            <w:r w:rsidR="00245362">
              <w:t xml:space="preserve"> to be able to generate visual representations of classifications</w:t>
            </w:r>
            <w:r w:rsidR="00982F0E">
              <w:t>, used by</w:t>
            </w:r>
            <w:r w:rsidR="00245362">
              <w:t xml:space="preserve"> modelling tools to view and create token definitions mapped to the taxonomy</w:t>
            </w:r>
            <w:r w:rsidR="00982F0E">
              <w:t xml:space="preserve"> and can </w:t>
            </w:r>
            <w:r w:rsidR="00FE612F">
              <w:t>also support taxonomy to implementation or source code mapping</w:t>
            </w:r>
            <w:r w:rsidR="00081231">
              <w:t>;</w:t>
            </w:r>
          </w:p>
          <w:p w14:paraId="0D2E58E6" w14:textId="122C7C19" w:rsidR="007946F4" w:rsidRDefault="007946F4" w:rsidP="007946F4">
            <w:pPr>
              <w:pStyle w:val="ListParagraph"/>
              <w:numPr>
                <w:ilvl w:val="0"/>
                <w:numId w:val="6"/>
              </w:numPr>
            </w:pPr>
            <w:r>
              <w:t>Create standard control message</w:t>
            </w:r>
            <w:r w:rsidR="00AE2DE5">
              <w:t xml:space="preserve"> descriptions</w:t>
            </w:r>
            <w:bookmarkStart w:id="1" w:name="_GoBack"/>
            <w:bookmarkEnd w:id="1"/>
            <w:r>
              <w:t xml:space="preserve"> mapped to the taxonomy that are implementation neutral and provide base schema and </w:t>
            </w:r>
            <w:r w:rsidR="00991158">
              <w:t>interaction diagrams</w:t>
            </w:r>
            <w:r>
              <w:t xml:space="preserve"> that consortia, start-ups, platforms or regulators can use to work together;</w:t>
            </w:r>
          </w:p>
          <w:p w14:paraId="525E726B" w14:textId="3F716284" w:rsidR="00AF7997" w:rsidRDefault="00081231" w:rsidP="00245362">
            <w:pPr>
              <w:pStyle w:val="ListParagraph"/>
              <w:numPr>
                <w:ilvl w:val="0"/>
                <w:numId w:val="6"/>
              </w:numPr>
            </w:pPr>
            <w:r>
              <w:t xml:space="preserve">Create solutions </w:t>
            </w:r>
            <w:r w:rsidR="00836C53">
              <w:t>neutral</w:t>
            </w:r>
            <w:r>
              <w:t xml:space="preserve"> </w:t>
            </w:r>
            <w:r w:rsidR="00245362">
              <w:t>to programming language and blockchain, distributed ledger or other distributed medium where tokens reside</w:t>
            </w:r>
            <w:r>
              <w:t>;</w:t>
            </w:r>
          </w:p>
          <w:p w14:paraId="5105557C" w14:textId="7FE6B8A3" w:rsidR="00AF7997" w:rsidRDefault="00081231" w:rsidP="00245362">
            <w:pPr>
              <w:pStyle w:val="ListParagraph"/>
              <w:numPr>
                <w:ilvl w:val="0"/>
                <w:numId w:val="6"/>
              </w:numPr>
            </w:pPr>
            <w:r>
              <w:t xml:space="preserve">Interact in an open and </w:t>
            </w:r>
            <w:r w:rsidR="00245362">
              <w:t xml:space="preserve">collaborative </w:t>
            </w:r>
            <w:r>
              <w:t xml:space="preserve">way </w:t>
            </w:r>
            <w:r w:rsidR="00245362">
              <w:t xml:space="preserve">to create powerful vertical industry applications and provide innovation for platforms, </w:t>
            </w:r>
            <w:r w:rsidR="00AF7997">
              <w:t>start-ups</w:t>
            </w:r>
            <w:r w:rsidR="00245362">
              <w:t xml:space="preserve"> and enterprises</w:t>
            </w:r>
            <w:r>
              <w:t>;</w:t>
            </w:r>
          </w:p>
          <w:p w14:paraId="3C88FF5B" w14:textId="7AD562BC" w:rsidR="00AF7997" w:rsidRDefault="00245362" w:rsidP="00245362">
            <w:pPr>
              <w:pStyle w:val="ListParagraph"/>
              <w:numPr>
                <w:ilvl w:val="0"/>
                <w:numId w:val="6"/>
              </w:numPr>
            </w:pPr>
            <w:r>
              <w:t>Encourage differentiation and vertical specialization while maintaining an interoperable base</w:t>
            </w:r>
            <w:r w:rsidR="00081231">
              <w:t>;</w:t>
            </w:r>
          </w:p>
          <w:p w14:paraId="487C06E8" w14:textId="2B78D12B" w:rsidR="00245362" w:rsidRDefault="00081231" w:rsidP="007E552C">
            <w:pPr>
              <w:pStyle w:val="ListParagraph"/>
              <w:numPr>
                <w:ilvl w:val="0"/>
                <w:numId w:val="6"/>
              </w:numPr>
            </w:pPr>
            <w:r>
              <w:t>And support a s</w:t>
            </w:r>
            <w:r w:rsidR="00245362">
              <w:t>andbox environment for legal and regulatory requirement discovery and input</w:t>
            </w:r>
            <w:r>
              <w:t xml:space="preserve">. </w:t>
            </w:r>
          </w:p>
          <w:p w14:paraId="5921C29A" w14:textId="77777777" w:rsidR="00245362" w:rsidRDefault="00245362" w:rsidP="00245362"/>
          <w:p w14:paraId="7F33835B" w14:textId="77777777" w:rsidR="00245362" w:rsidRDefault="00245362" w:rsidP="00245362">
            <w:r>
              <w:t>It is NOT:</w:t>
            </w:r>
          </w:p>
          <w:p w14:paraId="76432C19" w14:textId="77777777" w:rsidR="00245362" w:rsidRDefault="00245362" w:rsidP="00245362"/>
          <w:p w14:paraId="4F956906" w14:textId="7D65F84E" w:rsidR="005D602E" w:rsidRDefault="00245362" w:rsidP="00245362">
            <w:pPr>
              <w:pStyle w:val="ListParagraph"/>
              <w:numPr>
                <w:ilvl w:val="0"/>
                <w:numId w:val="7"/>
              </w:numPr>
            </w:pPr>
            <w:r>
              <w:t>Specific to the Ethereum family</w:t>
            </w:r>
            <w:r w:rsidR="005D602E">
              <w:t>,</w:t>
            </w:r>
            <w:r>
              <w:t xml:space="preserve"> </w:t>
            </w:r>
            <w:r w:rsidR="00AF7997">
              <w:t>but</w:t>
            </w:r>
            <w:r>
              <w:t xml:space="preserve"> applies to any shared medium</w:t>
            </w:r>
            <w:r w:rsidR="007E552C">
              <w:t>;</w:t>
            </w:r>
          </w:p>
          <w:p w14:paraId="088DF132" w14:textId="0B916319" w:rsidR="005D602E" w:rsidRDefault="00245362" w:rsidP="00245362">
            <w:pPr>
              <w:pStyle w:val="ListParagraph"/>
              <w:numPr>
                <w:ilvl w:val="0"/>
                <w:numId w:val="7"/>
              </w:numPr>
            </w:pPr>
            <w:r>
              <w:t>A Legal framework</w:t>
            </w:r>
            <w:r w:rsidR="007E552C">
              <w:t>;</w:t>
            </w:r>
          </w:p>
          <w:p w14:paraId="157DED74" w14:textId="3B0607C6" w:rsidR="001076B8" w:rsidRDefault="00081231">
            <w:pPr>
              <w:pStyle w:val="ListParagraph"/>
              <w:numPr>
                <w:ilvl w:val="0"/>
                <w:numId w:val="7"/>
              </w:numPr>
            </w:pPr>
            <w:r>
              <w:t>Nor a</w:t>
            </w:r>
            <w:r w:rsidR="00245362">
              <w:t xml:space="preserve"> </w:t>
            </w:r>
            <w:r>
              <w:t xml:space="preserve">regulatory </w:t>
            </w:r>
            <w:r w:rsidR="00245362">
              <w:t>framework</w:t>
            </w:r>
            <w:r w:rsidR="007E552C">
              <w:t>.</w:t>
            </w:r>
          </w:p>
        </w:tc>
      </w:tr>
      <w:tr w:rsidR="001076B8" w14:paraId="22DDE1D8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E33A" w14:textId="77777777" w:rsidR="001076B8" w:rsidRDefault="004E1343">
            <w:pPr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 xml:space="preserve">Estimated timeframe for completion of deliverable(s) </w:t>
            </w:r>
          </w:p>
        </w:tc>
      </w:tr>
      <w:tr w:rsidR="001076B8" w14:paraId="39AB089D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D0AB" w14:textId="025220CF" w:rsidR="001076B8" w:rsidRDefault="00EF0F17" w:rsidP="00264F54">
            <w:pPr>
              <w:contextualSpacing w:val="0"/>
            </w:pPr>
            <w:r>
              <w:t xml:space="preserve">Token </w:t>
            </w:r>
            <w:r w:rsidR="00FC2B35">
              <w:t>Taxonomy Initiative</w:t>
            </w:r>
            <w:r>
              <w:t xml:space="preserve"> should </w:t>
            </w:r>
            <w:r w:rsidR="00264F54">
              <w:t>aim to</w:t>
            </w:r>
            <w:r>
              <w:t xml:space="preserve"> deliver </w:t>
            </w:r>
            <w:r w:rsidR="005D602E">
              <w:t xml:space="preserve">beta framework versions that will be used in taxonomy workshops to generate taxonomy </w:t>
            </w:r>
            <w:proofErr w:type="spellStart"/>
            <w:r w:rsidR="005D602E">
              <w:t>artifacts</w:t>
            </w:r>
            <w:proofErr w:type="spellEnd"/>
            <w:r w:rsidR="005D602E">
              <w:t xml:space="preserve"> and token definitions </w:t>
            </w:r>
            <w:r w:rsidR="003F7FFB">
              <w:t>and</w:t>
            </w:r>
            <w:r w:rsidR="005D602E">
              <w:t xml:space="preserve"> contribute these </w:t>
            </w:r>
            <w:proofErr w:type="spellStart"/>
            <w:r w:rsidR="005D602E">
              <w:t>artifacts</w:t>
            </w:r>
            <w:proofErr w:type="spellEnd"/>
            <w:r w:rsidR="005D602E">
              <w:t xml:space="preserve"> to the taxonomy library</w:t>
            </w:r>
            <w:r>
              <w:t>.</w:t>
            </w:r>
            <w:r w:rsidR="005D602E">
              <w:t xml:space="preserve">  These workshops will light-up improvements for the beta towards the goal of delivering a 1.0 version in the Fall 2019/DevCon5 timeframe.</w:t>
            </w:r>
          </w:p>
        </w:tc>
      </w:tr>
      <w:tr w:rsidR="001076B8" w14:paraId="5F108AFD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365D" w14:textId="22821B02" w:rsidR="001076B8" w:rsidRDefault="004E1343">
            <w:pPr>
              <w:contextualSpacing w:val="0"/>
              <w:rPr>
                <w:b/>
              </w:rPr>
            </w:pPr>
            <w:r>
              <w:rPr>
                <w:b/>
              </w:rPr>
              <w:t>Does th</w:t>
            </w:r>
            <w:r w:rsidR="00FC2B35">
              <w:rPr>
                <w:b/>
              </w:rPr>
              <w:t>is initiative</w:t>
            </w:r>
            <w:r>
              <w:rPr>
                <w:b/>
              </w:rPr>
              <w:t xml:space="preserve"> require specific technical resources or administrative support from EEA?  </w:t>
            </w:r>
          </w:p>
        </w:tc>
      </w:tr>
      <w:tr w:rsidR="001076B8" w14:paraId="6E4E8B52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25C3" w14:textId="2CC9172E" w:rsidR="001076B8" w:rsidRDefault="00CF3AF6" w:rsidP="00896216">
            <w:pPr>
              <w:contextualSpacing w:val="0"/>
            </w:pPr>
            <w:r>
              <w:t xml:space="preserve">Token </w:t>
            </w:r>
            <w:r w:rsidR="00FC2B35">
              <w:t>Taxonomy Initiative</w:t>
            </w:r>
            <w:r>
              <w:t xml:space="preserve"> </w:t>
            </w:r>
            <w:r w:rsidR="004E1343">
              <w:t xml:space="preserve">will be using </w:t>
            </w:r>
            <w:r w:rsidR="00896216">
              <w:t xml:space="preserve">the process implemented with </w:t>
            </w:r>
            <w:r w:rsidR="00FC2B35">
              <w:t xml:space="preserve">certain </w:t>
            </w:r>
            <w:r w:rsidR="00896216">
              <w:t>standard EEA tools</w:t>
            </w:r>
            <w:r w:rsidR="00FC2B35">
              <w:t xml:space="preserve"> provided for this initiative by EEA</w:t>
            </w:r>
            <w:r w:rsidR="00896216">
              <w:t xml:space="preserve">, and additionally will rely on mailing lists, </w:t>
            </w:r>
            <w:r w:rsidR="004E1343">
              <w:t>GitHub</w:t>
            </w:r>
            <w:r w:rsidR="00896216">
              <w:t xml:space="preserve"> and other, as appropriate, </w:t>
            </w:r>
            <w:r>
              <w:t xml:space="preserve">tools. </w:t>
            </w:r>
            <w:r w:rsidR="005D602E">
              <w:t xml:space="preserve">It will also require an EEA Project Manager and Coordinator. </w:t>
            </w:r>
          </w:p>
        </w:tc>
      </w:tr>
      <w:tr w:rsidR="001076B8" w14:paraId="7D919756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AEB1" w14:textId="3E67D44A" w:rsidR="001076B8" w:rsidRDefault="004E1343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Is </w:t>
            </w:r>
            <w:r w:rsidR="00FC2B35">
              <w:rPr>
                <w:b/>
              </w:rPr>
              <w:t xml:space="preserve">participation in </w:t>
            </w:r>
            <w:r>
              <w:rPr>
                <w:b/>
              </w:rPr>
              <w:t>th</w:t>
            </w:r>
            <w:r w:rsidR="00FC2B35">
              <w:rPr>
                <w:b/>
              </w:rPr>
              <w:t>is initiative</w:t>
            </w:r>
            <w:r>
              <w:rPr>
                <w:b/>
              </w:rPr>
              <w:t xml:space="preserve"> open to all EEA members? If not, please describe the </w:t>
            </w:r>
            <w:r>
              <w:rPr>
                <w:b/>
              </w:rPr>
              <w:lastRenderedPageBreak/>
              <w:t xml:space="preserve">nature of </w:t>
            </w:r>
            <w:r w:rsidR="00FC2B35">
              <w:rPr>
                <w:b/>
              </w:rPr>
              <w:t xml:space="preserve">engagement and participation of </w:t>
            </w:r>
            <w:r>
              <w:rPr>
                <w:b/>
              </w:rPr>
              <w:t xml:space="preserve">non-members.  All </w:t>
            </w:r>
            <w:r w:rsidR="007E552C">
              <w:rPr>
                <w:b/>
              </w:rPr>
              <w:t xml:space="preserve">participants </w:t>
            </w:r>
            <w:r>
              <w:rPr>
                <w:b/>
              </w:rPr>
              <w:t xml:space="preserve">of </w:t>
            </w:r>
            <w:r w:rsidR="00FC2B35">
              <w:rPr>
                <w:b/>
              </w:rPr>
              <w:t>the initiative</w:t>
            </w:r>
            <w:r>
              <w:rPr>
                <w:b/>
              </w:rPr>
              <w:t xml:space="preserve"> must be supportive of th</w:t>
            </w:r>
            <w:r w:rsidR="00FC2B35">
              <w:rPr>
                <w:b/>
              </w:rPr>
              <w:t>is</w:t>
            </w:r>
            <w:r>
              <w:rPr>
                <w:b/>
              </w:rPr>
              <w:t xml:space="preserve"> Charter and committed to participating in furtherance of the </w:t>
            </w:r>
            <w:r w:rsidR="00FC2B35">
              <w:rPr>
                <w:b/>
              </w:rPr>
              <w:t>Token Taxonomy Initiative</w:t>
            </w:r>
            <w:r w:rsidR="007E552C">
              <w:rPr>
                <w:b/>
              </w:rPr>
              <w:t xml:space="preserve"> </w:t>
            </w:r>
            <w:r>
              <w:rPr>
                <w:b/>
              </w:rPr>
              <w:t xml:space="preserve">deliverables.  </w:t>
            </w:r>
          </w:p>
        </w:tc>
      </w:tr>
      <w:tr w:rsidR="001076B8" w14:paraId="2BC80D4A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A18B" w14:textId="641A7A43" w:rsidR="00896216" w:rsidRDefault="00CF3AF6" w:rsidP="00315F86">
            <w:pPr>
              <w:contextualSpacing w:val="0"/>
            </w:pPr>
            <w:r>
              <w:lastRenderedPageBreak/>
              <w:t xml:space="preserve">Token </w:t>
            </w:r>
            <w:r w:rsidR="00FC2B35">
              <w:t>Taxonomy Initiative</w:t>
            </w:r>
            <w:r>
              <w:t xml:space="preserve"> will be open to all EEA members</w:t>
            </w:r>
            <w:r w:rsidR="005D602E">
              <w:t xml:space="preserve"> without an additional agreement, non-EEA members </w:t>
            </w:r>
            <w:r w:rsidR="007E552C">
              <w:t xml:space="preserve">willing to join and participate in this </w:t>
            </w:r>
            <w:r w:rsidR="00FC2B35">
              <w:t>initiative</w:t>
            </w:r>
            <w:r w:rsidR="007E552C">
              <w:t xml:space="preserve"> </w:t>
            </w:r>
            <w:r w:rsidR="005D602E">
              <w:t xml:space="preserve">will be required to join </w:t>
            </w:r>
            <w:r w:rsidR="007E552C">
              <w:t xml:space="preserve">subject to execution of the Token </w:t>
            </w:r>
            <w:r w:rsidR="00FC2B35">
              <w:t>Taxonomy Initiative</w:t>
            </w:r>
            <w:r w:rsidR="007E552C">
              <w:t xml:space="preserve"> Participation Agreement </w:t>
            </w:r>
            <w:r w:rsidR="00315F86">
              <w:t xml:space="preserve">and acceptance of the EEA </w:t>
            </w:r>
            <w:r w:rsidR="00315F86" w:rsidRPr="00913D33">
              <w:t>Intellectual Property Rights Policy</w:t>
            </w:r>
            <w:r w:rsidR="00315F86">
              <w:t xml:space="preserve">, </w:t>
            </w:r>
            <w:r w:rsidR="00315F86" w:rsidRPr="00913D33">
              <w:t xml:space="preserve">Confidentiality </w:t>
            </w:r>
            <w:r w:rsidR="00315F86">
              <w:t xml:space="preserve">and Non-Disclosure </w:t>
            </w:r>
            <w:r w:rsidR="00315F86" w:rsidRPr="00913D33">
              <w:t>Policy</w:t>
            </w:r>
            <w:r w:rsidR="00315F86">
              <w:t xml:space="preserve"> and Antitrust </w:t>
            </w:r>
            <w:r w:rsidR="00315F86" w:rsidRPr="00913D33">
              <w:t>Policy</w:t>
            </w:r>
            <w:r w:rsidR="00315F86">
              <w:t xml:space="preserve"> and Guidelines </w:t>
            </w:r>
            <w:r w:rsidR="007E552C">
              <w:t>in the form as approved by the EEA</w:t>
            </w:r>
            <w:r>
              <w:t xml:space="preserve">. The </w:t>
            </w:r>
            <w:r w:rsidR="007E552C">
              <w:t xml:space="preserve">participants in this </w:t>
            </w:r>
            <w:r w:rsidR="00FC2B35">
              <w:t>initiative</w:t>
            </w:r>
            <w:r>
              <w:t xml:space="preserve"> will have voting rights</w:t>
            </w:r>
            <w:r w:rsidR="007E552C">
              <w:t xml:space="preserve"> </w:t>
            </w:r>
            <w:r w:rsidR="00FC2B35">
              <w:t>among participants of this initiative</w:t>
            </w:r>
            <w:r>
              <w:t>, based on simple majority</w:t>
            </w:r>
            <w:r w:rsidR="007E552C">
              <w:t xml:space="preserve"> of those </w:t>
            </w:r>
            <w:r w:rsidR="00A95543">
              <w:t xml:space="preserve">participants </w:t>
            </w:r>
            <w:r w:rsidR="007E552C">
              <w:t xml:space="preserve">attending respective meetings of this </w:t>
            </w:r>
            <w:r w:rsidR="00FC2B35">
              <w:t>Token Taxonomy Initiative</w:t>
            </w:r>
            <w:r>
              <w:t xml:space="preserve">, ties </w:t>
            </w:r>
            <w:r w:rsidR="007E552C">
              <w:t xml:space="preserve">will be </w:t>
            </w:r>
            <w:r>
              <w:t>resolved by chair, to decide</w:t>
            </w:r>
            <w:r w:rsidR="007E552C">
              <w:t>,</w:t>
            </w:r>
            <w:r>
              <w:t xml:space="preserve"> </w:t>
            </w:r>
            <w:r w:rsidR="00090CBC">
              <w:t>amongst other things</w:t>
            </w:r>
            <w:r w:rsidR="007E552C">
              <w:t>, on matters, activities</w:t>
            </w:r>
            <w:r w:rsidR="00BC10C6">
              <w:t>,</w:t>
            </w:r>
            <w:r w:rsidR="007E552C">
              <w:t xml:space="preserve"> </w:t>
            </w:r>
            <w:r w:rsidR="00BC10C6">
              <w:t>d</w:t>
            </w:r>
            <w:r w:rsidR="007E552C">
              <w:t>ocuments</w:t>
            </w:r>
            <w:r w:rsidR="00377B00">
              <w:t>, proposals and other projects relate</w:t>
            </w:r>
            <w:r w:rsidR="00A95543">
              <w:t>d</w:t>
            </w:r>
            <w:r w:rsidR="00377B00">
              <w:t xml:space="preserve"> to the work of this </w:t>
            </w:r>
            <w:r w:rsidR="00FC2B35">
              <w:t>Token Taxonomy Initiative</w:t>
            </w:r>
            <w:r w:rsidR="00377B00">
              <w:t>.</w:t>
            </w:r>
            <w:r>
              <w:t xml:space="preserve"> </w:t>
            </w:r>
          </w:p>
        </w:tc>
      </w:tr>
      <w:tr w:rsidR="001076B8" w14:paraId="44DB333E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7C6" w14:textId="71650022" w:rsidR="001076B8" w:rsidRDefault="004E1343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Please state if the </w:t>
            </w:r>
            <w:r w:rsidR="00D05643">
              <w:rPr>
                <w:b/>
              </w:rPr>
              <w:t>d</w:t>
            </w:r>
            <w:r>
              <w:rPr>
                <w:b/>
              </w:rPr>
              <w:t xml:space="preserve">eliverables will be available to </w:t>
            </w:r>
            <w:r w:rsidR="00A95543">
              <w:rPr>
                <w:b/>
              </w:rPr>
              <w:t xml:space="preserve">participants </w:t>
            </w:r>
            <w:r>
              <w:rPr>
                <w:b/>
              </w:rPr>
              <w:t xml:space="preserve">of </w:t>
            </w:r>
            <w:r w:rsidR="00D05643">
              <w:rPr>
                <w:b/>
              </w:rPr>
              <w:t>this initiative</w:t>
            </w:r>
            <w:r>
              <w:rPr>
                <w:b/>
              </w:rPr>
              <w:t xml:space="preserve"> only, to all EEA Members, or publicly available on the EEA website</w:t>
            </w:r>
            <w:r w:rsidR="00D05643">
              <w:rPr>
                <w:b/>
              </w:rPr>
              <w:t>?</w:t>
            </w:r>
          </w:p>
        </w:tc>
      </w:tr>
      <w:tr w:rsidR="001076B8" w14:paraId="2BFDEEF1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BCD0" w14:textId="77777777" w:rsidR="001076B8" w:rsidRDefault="00896216">
            <w:r>
              <w:t xml:space="preserve">Proposals, discussions, </w:t>
            </w:r>
            <w:r w:rsidR="00764C58">
              <w:t xml:space="preserve">work </w:t>
            </w:r>
            <w:r>
              <w:t>products and minutes will be made available to all EEA members</w:t>
            </w:r>
            <w:r w:rsidR="00A95543">
              <w:t xml:space="preserve"> and participants of this </w:t>
            </w:r>
            <w:r w:rsidR="00D05643">
              <w:t>Token Taxonomy Initiative</w:t>
            </w:r>
            <w:r>
              <w:t xml:space="preserve">. </w:t>
            </w:r>
            <w:r w:rsidR="00764C58">
              <w:t xml:space="preserve">All these outputs, subject to </w:t>
            </w:r>
            <w:r w:rsidR="00A95543">
              <w:t>EEA management approval</w:t>
            </w:r>
            <w:r w:rsidR="00315F86">
              <w:t>,</w:t>
            </w:r>
            <w:r w:rsidR="00A95543">
              <w:t xml:space="preserve"> </w:t>
            </w:r>
            <w:r w:rsidR="00764C58">
              <w:t xml:space="preserve">may be re-classified </w:t>
            </w:r>
            <w:r w:rsidR="00A95543">
              <w:t>to be available for other parties who are non-EEA members.</w:t>
            </w:r>
          </w:p>
          <w:p w14:paraId="34948372" w14:textId="77777777" w:rsidR="00081231" w:rsidRDefault="00081231"/>
          <w:p w14:paraId="2849A2F9" w14:textId="2DE88270" w:rsidR="00081231" w:rsidRDefault="00081231">
            <w:pPr>
              <w:rPr>
                <w:b/>
              </w:rPr>
            </w:pPr>
            <w:r>
              <w:t>Work products and outputs of this initiative will be made available to all interested parties, including non-EEA members.</w:t>
            </w:r>
          </w:p>
        </w:tc>
      </w:tr>
      <w:tr w:rsidR="001076B8" w14:paraId="55C225B5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6E24" w14:textId="28679B4A" w:rsidR="001076B8" w:rsidRDefault="004E1343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Desired </w:t>
            </w:r>
            <w:r w:rsidR="00A95543">
              <w:rPr>
                <w:b/>
              </w:rPr>
              <w:t>participation</w:t>
            </w:r>
            <w:r>
              <w:rPr>
                <w:b/>
              </w:rPr>
              <w:t xml:space="preserve"> </w:t>
            </w:r>
            <w:r w:rsidR="00A95543">
              <w:rPr>
                <w:b/>
              </w:rPr>
              <w:t>c</w:t>
            </w:r>
            <w:r>
              <w:rPr>
                <w:b/>
              </w:rPr>
              <w:t>riteria (please be as specific as possible in detailing the types of members</w:t>
            </w:r>
            <w:r w:rsidR="00A95543">
              <w:rPr>
                <w:b/>
              </w:rPr>
              <w:t xml:space="preserve"> and other participants</w:t>
            </w:r>
            <w:r>
              <w:rPr>
                <w:b/>
              </w:rPr>
              <w:t xml:space="preserve"> that would be supportive of th</w:t>
            </w:r>
            <w:r w:rsidR="00D05643">
              <w:rPr>
                <w:b/>
              </w:rPr>
              <w:t>is</w:t>
            </w:r>
            <w:r>
              <w:rPr>
                <w:b/>
              </w:rPr>
              <w:t xml:space="preserve"> Charter and provide the leadership and contributions necessary for the success of the </w:t>
            </w:r>
            <w:r w:rsidR="00D05643">
              <w:rPr>
                <w:b/>
              </w:rPr>
              <w:t>Token Taxonomy Initiative</w:t>
            </w:r>
            <w:r>
              <w:rPr>
                <w:b/>
              </w:rPr>
              <w:t xml:space="preserve">): </w:t>
            </w:r>
          </w:p>
        </w:tc>
      </w:tr>
      <w:tr w:rsidR="001076B8" w14:paraId="208147A6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4307" w14:textId="58099E81" w:rsidR="001076B8" w:rsidRDefault="00A95543">
            <w:pPr>
              <w:contextualSpacing w:val="0"/>
            </w:pPr>
            <w:r>
              <w:t xml:space="preserve">This Token </w:t>
            </w:r>
            <w:r w:rsidR="00D05643">
              <w:t xml:space="preserve">Taxonomy Initiative </w:t>
            </w:r>
            <w:r w:rsidR="00764C58">
              <w:t xml:space="preserve">would benefit from a multi-disciplinary team </w:t>
            </w:r>
            <w:r>
              <w:t xml:space="preserve">of members and eligible </w:t>
            </w:r>
            <w:r w:rsidR="00D05643">
              <w:t xml:space="preserve">and selected on a case by case </w:t>
            </w:r>
            <w:r>
              <w:t xml:space="preserve">non-member participants </w:t>
            </w:r>
            <w:r w:rsidR="00764C58">
              <w:t>with skills covering diverse domains such as technology, law, regulation, investing, accounting, finance, economics, communications, marketing, risk, tax, etc.</w:t>
            </w:r>
          </w:p>
        </w:tc>
      </w:tr>
      <w:tr w:rsidR="001076B8" w14:paraId="7F6BC3D6" w14:textId="77777777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788F" w14:textId="0412A33E" w:rsidR="001076B8" w:rsidRDefault="004E1343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Do you need specific legal arrangements for this </w:t>
            </w:r>
            <w:r w:rsidR="00D05643">
              <w:rPr>
                <w:b/>
              </w:rPr>
              <w:t>initiative</w:t>
            </w:r>
            <w:r>
              <w:rPr>
                <w:b/>
              </w:rPr>
              <w:t xml:space="preserve"> that are not already covered by the EEA </w:t>
            </w:r>
            <w:r w:rsidR="00A95543">
              <w:rPr>
                <w:b/>
              </w:rPr>
              <w:t>governing documents</w:t>
            </w:r>
            <w:r>
              <w:rPr>
                <w:b/>
              </w:rPr>
              <w:t>?</w:t>
            </w:r>
          </w:p>
        </w:tc>
      </w:tr>
      <w:tr w:rsidR="001076B8" w14:paraId="42DD1B55" w14:textId="77777777" w:rsidTr="00702B2A">
        <w:trPr>
          <w:trHeight w:val="17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EA4B" w14:textId="09736CD6" w:rsidR="001076B8" w:rsidRDefault="00EB5AEB">
            <w:pPr>
              <w:contextualSpacing w:val="0"/>
            </w:pPr>
            <w:r>
              <w:t>Yes</w:t>
            </w:r>
            <w:r w:rsidR="004E1343">
              <w:t>.</w:t>
            </w:r>
          </w:p>
        </w:tc>
      </w:tr>
      <w:tr w:rsidR="008D3EEA" w14:paraId="240968C3" w14:textId="77777777" w:rsidTr="00702B2A">
        <w:trPr>
          <w:trHeight w:val="17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0B12" w14:textId="10E2CB9A" w:rsidR="008D3EEA" w:rsidRPr="0002584E" w:rsidRDefault="0002584E" w:rsidP="0002584E">
            <w:pPr>
              <w:rPr>
                <w:b/>
              </w:rPr>
            </w:pPr>
            <w:r w:rsidRPr="0002584E">
              <w:rPr>
                <w:b/>
              </w:rPr>
              <w:t>How will you ensure token solutions conform to the Initiative’s Token Taxonomy Framework?</w:t>
            </w:r>
          </w:p>
        </w:tc>
      </w:tr>
      <w:tr w:rsidR="0002584E" w14:paraId="3B6B7281" w14:textId="77777777" w:rsidTr="00702B2A">
        <w:trPr>
          <w:trHeight w:val="17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0856" w14:textId="271C6B02" w:rsidR="0002584E" w:rsidRDefault="0002584E" w:rsidP="00E63578">
            <w:r>
              <w:lastRenderedPageBreak/>
              <w:t xml:space="preserve">TTI-Certified token solutions will be expected to undergo Certification testing by one of our independent Authorized Test Laboratories. When a solution successfully passes testing, TTI </w:t>
            </w:r>
            <w:r w:rsidR="001411B8">
              <w:t>member</w:t>
            </w:r>
            <w:r>
              <w:t xml:space="preserve"> will be granted the right to use the TTF-Certified logo. A company must be a TTI member in good standing to have its token solutions tested for certification and use the TTF-Certified logo and associated trademarks.  </w:t>
            </w:r>
          </w:p>
        </w:tc>
      </w:tr>
      <w:tr w:rsidR="00E63578" w14:paraId="07797F84" w14:textId="77777777" w:rsidTr="00702B2A">
        <w:trPr>
          <w:trHeight w:val="17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FA05" w14:textId="75373D22" w:rsidR="00E63578" w:rsidRPr="00B0286B" w:rsidRDefault="00E63578" w:rsidP="00E63578">
            <w:pPr>
              <w:rPr>
                <w:b/>
              </w:rPr>
            </w:pPr>
            <w:r w:rsidRPr="00B0286B">
              <w:rPr>
                <w:b/>
              </w:rPr>
              <w:t xml:space="preserve">What will be used </w:t>
            </w:r>
            <w:r w:rsidR="00B0286B" w:rsidRPr="00B0286B">
              <w:rPr>
                <w:b/>
              </w:rPr>
              <w:t>to test conformance to the TTF?</w:t>
            </w:r>
          </w:p>
        </w:tc>
      </w:tr>
      <w:tr w:rsidR="00B0286B" w14:paraId="43DBBB3D" w14:textId="77777777" w:rsidTr="00702B2A">
        <w:trPr>
          <w:trHeight w:val="17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B654" w14:textId="6FC0B44C" w:rsidR="00B0286B" w:rsidRPr="00B0286B" w:rsidRDefault="00B0286B" w:rsidP="00E63578">
            <w:pPr>
              <w:rPr>
                <w:b/>
              </w:rPr>
            </w:pPr>
            <w:r>
              <w:t>Standard control interaction message</w:t>
            </w:r>
            <w:r w:rsidR="008E0F95">
              <w:t xml:space="preserve"> from t</w:t>
            </w:r>
            <w:r>
              <w:t xml:space="preserve">axonomy </w:t>
            </w:r>
            <w:r w:rsidR="008E0F95">
              <w:t>can be tested against the implementation using the interaction</w:t>
            </w:r>
            <w:r w:rsidR="006D39A3">
              <w:t xml:space="preserve"> model defined.  Since the interaction messages are implementation neutral, </w:t>
            </w:r>
            <w:r w:rsidR="00984ECC">
              <w:t xml:space="preserve">serialization or interface adapters will need to be adapted </w:t>
            </w:r>
            <w:r w:rsidR="00C3753A">
              <w:t>if the implementation uses serialization not supported by protocol buffers.  Currently proto3 bina</w:t>
            </w:r>
            <w:r w:rsidR="007D4C18">
              <w:t xml:space="preserve">ry serialization and JSON are supported using any transport from </w:t>
            </w:r>
            <w:proofErr w:type="spellStart"/>
            <w:r w:rsidR="007D4C18">
              <w:t>gRpc</w:t>
            </w:r>
            <w:proofErr w:type="spellEnd"/>
            <w:r w:rsidR="007D4C18">
              <w:t>, Http/s</w:t>
            </w:r>
            <w:r w:rsidR="002E3E2B">
              <w:t xml:space="preserve"> or native RPC.</w:t>
            </w:r>
          </w:p>
        </w:tc>
      </w:tr>
    </w:tbl>
    <w:p w14:paraId="782B4F1C" w14:textId="77777777" w:rsidR="001076B8" w:rsidRDefault="001076B8"/>
    <w:p w14:paraId="3086E0BB" w14:textId="5A0D35F9" w:rsidR="001076B8" w:rsidRDefault="004E1343">
      <w:r>
        <w:rPr>
          <w:b/>
        </w:rPr>
        <w:t xml:space="preserve">General Rules of </w:t>
      </w:r>
      <w:r w:rsidR="00D05643">
        <w:rPr>
          <w:b/>
        </w:rPr>
        <w:t>Token Taxonomy Initiative</w:t>
      </w:r>
      <w:r>
        <w:t>:</w:t>
      </w:r>
    </w:p>
    <w:p w14:paraId="41682DA4" w14:textId="6EE78A73" w:rsidR="001076B8" w:rsidRDefault="004E1343">
      <w:pPr>
        <w:numPr>
          <w:ilvl w:val="0"/>
          <w:numId w:val="1"/>
        </w:numPr>
        <w:ind w:hanging="360"/>
        <w:contextualSpacing/>
      </w:pPr>
      <w:r>
        <w:t xml:space="preserve">Meetings are held at a time and recurrence that allows </w:t>
      </w:r>
      <w:r w:rsidR="00E3274D">
        <w:t>participants</w:t>
      </w:r>
      <w:r>
        <w:t xml:space="preserve"> to participate regardless of geographic location</w:t>
      </w:r>
      <w:r w:rsidR="00E3274D">
        <w:t>.</w:t>
      </w:r>
    </w:p>
    <w:p w14:paraId="54ABBFE6" w14:textId="43B7573C" w:rsidR="001076B8" w:rsidRDefault="004E1343">
      <w:pPr>
        <w:numPr>
          <w:ilvl w:val="0"/>
          <w:numId w:val="1"/>
        </w:numPr>
        <w:ind w:hanging="360"/>
        <w:contextualSpacing/>
      </w:pPr>
      <w:r>
        <w:t xml:space="preserve">Meetings should happen </w:t>
      </w:r>
      <w:r w:rsidR="00E3274D">
        <w:t xml:space="preserve">at least </w:t>
      </w:r>
      <w:r>
        <w:t>once a month</w:t>
      </w:r>
      <w:r w:rsidR="00E3274D">
        <w:t xml:space="preserve"> or as needed based on the work, need and requirements of </w:t>
      </w:r>
      <w:r w:rsidR="00D05643">
        <w:t>this initiative</w:t>
      </w:r>
      <w:r w:rsidR="00E3274D">
        <w:t>.</w:t>
      </w:r>
    </w:p>
    <w:p w14:paraId="5BEDB3CB" w14:textId="21B64BA9" w:rsidR="001076B8" w:rsidRDefault="004E1343">
      <w:pPr>
        <w:numPr>
          <w:ilvl w:val="0"/>
          <w:numId w:val="1"/>
        </w:numPr>
        <w:ind w:hanging="360"/>
        <w:contextualSpacing/>
      </w:pPr>
      <w:r>
        <w:t>All meetings will be posted to a calendar</w:t>
      </w:r>
      <w:r w:rsidR="00D05643">
        <w:t xml:space="preserve"> accessible by participants</w:t>
      </w:r>
      <w:r w:rsidR="00A66425">
        <w:t>.</w:t>
      </w:r>
      <w:r>
        <w:t xml:space="preserve"> </w:t>
      </w:r>
    </w:p>
    <w:p w14:paraId="49175966" w14:textId="23789E9C" w:rsidR="001076B8" w:rsidRDefault="004E1343">
      <w:pPr>
        <w:numPr>
          <w:ilvl w:val="0"/>
          <w:numId w:val="1"/>
        </w:numPr>
        <w:ind w:hanging="360"/>
        <w:contextualSpacing/>
      </w:pPr>
      <w:r>
        <w:t xml:space="preserve">All emails and announcements </w:t>
      </w:r>
      <w:r w:rsidR="00D05643">
        <w:t xml:space="preserve">will </w:t>
      </w:r>
      <w:r>
        <w:t xml:space="preserve">be posted to the </w:t>
      </w:r>
      <w:r w:rsidR="00D05643">
        <w:t>Token Taxonomy Initiative</w:t>
      </w:r>
      <w:r>
        <w:t xml:space="preserve"> specific </w:t>
      </w:r>
      <w:r w:rsidR="00A66425">
        <w:t xml:space="preserve">collaboration site </w:t>
      </w:r>
      <w:r>
        <w:t>page</w:t>
      </w:r>
      <w:r w:rsidR="00A66425">
        <w:t>.</w:t>
      </w:r>
    </w:p>
    <w:p w14:paraId="1FCD720D" w14:textId="387DA02E" w:rsidR="001076B8" w:rsidRDefault="004E1343">
      <w:pPr>
        <w:numPr>
          <w:ilvl w:val="0"/>
          <w:numId w:val="1"/>
        </w:numPr>
        <w:ind w:hanging="360"/>
        <w:contextualSpacing/>
      </w:pPr>
      <w:r>
        <w:t>Adequate time to review any material should be provided</w:t>
      </w:r>
      <w:r w:rsidR="00A66425">
        <w:t>.</w:t>
      </w:r>
      <w:r>
        <w:t xml:space="preserve"> </w:t>
      </w:r>
    </w:p>
    <w:p w14:paraId="279D27F4" w14:textId="65699C2A" w:rsidR="001076B8" w:rsidRDefault="004E1343">
      <w:pPr>
        <w:numPr>
          <w:ilvl w:val="0"/>
          <w:numId w:val="1"/>
        </w:numPr>
        <w:ind w:hanging="360"/>
        <w:contextualSpacing/>
      </w:pPr>
      <w:r>
        <w:t xml:space="preserve">It is expected that </w:t>
      </w:r>
      <w:r w:rsidR="00D05643">
        <w:t>Token Taxonomy Initiative</w:t>
      </w:r>
      <w:r w:rsidR="00A66425">
        <w:t xml:space="preserve"> participants </w:t>
      </w:r>
      <w:r>
        <w:t>will review any material provided in a reasonable time prior to attending the meeting for discussion</w:t>
      </w:r>
      <w:r w:rsidR="00A66425">
        <w:t>.</w:t>
      </w:r>
    </w:p>
    <w:p w14:paraId="53127D34" w14:textId="7A662E89" w:rsidR="001076B8" w:rsidRDefault="00D05643">
      <w:pPr>
        <w:numPr>
          <w:ilvl w:val="0"/>
          <w:numId w:val="1"/>
        </w:numPr>
        <w:ind w:hanging="360"/>
        <w:contextualSpacing/>
      </w:pPr>
      <w:r>
        <w:t xml:space="preserve">Token Taxonomy Initiative </w:t>
      </w:r>
      <w:r w:rsidR="00A66425">
        <w:t>shall</w:t>
      </w:r>
      <w:r w:rsidR="004E1343">
        <w:t xml:space="preserve"> use the EEA branded tools unless</w:t>
      </w:r>
      <w:r w:rsidR="00A66425">
        <w:t xml:space="preserve"> otherwise is</w:t>
      </w:r>
      <w:r w:rsidR="004E1343">
        <w:t xml:space="preserve"> specified in this Charter</w:t>
      </w:r>
      <w:r>
        <w:t xml:space="preserve"> or by the EEA management</w:t>
      </w:r>
      <w:r w:rsidR="00A66425">
        <w:t>.</w:t>
      </w:r>
    </w:p>
    <w:p w14:paraId="075A0B43" w14:textId="04944340" w:rsidR="001076B8" w:rsidRDefault="004E1343">
      <w:pPr>
        <w:numPr>
          <w:ilvl w:val="0"/>
          <w:numId w:val="1"/>
        </w:numPr>
        <w:ind w:hanging="360"/>
        <w:contextualSpacing/>
      </w:pPr>
      <w:r>
        <w:t xml:space="preserve">The </w:t>
      </w:r>
      <w:r w:rsidR="00D05643">
        <w:t>Token Taxonomy Initiative</w:t>
      </w:r>
      <w:r w:rsidR="00A66425">
        <w:t xml:space="preserve"> l</w:t>
      </w:r>
      <w:r>
        <w:t>eadership</w:t>
      </w:r>
      <w:r w:rsidR="00A66425">
        <w:t xml:space="preserve"> (such as Chair and Vice Chair) and/or Secretariat</w:t>
      </w:r>
      <w:r>
        <w:t xml:space="preserve"> will be responsible for maintaining the </w:t>
      </w:r>
      <w:r w:rsidR="00D05643">
        <w:t>r</w:t>
      </w:r>
      <w:r>
        <w:t xml:space="preserve">oster and distribution list for the </w:t>
      </w:r>
      <w:r w:rsidR="00D05643">
        <w:t>Token Taxonomy Initiative</w:t>
      </w:r>
      <w:r>
        <w:t xml:space="preserve"> on </w:t>
      </w:r>
      <w:r w:rsidR="00A66425">
        <w:t>EEA collaboration site.</w:t>
      </w:r>
    </w:p>
    <w:p w14:paraId="246EB4E0" w14:textId="4AE99C14" w:rsidR="001076B8" w:rsidRDefault="004E1343">
      <w:pPr>
        <w:numPr>
          <w:ilvl w:val="0"/>
          <w:numId w:val="1"/>
        </w:numPr>
        <w:ind w:hanging="360"/>
        <w:contextualSpacing/>
      </w:pPr>
      <w:r>
        <w:t xml:space="preserve">All minutes and deliverables created </w:t>
      </w:r>
      <w:r w:rsidR="00D05643">
        <w:t>by the Token Taxonomy Initiative</w:t>
      </w:r>
      <w:r>
        <w:t xml:space="preserve"> must be posted to the </w:t>
      </w:r>
      <w:r w:rsidR="00A66425">
        <w:t>EEA collaboration site</w:t>
      </w:r>
      <w:r>
        <w:t xml:space="preserve"> specific to </w:t>
      </w:r>
      <w:r w:rsidR="00D05643">
        <w:t>the Token Taxonomy Initiative</w:t>
      </w:r>
      <w:r w:rsidR="00A66425">
        <w:t>.</w:t>
      </w:r>
    </w:p>
    <w:p w14:paraId="461DBD4E" w14:textId="7F15979C" w:rsidR="001076B8" w:rsidRDefault="00D05643">
      <w:pPr>
        <w:numPr>
          <w:ilvl w:val="0"/>
          <w:numId w:val="1"/>
        </w:numPr>
        <w:ind w:hanging="360"/>
        <w:contextualSpacing/>
      </w:pPr>
      <w:r>
        <w:t>Token Taxonomy Initiative and its participants</w:t>
      </w:r>
      <w:r w:rsidR="004E1343">
        <w:t xml:space="preserve"> will operate under the EEA </w:t>
      </w:r>
      <w:r w:rsidR="00A66425">
        <w:t xml:space="preserve">governing documents, including without limitation, </w:t>
      </w:r>
      <w:r w:rsidR="00A66425" w:rsidRPr="00913D33">
        <w:t>EEA Intellectual Property Rights Policy</w:t>
      </w:r>
      <w:r w:rsidR="00A66425">
        <w:t xml:space="preserve">, </w:t>
      </w:r>
      <w:r w:rsidR="00A66425" w:rsidRPr="00913D33">
        <w:t xml:space="preserve">Confidentiality </w:t>
      </w:r>
      <w:r w:rsidR="00A66425">
        <w:t xml:space="preserve">and Non-Disclosure </w:t>
      </w:r>
      <w:r w:rsidR="00A66425" w:rsidRPr="00913D33">
        <w:t>Policy</w:t>
      </w:r>
      <w:r w:rsidR="00A66425">
        <w:t xml:space="preserve"> and Antitrust </w:t>
      </w:r>
      <w:r w:rsidR="00A66425" w:rsidRPr="00913D33">
        <w:t>Policy</w:t>
      </w:r>
      <w:r w:rsidR="00A66425">
        <w:t xml:space="preserve"> and Guidelines, and other EEA rules, p</w:t>
      </w:r>
      <w:r w:rsidR="004E1343">
        <w:t xml:space="preserve">olicies and </w:t>
      </w:r>
      <w:r w:rsidR="00A66425">
        <w:t>p</w:t>
      </w:r>
      <w:r w:rsidR="004E1343">
        <w:t>rocedures</w:t>
      </w:r>
      <w:r w:rsidR="00A66425">
        <w:t>, as amended from time to time</w:t>
      </w:r>
      <w:r w:rsidR="0095075C">
        <w:t>.</w:t>
      </w:r>
    </w:p>
    <w:p w14:paraId="1E83FE31" w14:textId="5B7DC901" w:rsidR="001076B8" w:rsidRDefault="001076B8" w:rsidP="0095075C">
      <w:pPr>
        <w:ind w:left="720"/>
        <w:contextualSpacing/>
      </w:pPr>
    </w:p>
    <w:sectPr w:rsidR="001076B8" w:rsidSect="00E131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403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45E4D" w14:textId="77777777" w:rsidR="00FE2A84" w:rsidRDefault="00FE2A84" w:rsidP="00B65C14">
      <w:pPr>
        <w:spacing w:line="240" w:lineRule="auto"/>
      </w:pPr>
      <w:r>
        <w:separator/>
      </w:r>
    </w:p>
  </w:endnote>
  <w:endnote w:type="continuationSeparator" w:id="0">
    <w:p w14:paraId="394A8718" w14:textId="77777777" w:rsidR="00FE2A84" w:rsidRDefault="00FE2A84" w:rsidP="00B65C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36902" w14:textId="77777777" w:rsidR="001F7F67" w:rsidRDefault="001F7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B064" w14:textId="77777777" w:rsidR="00002523" w:rsidRPr="00002523" w:rsidRDefault="00002523" w:rsidP="00002523">
    <w:pPr>
      <w:pStyle w:val="Footer"/>
      <w:rPr>
        <w:b/>
        <w:i/>
        <w:sz w:val="18"/>
        <w:szCs w:val="18"/>
        <w:lang w:val="en-US"/>
      </w:rPr>
    </w:pPr>
    <w:r w:rsidRPr="00002523">
      <w:rPr>
        <w:b/>
        <w:i/>
        <w:sz w:val="18"/>
        <w:szCs w:val="18"/>
        <w:lang w:val="en-US"/>
      </w:rPr>
      <w:t xml:space="preserve">©2019 Enterprise Ethereum Alliance Inc. (“EEA”).  All Rights Reserved. EEA Proprietary and Confidential. </w:t>
    </w:r>
  </w:p>
  <w:p w14:paraId="415B16D5" w14:textId="77777777" w:rsidR="00647045" w:rsidRDefault="006470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004AD" w14:textId="77777777" w:rsidR="001F7F67" w:rsidRDefault="001F7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E109E" w14:textId="77777777" w:rsidR="00FE2A84" w:rsidRDefault="00FE2A84" w:rsidP="00B65C14">
      <w:pPr>
        <w:spacing w:line="240" w:lineRule="auto"/>
      </w:pPr>
      <w:r>
        <w:separator/>
      </w:r>
    </w:p>
  </w:footnote>
  <w:footnote w:type="continuationSeparator" w:id="0">
    <w:p w14:paraId="1C1EA27B" w14:textId="77777777" w:rsidR="00FE2A84" w:rsidRDefault="00FE2A84" w:rsidP="00B65C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C07E3" w14:textId="77777777" w:rsidR="001F7F67" w:rsidRDefault="001F7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97DBF" w14:textId="2E6AC025" w:rsidR="00B65C14" w:rsidRDefault="00B56EB5">
    <w:pPr>
      <w:pStyle w:val="Header"/>
    </w:pPr>
    <w:r w:rsidRPr="009F3990">
      <w:rPr>
        <w:noProof/>
      </w:rPr>
      <w:drawing>
        <wp:inline distT="0" distB="0" distL="0" distR="0" wp14:anchorId="505A067C" wp14:editId="28B7A1FC">
          <wp:extent cx="1714500" cy="1035229"/>
          <wp:effectExtent l="0" t="0" r="0" b="0"/>
          <wp:docPr id="7" name="Picture 7">
            <a:extLst xmlns:a="http://schemas.openxmlformats.org/drawingml/2006/main">
              <a:ext uri="{FF2B5EF4-FFF2-40B4-BE49-F238E27FC236}">
                <a16:creationId xmlns:a16="http://schemas.microsoft.com/office/drawing/2014/main" id="{37BEB832-73D8-4AB6-8314-21953B0769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37BEB832-73D8-4AB6-8314-21953B07696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8261" t="27208" r="7179" b="26048"/>
                  <a:stretch/>
                </pic:blipFill>
                <pic:spPr>
                  <a:xfrm>
                    <a:off x="0" y="0"/>
                    <a:ext cx="1719569" cy="1038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E0558" w14:textId="77777777" w:rsidR="001F7F67" w:rsidRDefault="001F7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C41DC"/>
    <w:multiLevelType w:val="hybridMultilevel"/>
    <w:tmpl w:val="B302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66CC7"/>
    <w:multiLevelType w:val="hybridMultilevel"/>
    <w:tmpl w:val="DCDA1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B507B"/>
    <w:multiLevelType w:val="multilevel"/>
    <w:tmpl w:val="A9A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53E92"/>
    <w:multiLevelType w:val="multilevel"/>
    <w:tmpl w:val="50F4F2B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6D26211C"/>
    <w:multiLevelType w:val="hybridMultilevel"/>
    <w:tmpl w:val="B3D47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14900"/>
    <w:multiLevelType w:val="hybridMultilevel"/>
    <w:tmpl w:val="999A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67443"/>
    <w:multiLevelType w:val="hybridMultilevel"/>
    <w:tmpl w:val="1BF63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B8"/>
    <w:rsid w:val="00002523"/>
    <w:rsid w:val="000146E3"/>
    <w:rsid w:val="0002584E"/>
    <w:rsid w:val="0005033D"/>
    <w:rsid w:val="00081231"/>
    <w:rsid w:val="00090CBC"/>
    <w:rsid w:val="000933F0"/>
    <w:rsid w:val="000C066E"/>
    <w:rsid w:val="000E0190"/>
    <w:rsid w:val="001076B8"/>
    <w:rsid w:val="001411B8"/>
    <w:rsid w:val="001C0130"/>
    <w:rsid w:val="001D00B0"/>
    <w:rsid w:val="001E360C"/>
    <w:rsid w:val="001E6CC1"/>
    <w:rsid w:val="001F7F67"/>
    <w:rsid w:val="00200ED8"/>
    <w:rsid w:val="00245362"/>
    <w:rsid w:val="00250329"/>
    <w:rsid w:val="00250D89"/>
    <w:rsid w:val="00264F54"/>
    <w:rsid w:val="00275E3C"/>
    <w:rsid w:val="00283F8A"/>
    <w:rsid w:val="002E3E2B"/>
    <w:rsid w:val="002F37BA"/>
    <w:rsid w:val="00313571"/>
    <w:rsid w:val="00315F86"/>
    <w:rsid w:val="003438C4"/>
    <w:rsid w:val="00362884"/>
    <w:rsid w:val="00375D4C"/>
    <w:rsid w:val="00377B00"/>
    <w:rsid w:val="003C293C"/>
    <w:rsid w:val="003E0A23"/>
    <w:rsid w:val="003F7FFB"/>
    <w:rsid w:val="00420A10"/>
    <w:rsid w:val="0042789D"/>
    <w:rsid w:val="00430F7A"/>
    <w:rsid w:val="00490A27"/>
    <w:rsid w:val="00490D9B"/>
    <w:rsid w:val="004B0982"/>
    <w:rsid w:val="004E1343"/>
    <w:rsid w:val="00535689"/>
    <w:rsid w:val="0055391F"/>
    <w:rsid w:val="005714DB"/>
    <w:rsid w:val="005732EC"/>
    <w:rsid w:val="00585165"/>
    <w:rsid w:val="00586692"/>
    <w:rsid w:val="005949B8"/>
    <w:rsid w:val="00595F72"/>
    <w:rsid w:val="005D602E"/>
    <w:rsid w:val="006041ED"/>
    <w:rsid w:val="00604DD6"/>
    <w:rsid w:val="00622DF5"/>
    <w:rsid w:val="00647045"/>
    <w:rsid w:val="00653FBC"/>
    <w:rsid w:val="006A13CC"/>
    <w:rsid w:val="006A2877"/>
    <w:rsid w:val="006C24B9"/>
    <w:rsid w:val="006D39A3"/>
    <w:rsid w:val="006F0326"/>
    <w:rsid w:val="00702B2A"/>
    <w:rsid w:val="007452AB"/>
    <w:rsid w:val="00764C58"/>
    <w:rsid w:val="007946F4"/>
    <w:rsid w:val="007D39C8"/>
    <w:rsid w:val="007D4C18"/>
    <w:rsid w:val="007E552C"/>
    <w:rsid w:val="00831967"/>
    <w:rsid w:val="00836C53"/>
    <w:rsid w:val="00896216"/>
    <w:rsid w:val="008A5651"/>
    <w:rsid w:val="008C25EB"/>
    <w:rsid w:val="008D3EEA"/>
    <w:rsid w:val="008E0F95"/>
    <w:rsid w:val="0095075C"/>
    <w:rsid w:val="00953004"/>
    <w:rsid w:val="00973922"/>
    <w:rsid w:val="00982F0E"/>
    <w:rsid w:val="00984ECC"/>
    <w:rsid w:val="00991158"/>
    <w:rsid w:val="009A41E2"/>
    <w:rsid w:val="009B7653"/>
    <w:rsid w:val="009E7E8D"/>
    <w:rsid w:val="009F2EC4"/>
    <w:rsid w:val="00A66027"/>
    <w:rsid w:val="00A66425"/>
    <w:rsid w:val="00A95543"/>
    <w:rsid w:val="00AC076F"/>
    <w:rsid w:val="00AE2DE5"/>
    <w:rsid w:val="00AF7997"/>
    <w:rsid w:val="00B0286B"/>
    <w:rsid w:val="00B22E5F"/>
    <w:rsid w:val="00B53C39"/>
    <w:rsid w:val="00B56EB5"/>
    <w:rsid w:val="00B65C14"/>
    <w:rsid w:val="00BC10C6"/>
    <w:rsid w:val="00BC6BD9"/>
    <w:rsid w:val="00BF390C"/>
    <w:rsid w:val="00C3753A"/>
    <w:rsid w:val="00C44A0F"/>
    <w:rsid w:val="00C457AF"/>
    <w:rsid w:val="00C47F4E"/>
    <w:rsid w:val="00C9202D"/>
    <w:rsid w:val="00C94F35"/>
    <w:rsid w:val="00CD5A20"/>
    <w:rsid w:val="00CF3AF6"/>
    <w:rsid w:val="00D05643"/>
    <w:rsid w:val="00D13565"/>
    <w:rsid w:val="00D2238A"/>
    <w:rsid w:val="00D2597F"/>
    <w:rsid w:val="00D543F9"/>
    <w:rsid w:val="00D6701B"/>
    <w:rsid w:val="00D76061"/>
    <w:rsid w:val="00D8483D"/>
    <w:rsid w:val="00E00E36"/>
    <w:rsid w:val="00E131D0"/>
    <w:rsid w:val="00E2529F"/>
    <w:rsid w:val="00E303EC"/>
    <w:rsid w:val="00E3274D"/>
    <w:rsid w:val="00E63578"/>
    <w:rsid w:val="00E95BAE"/>
    <w:rsid w:val="00EB5AEB"/>
    <w:rsid w:val="00EF0F17"/>
    <w:rsid w:val="00F63106"/>
    <w:rsid w:val="00F66534"/>
    <w:rsid w:val="00F7251E"/>
    <w:rsid w:val="00F838A8"/>
    <w:rsid w:val="00F85B58"/>
    <w:rsid w:val="00FC2B35"/>
    <w:rsid w:val="00FE2A84"/>
    <w:rsid w:val="00FE3B77"/>
    <w:rsid w:val="00FE612F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C7B63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660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C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14"/>
  </w:style>
  <w:style w:type="paragraph" w:styleId="Footer">
    <w:name w:val="footer"/>
    <w:basedOn w:val="Normal"/>
    <w:link w:val="FooterChar"/>
    <w:uiPriority w:val="99"/>
    <w:unhideWhenUsed/>
    <w:rsid w:val="00B65C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14"/>
  </w:style>
  <w:style w:type="paragraph" w:styleId="BalloonText">
    <w:name w:val="Balloon Text"/>
    <w:basedOn w:val="Normal"/>
    <w:link w:val="BalloonTextChar"/>
    <w:uiPriority w:val="99"/>
    <w:semiHidden/>
    <w:unhideWhenUsed/>
    <w:rsid w:val="0024536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6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2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B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5EFBBB0D4B7049A7F71BF850EC408A" ma:contentTypeVersion="" ma:contentTypeDescription="Create a new document." ma:contentTypeScope="" ma:versionID="f3a5bd2032a78e21e304d90e389e8cbb">
  <xsd:schema xmlns:xsd="http://www.w3.org/2001/XMLSchema" xmlns:xs="http://www.w3.org/2001/XMLSchema" xmlns:p="http://schemas.microsoft.com/office/2006/metadata/properties" xmlns:ns2="58262ce2-a610-4426-8ea1-c30af9d5c546" xmlns:ns3="3c64525f-e8f2-4cbb-80af-07a527b28a9b" targetNamespace="http://schemas.microsoft.com/office/2006/metadata/properties" ma:root="true" ma:fieldsID="dc428aa8b41d3faecbaa960b0fbd2803" ns2:_="" ns3:_="">
    <xsd:import namespace="58262ce2-a610-4426-8ea1-c30af9d5c546"/>
    <xsd:import namespace="3c64525f-e8f2-4cbb-80af-07a527b28a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62ce2-a610-4426-8ea1-c30af9d5c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4525f-e8f2-4cbb-80af-07a527b28a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64CB-7F6A-4149-81C3-19147FF52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EDABF0-0571-4187-8CA2-69FC30026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521F2-7F85-45D4-923C-E97DA3E86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62ce2-a610-4426-8ea1-c30af9d5c546"/>
    <ds:schemaRef ds:uri="3c64525f-e8f2-4cbb-80af-07a527b28a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D00D6B-BC67-FB43-AD45-02B3BC5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Inc.</Company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Marley Gray</cp:lastModifiedBy>
  <cp:revision>28</cp:revision>
  <dcterms:created xsi:type="dcterms:W3CDTF">2019-04-08T16:45:00Z</dcterms:created>
  <dcterms:modified xsi:type="dcterms:W3CDTF">2019-05-17T20:59:00Z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0x010100805EFBBB0D4B7049A7F71BF850EC408A</vt:lpwstr>
  </property>
</Properties>
</file>