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企业运营全流程数字化管控平台软件操作手册"/>
    <w:p/>
    <w:p/>
    <w:p/>
    <w:p/>
    <w:p/>
    <w:p/>
    <w:p/>
    <w:p>
      <w:pPr>
        <w:jc w:val="center"/>
      </w:pPr>
      <w:r>
        <w:rPr>
          <w:rFonts w:ascii="SimSun" w:hAnsi="SimSun" w:eastAsia="宋体"/>
          <w:b w:val="0"/>
          <w:color w:val="000000"/>
          <w:sz w:val="48"/>
        </w:rPr>
        <w:t>企业运营全流程数字化管控平台软件 V1.0</w:t>
      </w:r>
    </w:p>
    <w:p>
      <w:pPr>
        <w:jc w:val="center"/>
      </w:pPr>
      <w:r>
        <w:rPr>
          <w:rFonts w:ascii="SimSun" w:hAnsi="SimSun" w:eastAsia="宋体"/>
          <w:b w:val="0"/>
          <w:color w:val="000000"/>
          <w:sz w:val="48"/>
        </w:rPr>
        <w:t>操作手册</w:t>
        <w:br w:type="page"/>
      </w:r>
    </w:p>
    <w:bookmarkStart w:id="19" w:name="一文档定位与适用对象"/>
    <w:p>
      <w:pPr>
        <w:pStyle w:val="21"/>
        <w:spacing w:before="0" w:after="0"/>
        <w:ind w:firstLine="0"/>
      </w:pPr>
      <w:r>
        <w:rPr>
          <w:rFonts w:ascii="SimSun" w:hAnsi="SimSun" w:eastAsia="宋体"/>
          <w:sz w:val="22"/>
        </w:rPr>
        <w:t>一、文档定位与适用对象</w:t>
      </w:r>
    </w:p>
    <w:p>
      <w:pPr>
        <w:pStyle w:val="FirstParagraph"/>
        <w:spacing w:before="0" w:after="0"/>
        <w:ind w:firstLine="0"/>
      </w:pPr>
      <w:r>
        <w:rPr>
          <w:rFonts w:ascii="SimSun" w:hAnsi="SimSun" w:eastAsia="宋体"/>
          <w:sz w:val="22"/>
        </w:rPr>
        <w:t>本手册用于指导企业管理员、运营总监、采购专员、销售专员、财务专员、仓储专员以及审计专员使用 企业运营全流程数字化管控平台软件。系统面向“经营全过程数字化管控”场景设计，重点解决业务单据散落、预算控制滞后、审批链条割裂、库存与销售脱节以及审计追踪困难等问题。手册内容覆盖登录、首页、全部一级模块、端到端业务流程和常见问题处理，既可作为培训材料，也可作为上线验收、岗位交接和软著申报的正式文档。</w:t>
      </w:r>
    </w:p>
    <w:p>
      <w:pPr>
        <w:pStyle w:val="a8"/>
        <w:spacing w:before="0" w:after="0"/>
        <w:ind w:firstLine="0"/>
      </w:pPr>
      <w:r>
        <w:rPr>
          <w:rFonts w:ascii="SimSun" w:hAnsi="SimSun" w:eastAsia="宋体"/>
          <w:sz w:val="22"/>
        </w:rPr>
        <w:t>本版本手册对应软件版本 V1.0。系统采用单入口 Web 方式运行，用户通过浏览器访问首页完成操作。示例数据已内置在系统中，首次打开即可使用样例账号体验完整流程。手册中的页面截图来自真实运行环境，截图顺序与模块说明保持一致，便于使用者对照页面位置逐步执行。</w:t>
      </w:r>
    </w:p>
    <w:bookmarkStart w:id="18" w:name="Xde81b6d02074b844af21b2366f9a1672271a4e8"/>
    <w:p>
      <w:pPr>
        <w:pStyle w:val="31"/>
        <w:spacing w:before="0" w:after="0"/>
        <w:ind w:firstLine="0"/>
      </w:pPr>
      <w:r>
        <w:rPr>
          <w:rFonts w:ascii="SimSun" w:hAnsi="SimSun" w:eastAsia="宋体"/>
          <w:sz w:val="22"/>
        </w:rPr>
        <w:t>1.1 文档说明</w:t>
      </w:r>
    </w:p>
    <w:p>
      <w:pPr>
        <w:pStyle w:val="FirstParagraph"/>
        <w:spacing w:before="0" w:after="0"/>
        <w:ind w:firstLine="0"/>
      </w:pPr>
      <w:r>
        <w:rPr>
          <w:rFonts w:ascii="SimSun" w:hAnsi="SimSun" w:eastAsia="宋体"/>
          <w:sz w:val="22"/>
        </w:rPr>
        <w:t>本节用于说明手册结构与阅读方式。手册按照“系统入口、模块操作、流程演示、常见问题”的顺序组织，截图与步骤一一对应。阅读时建议先完成登录，再按模块顺序执行，以便验证页面状态与数据变化。若用于培训，可按章节拆分给不同岗位；若用于验收，可按每个步骤的“操作动作 + 预期结果”逐条核对。</w:t>
      </w:r>
    </w:p>
    <w:bookmarkEnd w:id="18"/>
    <w:bookmarkEnd w:id="19"/>
    <w:bookmarkStart w:id="26" w:name="二系统入口与登录"/>
    <w:p>
      <w:pPr>
        <w:pStyle w:val="21"/>
        <w:spacing w:before="0" w:after="0"/>
        <w:ind w:firstLine="0"/>
      </w:pPr>
      <w:r>
        <w:rPr>
          <w:rFonts w:ascii="SimSun" w:hAnsi="SimSun" w:eastAsia="宋体"/>
          <w:sz w:val="22"/>
        </w:rPr>
        <w:t>二、系统入口与登录</w:t>
      </w:r>
    </w:p>
    <w:bookmarkStart w:id="23" w:name="X8d92d0782debba42cad0815a44ad1cc6019bff9"/>
    <w:p>
      <w:pPr>
        <w:pStyle w:val="31"/>
        <w:spacing w:before="0" w:after="0"/>
        <w:ind w:firstLine="0"/>
      </w:pPr>
      <w:r>
        <w:rPr>
          <w:rFonts w:ascii="SimSun" w:hAnsi="SimSun" w:eastAsia="宋体"/>
          <w:sz w:val="22"/>
        </w:rPr>
        <w:t>2.1 登录界面总览</w:t>
      </w:r>
    </w:p>
    <w:p>
      <w:pPr>
        <w:pStyle w:val="FirstParagraph"/>
        <w:spacing w:before="0" w:after="0"/>
        <w:ind w:firstLine="0"/>
      </w:pPr>
      <w:r>
        <w:rPr>
          <w:rFonts w:ascii="SimSun" w:hAnsi="SimSun" w:eastAsia="宋体"/>
          <w:sz w:val="22"/>
        </w:rPr>
        <w:t>系统入口为 http://127.0.0.1:8000 或部署后的统一访问地址。登录界面左侧提供系统名称、账号密码输入框与登录按钮，右侧展示平台的首期覆盖模块，帮助用户在首次进入时快速理解平台能力边界。登录页默认展示演示账号，便于培训和验收场景直接进入系统。</w:t>
      </w:r>
    </w:p>
    <w:p>
      <w:pPr>
        <w:pStyle w:val="a8"/>
        <w:spacing w:before="0" w:after="0"/>
        <w:ind w:firstLine="0"/>
      </w:pPr>
      <w:r>
        <w:rPr>
          <w:rFonts w:ascii="SimSun" w:hAnsi="SimSun" w:eastAsia="宋体"/>
          <w:sz w:val="22"/>
        </w:rPr>
        <w:t>登录页面的核心输入项包括用户名和密码。系统已内置管理员账号 admin / admin123，审批体验可使用 director / admin123，财务体验可使用 fin01 / admin123。登录成功后，系统会自动获取当前用户身份、角色编码、权限集合和数据范围，并将用户上下文加载到左侧导航与页面权限控制中。若输入错误，页面会在顶部以统一错误提示条反馈失败原因与请求号，便于后续追踪。</w:t>
      </w:r>
    </w:p>
    <w:p>
      <w:pPr>
        <w:pStyle w:val="a8"/>
        <w:spacing w:before="0" w:after="0"/>
        <w:ind w:firstLine="0"/>
      </w:pPr>
      <w:r>
        <w:drawing>
          <wp:inline>
            <wp:extent cx="5486400" cy="3429000"/>
            <wp:effectExtent b="0" l="0" r="0" t="0"/>
            <wp:docPr descr="图1-1 登录界面全图" title="" id="21" name="Picture"/>
            <a:graphic>
              <a:graphicData uri="http://schemas.openxmlformats.org/drawingml/2006/picture">
                <pic:pic>
                  <pic:nvPicPr>
                    <pic:cNvPr descr="images/fig-1-1-login-full.png" id="22" name="Picture"/>
                    <pic:cNvPicPr>
                      <a:picLocks noChangeArrowheads="1" noChangeAspect="1"/>
                    </pic:cNvPicPr>
                  </pic:nvPicPr>
                  <pic:blipFill>
                    <a:blip r:embed="rId20"/>
                    <a:stretch>
                      <a:fillRect/>
                    </a:stretch>
                  </pic:blipFill>
                  <pic:spPr bwMode="auto">
                    <a:xfrm>
                      <a:off x="0" y="0"/>
                      <a:ext cx="5486400" cy="3429000"/>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图1-1 展示了登录页完整布局。可以看到系统将操作入口、样例账号与首期覆盖模块同时放在登录页中，既方便首次培训，也能让业务人员在进入前理解系统已包含采购、销售、预算、审批和审计等核心场景。</w:t>
      </w:r>
    </w:p>
    <w:bookmarkEnd w:id="23"/>
    <w:bookmarkStart w:id="24" w:name="Xf8fc863e06113fd5f3df4a64efb6447b4189ef4"/>
    <w:p>
      <w:pPr>
        <w:pStyle w:val="31"/>
        <w:spacing w:before="0" w:after="0"/>
        <w:ind w:firstLine="0"/>
      </w:pPr>
      <w:r>
        <w:rPr>
          <w:rFonts w:ascii="SimSun" w:hAnsi="SimSun" w:eastAsia="宋体"/>
          <w:sz w:val="22"/>
        </w:rPr>
        <w:t>2.2 登录操作步骤</w:t>
      </w:r>
    </w:p>
    <w:p>
      <w:pPr>
        <w:pStyle w:val="Compact"/>
        <w:numPr>
          <w:ilvl w:val="0"/>
          <w:numId w:val="1001"/>
        </w:numPr>
        <w:spacing w:before="0" w:after="0"/>
        <w:ind w:firstLine="0"/>
      </w:pPr>
      <w:r>
        <w:rPr>
          <w:rFonts w:ascii="SimSun" w:hAnsi="SimSun" w:eastAsia="宋体"/>
          <w:sz w:val="22"/>
        </w:rPr>
        <w:t>打开系统入口，进入登录页面。</w:t>
      </w:r>
    </w:p>
    <w:p>
      <w:pPr>
        <w:pStyle w:val="Compact"/>
        <w:numPr>
          <w:ilvl w:val="0"/>
          <w:numId w:val="1001"/>
        </w:numPr>
        <w:spacing w:before="0" w:after="0"/>
        <w:ind w:firstLine="0"/>
      </w:pPr>
      <w:r>
        <w:rPr>
          <w:rFonts w:ascii="SimSun" w:hAnsi="SimSun" w:eastAsia="宋体"/>
          <w:sz w:val="22"/>
        </w:rPr>
        <w:t>在“用户名”输入框中填写账号，例如 admin。</w:t>
      </w:r>
    </w:p>
    <w:p>
      <w:pPr>
        <w:pStyle w:val="Compact"/>
        <w:numPr>
          <w:ilvl w:val="0"/>
          <w:numId w:val="1001"/>
        </w:numPr>
        <w:spacing w:before="0" w:after="0"/>
        <w:ind w:firstLine="0"/>
      </w:pPr>
      <w:r>
        <w:rPr>
          <w:rFonts w:ascii="SimSun" w:hAnsi="SimSun" w:eastAsia="宋体"/>
          <w:sz w:val="22"/>
        </w:rPr>
        <w:t>在“密码”输入框中填写密码，例如 admin123。</w:t>
      </w:r>
    </w:p>
    <w:p>
      <w:pPr>
        <w:pStyle w:val="Compact"/>
        <w:numPr>
          <w:ilvl w:val="0"/>
          <w:numId w:val="1001"/>
        </w:numPr>
        <w:spacing w:before="0" w:after="0"/>
        <w:ind w:firstLine="0"/>
      </w:pPr>
      <w:r>
        <w:rPr>
          <w:rFonts w:ascii="SimSun" w:hAnsi="SimSun" w:eastAsia="宋体"/>
          <w:sz w:val="22"/>
        </w:rPr>
        <w:t>点击“登录”按钮，系统向认证接口发送登录请求。</w:t>
      </w:r>
    </w:p>
    <w:p>
      <w:pPr>
        <w:pStyle w:val="Compact"/>
        <w:numPr>
          <w:ilvl w:val="0"/>
          <w:numId w:val="1001"/>
        </w:numPr>
        <w:spacing w:before="0" w:after="0"/>
        <w:ind w:firstLine="0"/>
      </w:pPr>
      <w:r>
        <w:rPr>
          <w:rFonts w:ascii="SimSun" w:hAnsi="SimSun" w:eastAsia="宋体"/>
          <w:sz w:val="22"/>
        </w:rPr>
        <w:t>认证成功后，系统保存访问令牌与刷新令牌，并自动跳转至首页经营看板。</w:t>
      </w:r>
    </w:p>
    <w:p>
      <w:pPr>
        <w:pStyle w:val="Compact"/>
        <w:numPr>
          <w:ilvl w:val="0"/>
          <w:numId w:val="1001"/>
        </w:numPr>
        <w:spacing w:before="0" w:after="0"/>
        <w:ind w:firstLine="0"/>
      </w:pPr>
      <w:r>
        <w:rPr>
          <w:rFonts w:ascii="SimSun" w:hAnsi="SimSun" w:eastAsia="宋体"/>
          <w:sz w:val="22"/>
        </w:rPr>
        <w:t>如果登录失败，先核对账号、密码和网络状态，再根据页面返回的错误信息重试。</w:t>
      </w:r>
    </w:p>
    <w:bookmarkEnd w:id="24"/>
    <w:bookmarkStart w:id="25" w:name="X6144912939e44743f50b879927d9b76dedcc498"/>
    <w:p>
      <w:pPr>
        <w:pStyle w:val="31"/>
        <w:spacing w:before="0" w:after="0"/>
        <w:ind w:firstLine="0"/>
      </w:pPr>
      <w:r>
        <w:rPr>
          <w:rFonts w:ascii="SimSun" w:hAnsi="SimSun" w:eastAsia="宋体"/>
          <w:sz w:val="22"/>
        </w:rPr>
        <w:t>2.3 登录后的角色差异</w:t>
      </w:r>
    </w:p>
    <w:p>
      <w:pPr>
        <w:pStyle w:val="FirstParagraph"/>
        <w:spacing w:before="0" w:after="0"/>
        <w:ind w:firstLine="0"/>
      </w:pPr>
      <w:r>
        <w:rPr>
          <w:rFonts w:ascii="SimSun" w:hAnsi="SimSun" w:eastAsia="宋体"/>
          <w:sz w:val="22"/>
        </w:rPr>
        <w:t>不同角色进入系统后看到的页面布局一致，但可操作能力不同。管理员拥有全部菜单与维护能力，适合演示全流程；运营总监主要处理审批待办；财务专员重点使用预算、报销、付款与回款功能；仓储专员重点处理收货入库；审计专员主要查看审计日志和通知。这样的权限划分保证了“同平台、分职责”的使用方式，也便于企业后续上线时按组织岗位逐步推开。</w:t>
      </w:r>
    </w:p>
    <w:bookmarkEnd w:id="25"/>
    <w:bookmarkEnd w:id="26"/>
    <w:bookmarkStart w:id="31" w:name="三首页经营看板"/>
    <w:p>
      <w:pPr>
        <w:pStyle w:val="21"/>
        <w:spacing w:before="0" w:after="0"/>
        <w:ind w:firstLine="0"/>
      </w:pPr>
      <w:r>
        <w:rPr>
          <w:rFonts w:ascii="SimSun" w:hAnsi="SimSun" w:eastAsia="宋体"/>
          <w:sz w:val="22"/>
        </w:rPr>
        <w:t>三、首页经营看板</w:t>
      </w:r>
    </w:p>
    <w:p>
      <w:pPr>
        <w:pStyle w:val="FirstParagraph"/>
        <w:spacing w:before="0" w:after="0"/>
        <w:ind w:firstLine="0"/>
      </w:pPr>
      <w:r>
        <w:rPr>
          <w:rFonts w:ascii="SimSun" w:hAnsi="SimSun" w:eastAsia="宋体"/>
          <w:sz w:val="22"/>
        </w:rPr>
        <w:t>首页是系统的统一经营驾驶舱。左侧导航固定提供“经营看板、主数据、采购与库存、销售与合同、费用与预算、待办与流程、审计与通知”七个一级菜单，底部显示当前登录用户名称、角色编码以及退出入口。主内容区顶部展示成功或失败提示条，下方为当前页面主体内容。</w:t>
      </w:r>
    </w:p>
    <w:p>
      <w:pPr>
        <w:pStyle w:val="a8"/>
        <w:spacing w:before="0" w:after="0"/>
        <w:ind w:firstLine="0"/>
      </w:pPr>
      <w:r>
        <w:rPr>
          <w:rFonts w:ascii="SimSun" w:hAnsi="SimSun" w:eastAsia="宋体"/>
          <w:sz w:val="22"/>
        </w:rPr>
        <w:t>经营看板页面聚合了销售订单数、采购申请数、库存 SKU、报销单数、我的待办和未读通知六类核心指标，并通过金额概览和风险提示两个卡片帮助管理者快速定位问题。金额概览分别展示销售金额、采购金额和回款金额，风险提示则提示例如待审数量、通知数量或业务预警。页面使用卡片、条形图和提示列表的组合，不要求管理者进入明细页面也能掌握当前经营状态。</w:t>
      </w:r>
    </w:p>
    <w:p>
      <w:pPr>
        <w:pStyle w:val="a8"/>
        <w:spacing w:before="0" w:after="0"/>
        <w:ind w:firstLine="0"/>
      </w:pPr>
      <w:r>
        <w:drawing>
          <wp:inline>
            <wp:extent cx="5486400" cy="3429000"/>
            <wp:effectExtent b="0" l="0" r="0" t="0"/>
            <wp:docPr descr="图2-1 首页完整界面" title="" id="28" name="Picture"/>
            <a:graphic>
              <a:graphicData uri="http://schemas.openxmlformats.org/drawingml/2006/picture">
                <pic:pic>
                  <pic:nvPicPr>
                    <pic:cNvPr descr="images/fig-2-1-home-full.png" id="29" name="Picture"/>
                    <pic:cNvPicPr>
                      <a:picLocks noChangeArrowheads="1" noChangeAspect="1"/>
                    </pic:cNvPicPr>
                  </pic:nvPicPr>
                  <pic:blipFill>
                    <a:blip r:embed="rId27"/>
                    <a:stretch>
                      <a:fillRect/>
                    </a:stretch>
                  </pic:blipFill>
                  <pic:spPr bwMode="auto">
                    <a:xfrm>
                      <a:off x="0" y="0"/>
                      <a:ext cx="5486400" cy="3429000"/>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图2-1 展示了首页经营看板。使用者进入首页后，建议先确认左侧身份卡中的用户信息是否正确，再查看 KPI 是否与近期操作一致。如果前一环节刚提交采购申请或报销单，可以返回首页检查待办数量、通知数量和经营金额是否发生变化，以验证业务链条是否闭环。</w:t>
      </w:r>
    </w:p>
    <w:bookmarkStart w:id="30" w:name="X00f63d94fbc313677493ec75f8e339390d7359c"/>
    <w:p>
      <w:pPr>
        <w:pStyle w:val="31"/>
        <w:spacing w:before="0" w:after="0"/>
        <w:ind w:firstLine="0"/>
      </w:pPr>
      <w:r>
        <w:rPr>
          <w:rFonts w:ascii="SimSun" w:hAnsi="SimSun" w:eastAsia="宋体"/>
          <w:sz w:val="22"/>
        </w:rPr>
        <w:t>3.1 首页日常使用建议</w:t>
      </w:r>
    </w:p>
    <w:p>
      <w:pPr>
        <w:pStyle w:val="Compact"/>
        <w:numPr>
          <w:ilvl w:val="0"/>
          <w:numId w:val="1002"/>
        </w:numPr>
        <w:spacing w:before="0" w:after="0"/>
        <w:ind w:firstLine="0"/>
      </w:pPr>
      <w:r>
        <w:rPr>
          <w:rFonts w:ascii="SimSun" w:hAnsi="SimSun" w:eastAsia="宋体"/>
          <w:sz w:val="22"/>
        </w:rPr>
        <w:t>每日首次登录后优先查看“我的待办”和“未读通知”。</w:t>
      </w:r>
    </w:p>
    <w:p>
      <w:pPr>
        <w:pStyle w:val="Compact"/>
        <w:numPr>
          <w:ilvl w:val="0"/>
          <w:numId w:val="1002"/>
        </w:numPr>
        <w:spacing w:before="0" w:after="0"/>
        <w:ind w:firstLine="0"/>
      </w:pPr>
      <w:r>
        <w:rPr>
          <w:rFonts w:ascii="SimSun" w:hAnsi="SimSun" w:eastAsia="宋体"/>
          <w:sz w:val="22"/>
        </w:rPr>
        <w:t>管理岗位可对比销售、采购、回款金额，判断现金流压力。</w:t>
      </w:r>
    </w:p>
    <w:p>
      <w:pPr>
        <w:pStyle w:val="Compact"/>
        <w:numPr>
          <w:ilvl w:val="0"/>
          <w:numId w:val="1002"/>
        </w:numPr>
        <w:spacing w:before="0" w:after="0"/>
        <w:ind w:firstLine="0"/>
      </w:pPr>
      <w:r>
        <w:rPr>
          <w:rFonts w:ascii="SimSun" w:hAnsi="SimSun" w:eastAsia="宋体"/>
          <w:sz w:val="22"/>
        </w:rPr>
        <w:t>当风险提示中出现待审、超预算或通知未读时，应立即进入对应模块处理。</w:t>
      </w:r>
    </w:p>
    <w:p>
      <w:pPr>
        <w:pStyle w:val="Compact"/>
        <w:numPr>
          <w:ilvl w:val="0"/>
          <w:numId w:val="1002"/>
        </w:numPr>
        <w:spacing w:before="0" w:after="0"/>
        <w:ind w:firstLine="0"/>
      </w:pPr>
      <w:r>
        <w:rPr>
          <w:rFonts w:ascii="SimSun" w:hAnsi="SimSun" w:eastAsia="宋体"/>
          <w:sz w:val="22"/>
        </w:rPr>
        <w:t>任何业务单据提交成功后，最好回到首页查看指标变化，以便形成“提交后即回看”的使用习惯。</w:t>
      </w:r>
    </w:p>
    <w:bookmarkEnd w:id="30"/>
    <w:bookmarkEnd w:id="31"/>
    <w:bookmarkStart w:id="37" w:name="四主数据与组织基线"/>
    <w:p>
      <w:pPr>
        <w:pStyle w:val="21"/>
        <w:spacing w:before="0" w:after="0"/>
        <w:ind w:firstLine="0"/>
      </w:pPr>
      <w:r>
        <w:rPr>
          <w:rFonts w:ascii="SimSun" w:hAnsi="SimSun" w:eastAsia="宋体"/>
          <w:sz w:val="22"/>
        </w:rPr>
        <w:t>四、主数据与组织基线</w:t>
      </w:r>
    </w:p>
    <w:p>
      <w:pPr>
        <w:pStyle w:val="FirstParagraph"/>
        <w:spacing w:before="0" w:after="0"/>
        <w:ind w:firstLine="0"/>
      </w:pPr>
      <w:r>
        <w:rPr>
          <w:rFonts w:ascii="SimSun" w:hAnsi="SimSun" w:eastAsia="宋体"/>
          <w:sz w:val="22"/>
        </w:rPr>
        <w:t>主数据页面是平台所有业务单据的基础。页面上方的统计卡片显示客户、供应商、物料、项目和仓库的数量，帮助管理员快速判断基础资料是否完整。中部提供“快速创建客户”表单，支持录入客户编码、客户名称和所属行业，下方则使用表格分区域展示客户、供应商、物料以及项目与仓库信息。</w:t>
      </w:r>
    </w:p>
    <w:p>
      <w:pPr>
        <w:pStyle w:val="a8"/>
        <w:spacing w:before="0" w:after="0"/>
        <w:ind w:firstLine="0"/>
      </w:pPr>
      <w:r>
        <w:rPr>
          <w:rFonts w:ascii="SimSun" w:hAnsi="SimSun" w:eastAsia="宋体"/>
          <w:sz w:val="22"/>
        </w:rPr>
        <w:t>主数据的意义不仅在于维护台账，更在于为采购、销售、财务和流程模块提供统一引用。比如销售订单必须选择客户，采购订单必须选择供应商，入库要关联仓库，预算和项目需要依赖成本中心与组织体系。如果主数据不完整，后续单据无法顺利发起；因此企业在正式上线前，应优先由管理员完成主数据清理和编码规则确认。</w:t>
      </w:r>
    </w:p>
    <w:p>
      <w:pPr>
        <w:pStyle w:val="a8"/>
        <w:spacing w:before="0" w:after="0"/>
        <w:ind w:firstLine="0"/>
      </w:pPr>
      <w:r>
        <w:drawing>
          <wp:inline>
            <wp:extent cx="5486400" cy="5184648"/>
            <wp:effectExtent b="0" l="0" r="0" t="0"/>
            <wp:docPr descr="图3-1 主数据页面" title="" id="33" name="Picture"/>
            <a:graphic>
              <a:graphicData uri="http://schemas.openxmlformats.org/drawingml/2006/picture">
                <pic:pic>
                  <pic:nvPicPr>
                    <pic:cNvPr descr="images/fig-3-1-masterdata-list.png" id="34" name="Picture"/>
                    <pic:cNvPicPr>
                      <a:picLocks noChangeArrowheads="1" noChangeAspect="1"/>
                    </pic:cNvPicPr>
                  </pic:nvPicPr>
                  <pic:blipFill>
                    <a:blip r:embed="rId32"/>
                    <a:stretch>
                      <a:fillRect/>
                    </a:stretch>
                  </pic:blipFill>
                  <pic:spPr bwMode="auto">
                    <a:xfrm>
                      <a:off x="0" y="0"/>
                      <a:ext cx="5486400" cy="5184648"/>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图3-1 展示了主数据页面。页面上部的统计卡片用于掌握总体规模，中部表单用于快速创建客户，表格则让管理者可以直接浏览样例数据。新增客户时，只需填写编码、名称和行业，提交成功后页面会自动刷新，新的客户记录会出现在客户表格中。</w:t>
      </w:r>
    </w:p>
    <w:bookmarkStart w:id="35" w:name="Xb6e0bcc4dd647deed42a6c9d148be7fcb3543d2"/>
    <w:p>
      <w:pPr>
        <w:pStyle w:val="31"/>
        <w:spacing w:before="0" w:after="0"/>
        <w:ind w:firstLine="0"/>
      </w:pPr>
      <w:r>
        <w:rPr>
          <w:rFonts w:ascii="SimSun" w:hAnsi="SimSun" w:eastAsia="宋体"/>
          <w:sz w:val="22"/>
        </w:rPr>
        <w:t>4.1 新增客户操作步骤</w:t>
      </w:r>
    </w:p>
    <w:p>
      <w:pPr>
        <w:pStyle w:val="Compact"/>
        <w:numPr>
          <w:ilvl w:val="0"/>
          <w:numId w:val="1003"/>
        </w:numPr>
        <w:spacing w:before="0" w:after="0"/>
        <w:ind w:firstLine="0"/>
      </w:pPr>
      <w:r>
        <w:rPr>
          <w:rFonts w:ascii="SimSun" w:hAnsi="SimSun" w:eastAsia="宋体"/>
          <w:sz w:val="22"/>
        </w:rPr>
        <w:t>进入“主数据”页面。</w:t>
      </w:r>
    </w:p>
    <w:p>
      <w:pPr>
        <w:pStyle w:val="Compact"/>
        <w:numPr>
          <w:ilvl w:val="0"/>
          <w:numId w:val="1003"/>
        </w:numPr>
        <w:spacing w:before="0" w:after="0"/>
        <w:ind w:firstLine="0"/>
      </w:pPr>
      <w:r>
        <w:rPr>
          <w:rFonts w:ascii="SimSun" w:hAnsi="SimSun" w:eastAsia="宋体"/>
          <w:sz w:val="22"/>
        </w:rPr>
        <w:t>在“快速创建客户”表单中填写客户编码，例如 CUST900。</w:t>
      </w:r>
    </w:p>
    <w:p>
      <w:pPr>
        <w:pStyle w:val="Compact"/>
        <w:numPr>
          <w:ilvl w:val="0"/>
          <w:numId w:val="1003"/>
        </w:numPr>
        <w:spacing w:before="0" w:after="0"/>
        <w:ind w:firstLine="0"/>
      </w:pPr>
      <w:r>
        <w:rPr>
          <w:rFonts w:ascii="SimSun" w:hAnsi="SimSun" w:eastAsia="宋体"/>
          <w:sz w:val="22"/>
        </w:rPr>
        <w:t>输入客户名称，例如“华东联营门店”。</w:t>
      </w:r>
    </w:p>
    <w:p>
      <w:pPr>
        <w:pStyle w:val="Compact"/>
        <w:numPr>
          <w:ilvl w:val="0"/>
          <w:numId w:val="1003"/>
        </w:numPr>
        <w:spacing w:before="0" w:after="0"/>
        <w:ind w:firstLine="0"/>
      </w:pPr>
      <w:r>
        <w:rPr>
          <w:rFonts w:ascii="SimSun" w:hAnsi="SimSun" w:eastAsia="宋体"/>
          <w:sz w:val="22"/>
        </w:rPr>
        <w:t>输入行业，例如“零售”或“制造”。</w:t>
      </w:r>
    </w:p>
    <w:p>
      <w:pPr>
        <w:pStyle w:val="Compact"/>
        <w:numPr>
          <w:ilvl w:val="0"/>
          <w:numId w:val="1003"/>
        </w:numPr>
        <w:spacing w:before="0" w:after="0"/>
        <w:ind w:firstLine="0"/>
      </w:pPr>
      <w:r>
        <w:rPr>
          <w:rFonts w:ascii="SimSun" w:hAnsi="SimSun" w:eastAsia="宋体"/>
          <w:sz w:val="22"/>
        </w:rPr>
        <w:t>点击“新增客户”按钮。</w:t>
      </w:r>
    </w:p>
    <w:p>
      <w:pPr>
        <w:pStyle w:val="Compact"/>
        <w:numPr>
          <w:ilvl w:val="0"/>
          <w:numId w:val="1003"/>
        </w:numPr>
        <w:spacing w:before="0" w:after="0"/>
        <w:ind w:firstLine="0"/>
      </w:pPr>
      <w:r>
        <w:rPr>
          <w:rFonts w:ascii="SimSun" w:hAnsi="SimSun" w:eastAsia="宋体"/>
          <w:sz w:val="22"/>
        </w:rPr>
        <w:t>页面提示“客户创建成功”后，系统会刷新列表，并在客户表格中展示新增结果。</w:t>
      </w:r>
    </w:p>
    <w:bookmarkEnd w:id="35"/>
    <w:bookmarkStart w:id="36" w:name="X29249c58316072c6662aa05bbe33363552c2480"/>
    <w:p>
      <w:pPr>
        <w:pStyle w:val="31"/>
        <w:spacing w:before="0" w:after="0"/>
        <w:ind w:firstLine="0"/>
      </w:pPr>
      <w:r>
        <w:rPr>
          <w:rFonts w:ascii="SimSun" w:hAnsi="SimSun" w:eastAsia="宋体"/>
          <w:sz w:val="22"/>
        </w:rPr>
        <w:t>4.2 主数据维护建议</w:t>
      </w:r>
    </w:p>
    <w:p>
      <w:pPr>
        <w:pStyle w:val="FirstParagraph"/>
        <w:spacing w:before="0" w:after="0"/>
        <w:ind w:firstLine="0"/>
      </w:pPr>
      <w:r>
        <w:rPr>
          <w:rFonts w:ascii="SimSun" w:hAnsi="SimSun" w:eastAsia="宋体"/>
          <w:sz w:val="22"/>
        </w:rPr>
        <w:t>企业在使用主数据模块时，建议先由总部统一确定编码规范，例如客户以 CUST 开头、供应商以 SUP 开头、物料以 ITEM 开头，再按组织职责逐步维护。项目与仓库建议同步录入所属组织和状态，以便采购与库存模块直接复用。对于高频变更的供应商评级、物料安全库存和仓库位置，也建议建立周期性巡检机制，避免后续业务使用过期资料。</w:t>
      </w:r>
    </w:p>
    <w:bookmarkEnd w:id="36"/>
    <w:bookmarkEnd w:id="37"/>
    <w:bookmarkStart w:id="45" w:name="五采购与库存模块"/>
    <w:p>
      <w:pPr>
        <w:pStyle w:val="21"/>
        <w:spacing w:before="0" w:after="0"/>
        <w:ind w:firstLine="0"/>
      </w:pPr>
      <w:r>
        <w:rPr>
          <w:rFonts w:ascii="SimSun" w:hAnsi="SimSun" w:eastAsia="宋体"/>
          <w:sz w:val="22"/>
        </w:rPr>
        <w:t>五、采购与库存模块</w:t>
      </w:r>
    </w:p>
    <w:p>
      <w:pPr>
        <w:pStyle w:val="FirstParagraph"/>
        <w:spacing w:before="0" w:after="0"/>
        <w:ind w:firstLine="0"/>
      </w:pPr>
      <w:r>
        <w:rPr>
          <w:rFonts w:ascii="SimSun" w:hAnsi="SimSun" w:eastAsia="宋体"/>
          <w:sz w:val="22"/>
        </w:rPr>
        <w:t>采购与库存页面围绕“申请、审批、下单、收货、入库、库存回显”这一链路设计。页面顶部提供“发起采购申请”表单，录入申请组织、成本中心、预算键与需求日期后，系统会自动使用样例物料生成申请明细。中部左右两块表格分别展示采购申请列表和采购订单列表，下方则提供“生成采购订单”和“收货入库”两个表单，最底部展示库存余额。</w:t>
      </w:r>
    </w:p>
    <w:p>
      <w:pPr>
        <w:pStyle w:val="a8"/>
        <w:spacing w:before="0" w:after="0"/>
        <w:ind w:firstLine="0"/>
      </w:pPr>
      <w:r>
        <w:rPr>
          <w:rFonts w:ascii="SimSun" w:hAnsi="SimSun" w:eastAsia="宋体"/>
          <w:sz w:val="22"/>
        </w:rPr>
        <w:t>该模块的关键价值在于预算前控与执行闭环。采购申请提交时会校验预算键和申请金额，避免超预算单据进入审批；采购订单必须来源于已审批通过的申请，避免线下绕过；收货入库后库存余额会立即更新，使仓储数据与采购数据保持一致。对于需要追踪交付执行率的企业，采购订单表中的执行率字段可快速展示订单是否已经完成、部分完成或尚未执行。</w:t>
      </w:r>
    </w:p>
    <w:p>
      <w:pPr>
        <w:pStyle w:val="a8"/>
        <w:spacing w:before="0" w:after="0"/>
        <w:ind w:firstLine="0"/>
      </w:pPr>
      <w:r>
        <w:drawing>
          <wp:inline>
            <wp:extent cx="5486400" cy="5308092"/>
            <wp:effectExtent b="0" l="0" r="0" t="0"/>
            <wp:docPr descr="图3-2 采购与库存页面" title="" id="39" name="Picture"/>
            <a:graphic>
              <a:graphicData uri="http://schemas.openxmlformats.org/drawingml/2006/picture">
                <pic:pic>
                  <pic:nvPicPr>
                    <pic:cNvPr descr="images/fig-3-2-procurement-create.png" id="40" name="Picture"/>
                    <pic:cNvPicPr>
                      <a:picLocks noChangeArrowheads="1" noChangeAspect="1"/>
                    </pic:cNvPicPr>
                  </pic:nvPicPr>
                  <pic:blipFill>
                    <a:blip r:embed="rId38"/>
                    <a:stretch>
                      <a:fillRect/>
                    </a:stretch>
                  </pic:blipFill>
                  <pic:spPr bwMode="auto">
                    <a:xfrm>
                      <a:off x="0" y="0"/>
                      <a:ext cx="5486400" cy="5308092"/>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图3-2 展示了采购与库存页面。可以看到页面把发起申请、生成订单、入库和库存余额放在同一视图中，这样业务人员无需频繁跳转页面即可完成主要操作，特别适合内部协同演示和培训。</w:t>
      </w:r>
    </w:p>
    <w:bookmarkStart w:id="41" w:name="Xe54af4efd314f73a2936f6ffcb8586051db6b0e"/>
    <w:p>
      <w:pPr>
        <w:pStyle w:val="31"/>
        <w:spacing w:before="0" w:after="0"/>
        <w:ind w:firstLine="0"/>
      </w:pPr>
      <w:r>
        <w:rPr>
          <w:rFonts w:ascii="SimSun" w:hAnsi="SimSun" w:eastAsia="宋体"/>
          <w:sz w:val="22"/>
        </w:rPr>
        <w:t>5.1 发起采购申请</w:t>
      </w:r>
    </w:p>
    <w:p>
      <w:pPr>
        <w:pStyle w:val="Compact"/>
        <w:numPr>
          <w:ilvl w:val="0"/>
          <w:numId w:val="1004"/>
        </w:numPr>
        <w:spacing w:before="0" w:after="0"/>
        <w:ind w:firstLine="0"/>
      </w:pPr>
      <w:r>
        <w:rPr>
          <w:rFonts w:ascii="SimSun" w:hAnsi="SimSun" w:eastAsia="宋体"/>
          <w:sz w:val="22"/>
        </w:rPr>
        <w:t>进入“采购与库存”页面。</w:t>
      </w:r>
    </w:p>
    <w:p>
      <w:pPr>
        <w:pStyle w:val="Compact"/>
        <w:numPr>
          <w:ilvl w:val="0"/>
          <w:numId w:val="1004"/>
        </w:numPr>
        <w:spacing w:before="0" w:after="0"/>
        <w:ind w:firstLine="0"/>
      </w:pPr>
      <w:r>
        <w:rPr>
          <w:rFonts w:ascii="SimSun" w:hAnsi="SimSun" w:eastAsia="宋体"/>
          <w:sz w:val="22"/>
        </w:rPr>
        <w:t>确认页面自动填充的申请组织、成本中心和预算键是否正确。</w:t>
      </w:r>
    </w:p>
    <w:p>
      <w:pPr>
        <w:pStyle w:val="Compact"/>
        <w:numPr>
          <w:ilvl w:val="0"/>
          <w:numId w:val="1004"/>
        </w:numPr>
        <w:spacing w:before="0" w:after="0"/>
        <w:ind w:firstLine="0"/>
      </w:pPr>
      <w:r>
        <w:rPr>
          <w:rFonts w:ascii="SimSun" w:hAnsi="SimSun" w:eastAsia="宋体"/>
          <w:sz w:val="22"/>
        </w:rPr>
        <w:t>选择需求日期。</w:t>
      </w:r>
    </w:p>
    <w:p>
      <w:pPr>
        <w:pStyle w:val="Compact"/>
        <w:numPr>
          <w:ilvl w:val="0"/>
          <w:numId w:val="1004"/>
        </w:numPr>
        <w:spacing w:before="0" w:after="0"/>
        <w:ind w:firstLine="0"/>
      </w:pPr>
      <w:r>
        <w:rPr>
          <w:rFonts w:ascii="SimSun" w:hAnsi="SimSun" w:eastAsia="宋体"/>
          <w:sz w:val="22"/>
        </w:rPr>
        <w:t>点击“提交申请”，系统会生成采购申请并进入审批。</w:t>
      </w:r>
    </w:p>
    <w:p>
      <w:pPr>
        <w:pStyle w:val="Compact"/>
        <w:numPr>
          <w:ilvl w:val="0"/>
          <w:numId w:val="1004"/>
        </w:numPr>
        <w:spacing w:before="0" w:after="0"/>
        <w:ind w:firstLine="0"/>
      </w:pPr>
      <w:r>
        <w:rPr>
          <w:rFonts w:ascii="SimSun" w:hAnsi="SimSun" w:eastAsia="宋体"/>
          <w:sz w:val="22"/>
        </w:rPr>
        <w:t>提交成功后，在“采购申请”表格中确认新增申请单号与状态。</w:t>
      </w:r>
    </w:p>
    <w:bookmarkEnd w:id="41"/>
    <w:bookmarkStart w:id="42" w:name="Xe02a6a4f174c7ad2ef9bfeab87ab5b2c824ada0"/>
    <w:p>
      <w:pPr>
        <w:pStyle w:val="31"/>
        <w:spacing w:before="0" w:after="0"/>
        <w:ind w:firstLine="0"/>
      </w:pPr>
      <w:r>
        <w:rPr>
          <w:rFonts w:ascii="SimSun" w:hAnsi="SimSun" w:eastAsia="宋体"/>
          <w:sz w:val="22"/>
        </w:rPr>
        <w:t>5.2 生成采购订单</w:t>
      </w:r>
    </w:p>
    <w:p>
      <w:pPr>
        <w:pStyle w:val="Compact"/>
        <w:numPr>
          <w:ilvl w:val="0"/>
          <w:numId w:val="1005"/>
        </w:numPr>
        <w:spacing w:before="0" w:after="0"/>
        <w:ind w:firstLine="0"/>
      </w:pPr>
      <w:r>
        <w:rPr>
          <w:rFonts w:ascii="SimSun" w:hAnsi="SimSun" w:eastAsia="宋体"/>
          <w:sz w:val="22"/>
        </w:rPr>
        <w:t>待审批流程通过后，复制采购申请 ID。</w:t>
      </w:r>
    </w:p>
    <w:p>
      <w:pPr>
        <w:pStyle w:val="Compact"/>
        <w:numPr>
          <w:ilvl w:val="0"/>
          <w:numId w:val="1005"/>
        </w:numPr>
        <w:spacing w:before="0" w:after="0"/>
        <w:ind w:firstLine="0"/>
      </w:pPr>
      <w:r>
        <w:rPr>
          <w:rFonts w:ascii="SimSun" w:hAnsi="SimSun" w:eastAsia="宋体"/>
          <w:sz w:val="22"/>
        </w:rPr>
        <w:t>在“生成采购订单”区域粘贴申请 ID，并确认供应商与预计到货日期。</w:t>
      </w:r>
    </w:p>
    <w:p>
      <w:pPr>
        <w:pStyle w:val="Compact"/>
        <w:numPr>
          <w:ilvl w:val="0"/>
          <w:numId w:val="1005"/>
        </w:numPr>
        <w:spacing w:before="0" w:after="0"/>
        <w:ind w:firstLine="0"/>
      </w:pPr>
      <w:r>
        <w:rPr>
          <w:rFonts w:ascii="SimSun" w:hAnsi="SimSun" w:eastAsia="宋体"/>
          <w:sz w:val="22"/>
        </w:rPr>
        <w:t>点击“创建采购订单”。</w:t>
      </w:r>
    </w:p>
    <w:p>
      <w:pPr>
        <w:pStyle w:val="Compact"/>
        <w:numPr>
          <w:ilvl w:val="0"/>
          <w:numId w:val="1005"/>
        </w:numPr>
        <w:spacing w:before="0" w:after="0"/>
        <w:ind w:firstLine="0"/>
      </w:pPr>
      <w:r>
        <w:rPr>
          <w:rFonts w:ascii="SimSun" w:hAnsi="SimSun" w:eastAsia="宋体"/>
          <w:sz w:val="22"/>
        </w:rPr>
        <w:t>页面提示成功后，在采购订单列表中确认新订单的金额、状态与执行率。</w:t>
      </w:r>
    </w:p>
    <w:bookmarkEnd w:id="42"/>
    <w:bookmarkStart w:id="43" w:name="X70bb3b696ec5fbc285aedbdaba59fe45b59071e"/>
    <w:p>
      <w:pPr>
        <w:pStyle w:val="31"/>
        <w:spacing w:before="0" w:after="0"/>
        <w:ind w:firstLine="0"/>
      </w:pPr>
      <w:r>
        <w:rPr>
          <w:rFonts w:ascii="SimSun" w:hAnsi="SimSun" w:eastAsia="宋体"/>
          <w:sz w:val="22"/>
        </w:rPr>
        <w:t>5.3 收货入库与库存回显</w:t>
      </w:r>
    </w:p>
    <w:p>
      <w:pPr>
        <w:pStyle w:val="Compact"/>
        <w:numPr>
          <w:ilvl w:val="0"/>
          <w:numId w:val="1006"/>
        </w:numPr>
        <w:spacing w:before="0" w:after="0"/>
        <w:ind w:firstLine="0"/>
      </w:pPr>
      <w:r>
        <w:rPr>
          <w:rFonts w:ascii="SimSun" w:hAnsi="SimSun" w:eastAsia="宋体"/>
          <w:sz w:val="22"/>
        </w:rPr>
        <w:t>在“收货入库”区域填写采购订单 ID。</w:t>
      </w:r>
    </w:p>
    <w:p>
      <w:pPr>
        <w:pStyle w:val="Compact"/>
        <w:numPr>
          <w:ilvl w:val="0"/>
          <w:numId w:val="1006"/>
        </w:numPr>
        <w:spacing w:before="0" w:after="0"/>
        <w:ind w:firstLine="0"/>
      </w:pPr>
      <w:r>
        <w:rPr>
          <w:rFonts w:ascii="SimSun" w:hAnsi="SimSun" w:eastAsia="宋体"/>
          <w:sz w:val="22"/>
        </w:rPr>
        <w:t>确认仓库 ID 与入库数量。</w:t>
      </w:r>
    </w:p>
    <w:p>
      <w:pPr>
        <w:pStyle w:val="Compact"/>
        <w:numPr>
          <w:ilvl w:val="0"/>
          <w:numId w:val="1006"/>
        </w:numPr>
        <w:spacing w:before="0" w:after="0"/>
        <w:ind w:firstLine="0"/>
      </w:pPr>
      <w:r>
        <w:rPr>
          <w:rFonts w:ascii="SimSun" w:hAnsi="SimSun" w:eastAsia="宋体"/>
          <w:sz w:val="22"/>
        </w:rPr>
        <w:t>点击“执行入库”。</w:t>
      </w:r>
    </w:p>
    <w:p>
      <w:pPr>
        <w:pStyle w:val="Compact"/>
        <w:numPr>
          <w:ilvl w:val="0"/>
          <w:numId w:val="1006"/>
        </w:numPr>
        <w:spacing w:before="0" w:after="0"/>
        <w:ind w:firstLine="0"/>
      </w:pPr>
      <w:r>
        <w:rPr>
          <w:rFonts w:ascii="SimSun" w:hAnsi="SimSun" w:eastAsia="宋体"/>
          <w:sz w:val="22"/>
        </w:rPr>
        <w:t>系统根据采购订单和物料生成库存流水，并更新库存余额表。</w:t>
      </w:r>
    </w:p>
    <w:p>
      <w:pPr>
        <w:pStyle w:val="Compact"/>
        <w:numPr>
          <w:ilvl w:val="0"/>
          <w:numId w:val="1006"/>
        </w:numPr>
        <w:spacing w:before="0" w:after="0"/>
        <w:ind w:firstLine="0"/>
      </w:pPr>
      <w:r>
        <w:rPr>
          <w:rFonts w:ascii="SimSun" w:hAnsi="SimSun" w:eastAsia="宋体"/>
          <w:sz w:val="22"/>
        </w:rPr>
        <w:t>下拉到库存余额区域，确认相应物料在指定仓库的现存量已增加。</w:t>
      </w:r>
    </w:p>
    <w:bookmarkEnd w:id="43"/>
    <w:bookmarkStart w:id="44" w:name="X24a90866d5b237d3a2565215e90475eac2e2a9c"/>
    <w:p>
      <w:pPr>
        <w:pStyle w:val="31"/>
        <w:spacing w:before="0" w:after="0"/>
        <w:ind w:firstLine="0"/>
      </w:pPr>
      <w:r>
        <w:rPr>
          <w:rFonts w:ascii="SimSun" w:hAnsi="SimSun" w:eastAsia="宋体"/>
          <w:sz w:val="22"/>
        </w:rPr>
        <w:t>5.4 采购场景使用注意事项</w:t>
      </w:r>
    </w:p>
    <w:p>
      <w:pPr>
        <w:pStyle w:val="FirstParagraph"/>
        <w:spacing w:before="0" w:after="0"/>
        <w:ind w:firstLine="0"/>
      </w:pPr>
      <w:r>
        <w:rPr>
          <w:rFonts w:ascii="SimSun" w:hAnsi="SimSun" w:eastAsia="宋体"/>
          <w:sz w:val="22"/>
        </w:rPr>
        <w:t>若采购申请提交后提示预算不足，应返回预算模块检查预算键、成本中心和金额是否匹配；若采购订单创建失败，应先确认申请是否完成审批；若入库失败，则要检查采购订单编号、仓库编号以及数量是否超出可入库范围。建议企业上线后将采购编号、预算键和仓库编号纳入培训重点，减少因录入错误造成的流程阻塞。</w:t>
      </w:r>
    </w:p>
    <w:bookmarkEnd w:id="44"/>
    <w:bookmarkEnd w:id="45"/>
    <w:bookmarkStart w:id="52" w:name="六销售与合同模块"/>
    <w:p>
      <w:pPr>
        <w:pStyle w:val="21"/>
        <w:spacing w:before="0" w:after="0"/>
        <w:ind w:firstLine="0"/>
      </w:pPr>
      <w:r>
        <w:rPr>
          <w:rFonts w:ascii="SimSun" w:hAnsi="SimSun" w:eastAsia="宋体"/>
          <w:sz w:val="22"/>
        </w:rPr>
        <w:t>六、销售与合同模块</w:t>
      </w:r>
    </w:p>
    <w:p>
      <w:pPr>
        <w:pStyle w:val="FirstParagraph"/>
        <w:spacing w:before="0" w:after="0"/>
        <w:ind w:firstLine="0"/>
      </w:pPr>
      <w:r>
        <w:rPr>
          <w:rFonts w:ascii="SimSun" w:hAnsi="SimSun" w:eastAsia="宋体"/>
          <w:sz w:val="22"/>
        </w:rPr>
        <w:t>销售与合同页面用于支撑从商机确认到合同生效再到回款追踪的业务链路。页面左侧表单用于创建销售订单，右侧表单用于基于销售订单发起合同审批。下方左右两张表格分别展示销售订单和合同清单，其中合同表格提供金额、回款进度和状态，方便业务负责人掌握哪些合同已生效、哪些仍在审批中、哪些已完成回款。</w:t>
      </w:r>
    </w:p>
    <w:p>
      <w:pPr>
        <w:pStyle w:val="a8"/>
        <w:spacing w:before="0" w:after="0"/>
        <w:ind w:firstLine="0"/>
      </w:pPr>
      <w:r>
        <w:rPr>
          <w:rFonts w:ascii="SimSun" w:hAnsi="SimSun" w:eastAsia="宋体"/>
          <w:sz w:val="22"/>
        </w:rPr>
        <w:t>销售与合同模块强调“订单先行、合同跟进、回款闭环”的管理逻辑。订单记录业务需求，合同体现管理审批和法律文本流程，回款登记则用于跟踪资金回笼进度。通过将订单、合同和回款进度连接在同一模块中，企业能够快速发现“订单已下但合同未批”“合同已生效但回款滞后”等经营风险。</w:t>
      </w:r>
    </w:p>
    <w:p>
      <w:pPr>
        <w:pStyle w:val="a8"/>
        <w:spacing w:before="0" w:after="0"/>
        <w:ind w:firstLine="0"/>
      </w:pPr>
      <w:r>
        <w:drawing>
          <wp:inline>
            <wp:extent cx="5486400" cy="3429000"/>
            <wp:effectExtent b="0" l="0" r="0" t="0"/>
            <wp:docPr descr="图3-4 销售与合同页面" title="" id="47" name="Picture"/>
            <a:graphic>
              <a:graphicData uri="http://schemas.openxmlformats.org/drawingml/2006/picture">
                <pic:pic>
                  <pic:nvPicPr>
                    <pic:cNvPr descr="images/fig-3-4-sales-contract.png" id="48" name="Picture"/>
                    <pic:cNvPicPr>
                      <a:picLocks noChangeArrowheads="1" noChangeAspect="1"/>
                    </pic:cNvPicPr>
                  </pic:nvPicPr>
                  <pic:blipFill>
                    <a:blip r:embed="rId46"/>
                    <a:stretch>
                      <a:fillRect/>
                    </a:stretch>
                  </pic:blipFill>
                  <pic:spPr bwMode="auto">
                    <a:xfrm>
                      <a:off x="0" y="0"/>
                      <a:ext cx="5486400" cy="3429000"/>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图3-4 展示了销售与合同页面。创建销售订单后，用户可以直接在页面下方表格中获取订单 ID，再回填到合同创建表单中发起审批。这样既减少了跨页面查找，也让培训过程更清晰直观。</w:t>
      </w:r>
    </w:p>
    <w:bookmarkStart w:id="49" w:name="X3348cd78181968ca2c619b351e73226830c1523"/>
    <w:p>
      <w:pPr>
        <w:pStyle w:val="31"/>
        <w:spacing w:before="0" w:after="0"/>
        <w:ind w:firstLine="0"/>
      </w:pPr>
      <w:r>
        <w:rPr>
          <w:rFonts w:ascii="SimSun" w:hAnsi="SimSun" w:eastAsia="宋体"/>
          <w:sz w:val="22"/>
        </w:rPr>
        <w:t>6.1 创建销售订单</w:t>
      </w:r>
    </w:p>
    <w:p>
      <w:pPr>
        <w:pStyle w:val="Compact"/>
        <w:numPr>
          <w:ilvl w:val="0"/>
          <w:numId w:val="1007"/>
        </w:numPr>
        <w:spacing w:before="0" w:after="0"/>
        <w:ind w:firstLine="0"/>
      </w:pPr>
      <w:r>
        <w:rPr>
          <w:rFonts w:ascii="SimSun" w:hAnsi="SimSun" w:eastAsia="宋体"/>
          <w:sz w:val="22"/>
        </w:rPr>
        <w:t>进入“销售与合同”页面。</w:t>
      </w:r>
    </w:p>
    <w:p>
      <w:pPr>
        <w:pStyle w:val="Compact"/>
        <w:numPr>
          <w:ilvl w:val="0"/>
          <w:numId w:val="1007"/>
        </w:numPr>
        <w:spacing w:before="0" w:after="0"/>
        <w:ind w:firstLine="0"/>
      </w:pPr>
      <w:r>
        <w:rPr>
          <w:rFonts w:ascii="SimSun" w:hAnsi="SimSun" w:eastAsia="宋体"/>
          <w:sz w:val="22"/>
        </w:rPr>
        <w:t>在“创建销售订单”表单中确认客户 ID、交付日期和订单金额。</w:t>
      </w:r>
    </w:p>
    <w:p>
      <w:pPr>
        <w:pStyle w:val="Compact"/>
        <w:numPr>
          <w:ilvl w:val="0"/>
          <w:numId w:val="1007"/>
        </w:numPr>
        <w:spacing w:before="0" w:after="0"/>
        <w:ind w:firstLine="0"/>
      </w:pPr>
      <w:r>
        <w:rPr>
          <w:rFonts w:ascii="SimSun" w:hAnsi="SimSun" w:eastAsia="宋体"/>
          <w:sz w:val="22"/>
        </w:rPr>
        <w:t>点击“新建销售订单”。</w:t>
      </w:r>
    </w:p>
    <w:p>
      <w:pPr>
        <w:pStyle w:val="Compact"/>
        <w:numPr>
          <w:ilvl w:val="0"/>
          <w:numId w:val="1007"/>
        </w:numPr>
        <w:spacing w:before="0" w:after="0"/>
        <w:ind w:firstLine="0"/>
      </w:pPr>
      <w:r>
        <w:rPr>
          <w:rFonts w:ascii="SimSun" w:hAnsi="SimSun" w:eastAsia="宋体"/>
          <w:sz w:val="22"/>
        </w:rPr>
        <w:t>系统创建订单后，在销售订单表格中回显订单号、客户、金额和状态。</w:t>
      </w:r>
    </w:p>
    <w:bookmarkEnd w:id="49"/>
    <w:bookmarkStart w:id="50" w:name="X7932e1fcecc30bca3d8a4d61162adfaaa9298ac"/>
    <w:p>
      <w:pPr>
        <w:pStyle w:val="31"/>
        <w:spacing w:before="0" w:after="0"/>
        <w:ind w:firstLine="0"/>
      </w:pPr>
      <w:r>
        <w:rPr>
          <w:rFonts w:ascii="SimSun" w:hAnsi="SimSun" w:eastAsia="宋体"/>
          <w:sz w:val="22"/>
        </w:rPr>
        <w:t>6.2 发起合同审批</w:t>
      </w:r>
    </w:p>
    <w:p>
      <w:pPr>
        <w:pStyle w:val="Compact"/>
        <w:numPr>
          <w:ilvl w:val="0"/>
          <w:numId w:val="1008"/>
        </w:numPr>
        <w:spacing w:before="0" w:after="0"/>
        <w:ind w:firstLine="0"/>
      </w:pPr>
      <w:r>
        <w:rPr>
          <w:rFonts w:ascii="SimSun" w:hAnsi="SimSun" w:eastAsia="宋体"/>
          <w:sz w:val="22"/>
        </w:rPr>
        <w:t>从销售订单表格中复制目标订单 ID。</w:t>
      </w:r>
    </w:p>
    <w:p>
      <w:pPr>
        <w:pStyle w:val="Compact"/>
        <w:numPr>
          <w:ilvl w:val="0"/>
          <w:numId w:val="1008"/>
        </w:numPr>
        <w:spacing w:before="0" w:after="0"/>
        <w:ind w:firstLine="0"/>
      </w:pPr>
      <w:r>
        <w:rPr>
          <w:rFonts w:ascii="SimSun" w:hAnsi="SimSun" w:eastAsia="宋体"/>
          <w:sz w:val="22"/>
        </w:rPr>
        <w:t>在“创建合同”表单中填写销售订单 ID、到期日期和合同金额。</w:t>
      </w:r>
    </w:p>
    <w:p>
      <w:pPr>
        <w:pStyle w:val="Compact"/>
        <w:numPr>
          <w:ilvl w:val="0"/>
          <w:numId w:val="1008"/>
        </w:numPr>
        <w:spacing w:before="0" w:after="0"/>
        <w:ind w:firstLine="0"/>
      </w:pPr>
      <w:r>
        <w:rPr>
          <w:rFonts w:ascii="SimSun" w:hAnsi="SimSun" w:eastAsia="宋体"/>
          <w:sz w:val="22"/>
        </w:rPr>
        <w:t>点击“发起合同审批”。</w:t>
      </w:r>
    </w:p>
    <w:p>
      <w:pPr>
        <w:pStyle w:val="Compact"/>
        <w:numPr>
          <w:ilvl w:val="0"/>
          <w:numId w:val="1008"/>
        </w:numPr>
        <w:spacing w:before="0" w:after="0"/>
        <w:ind w:firstLine="0"/>
      </w:pPr>
      <w:r>
        <w:rPr>
          <w:rFonts w:ascii="SimSun" w:hAnsi="SimSun" w:eastAsia="宋体"/>
          <w:sz w:val="22"/>
        </w:rPr>
        <w:t>提交后合同将进入流程模块，待运营总监和财务专员审批。</w:t>
      </w:r>
    </w:p>
    <w:p>
      <w:pPr>
        <w:pStyle w:val="Compact"/>
        <w:numPr>
          <w:ilvl w:val="0"/>
          <w:numId w:val="1008"/>
        </w:numPr>
        <w:spacing w:before="0" w:after="0"/>
        <w:ind w:firstLine="0"/>
      </w:pPr>
      <w:r>
        <w:rPr>
          <w:rFonts w:ascii="SimSun" w:hAnsi="SimSun" w:eastAsia="宋体"/>
          <w:sz w:val="22"/>
        </w:rPr>
        <w:t>审批完成后，合同状态会从待审转为生效，回款进度初始为 0。</w:t>
      </w:r>
    </w:p>
    <w:bookmarkEnd w:id="50"/>
    <w:bookmarkStart w:id="51" w:name="Xd4b2d085d8de44f18661c39c283ae33ac298a9b"/>
    <w:p>
      <w:pPr>
        <w:pStyle w:val="31"/>
        <w:spacing w:before="0" w:after="0"/>
        <w:ind w:firstLine="0"/>
      </w:pPr>
      <w:r>
        <w:rPr>
          <w:rFonts w:ascii="SimSun" w:hAnsi="SimSun" w:eastAsia="宋体"/>
          <w:sz w:val="22"/>
        </w:rPr>
        <w:t>6.3 销售场景建议</w:t>
      </w:r>
    </w:p>
    <w:p>
      <w:pPr>
        <w:pStyle w:val="FirstParagraph"/>
        <w:spacing w:before="0" w:after="0"/>
        <w:ind w:firstLine="0"/>
      </w:pPr>
      <w:r>
        <w:rPr>
          <w:rFonts w:ascii="SimSun" w:hAnsi="SimSun" w:eastAsia="宋体"/>
          <w:sz w:val="22"/>
        </w:rPr>
        <w:t>销售人员应优先保证客户主数据与订单金额准确，再触发合同审批；若合同金额与订单金额不一致，应在业务规则中明确允许范围并保留附件说明。管理层可定期通过合同表的回款进度判断销售转现金效率，并结合财务模块的回款登记结果进行核对。</w:t>
      </w:r>
    </w:p>
    <w:bookmarkEnd w:id="51"/>
    <w:bookmarkEnd w:id="52"/>
    <w:bookmarkStart w:id="61" w:name="七费用与预算模块"/>
    <w:p>
      <w:pPr>
        <w:pStyle w:val="21"/>
        <w:spacing w:before="0" w:after="0"/>
        <w:ind w:firstLine="0"/>
      </w:pPr>
      <w:r>
        <w:rPr>
          <w:rFonts w:ascii="SimSun" w:hAnsi="SimSun" w:eastAsia="宋体"/>
          <w:sz w:val="22"/>
        </w:rPr>
        <w:t>七、费用与预算模块</w:t>
      </w:r>
    </w:p>
    <w:p>
      <w:pPr>
        <w:pStyle w:val="FirstParagraph"/>
        <w:spacing w:before="0" w:after="0"/>
        <w:ind w:firstLine="0"/>
      </w:pPr>
      <w:r>
        <w:rPr>
          <w:rFonts w:ascii="SimSun" w:hAnsi="SimSun" w:eastAsia="宋体"/>
          <w:sz w:val="22"/>
        </w:rPr>
        <w:t>费用与预算页面是企业内控的重要区域。页面上方左侧可以新增预算，右侧可以发起费用报销；中部左侧可以基于已批准报销创建付款申请，右侧可以登记合同回款；下方表格则分别展示预算清单以及费用与付款摘要。平台通过预算键、成本中心和组织单元把预算、报销、付款和回款串联起来，帮助财务部门在业务发生时而不是月末结算时控制风险。</w:t>
      </w:r>
    </w:p>
    <w:p>
      <w:pPr>
        <w:pStyle w:val="a8"/>
        <w:spacing w:before="0" w:after="0"/>
        <w:ind w:firstLine="0"/>
      </w:pPr>
      <w:r>
        <w:rPr>
          <w:rFonts w:ascii="SimSun" w:hAnsi="SimSun" w:eastAsia="宋体"/>
          <w:sz w:val="22"/>
        </w:rPr>
        <w:t>系统支持“硬预算控制”，即预算不足时直接阻断业务提交，并返回明确的业务冲突提示。这样一来，业务人员在发起报销或采购时就能立刻知道预算是否可用，避免审批人处理一条本就不应进入流程的单据。付款申请接口还引入了幂等头控制，防止重复点击导致重复付款申请，这是企业资金类场景中非常关键的保护机制。</w:t>
      </w:r>
    </w:p>
    <w:p>
      <w:pPr>
        <w:pStyle w:val="a8"/>
        <w:spacing w:before="0" w:after="0"/>
        <w:ind w:firstLine="0"/>
      </w:pPr>
      <w:r>
        <w:drawing>
          <wp:inline>
            <wp:extent cx="5486400" cy="3429000"/>
            <wp:effectExtent b="0" l="0" r="0" t="0"/>
            <wp:docPr descr="图3-5 费用与预算页面" title="" id="54" name="Picture"/>
            <a:graphic>
              <a:graphicData uri="http://schemas.openxmlformats.org/drawingml/2006/picture">
                <pic:pic>
                  <pic:nvPicPr>
                    <pic:cNvPr descr="images/fig-3-5-finance-budget.png" id="55" name="Picture"/>
                    <pic:cNvPicPr>
                      <a:picLocks noChangeArrowheads="1" noChangeAspect="1"/>
                    </pic:cNvPicPr>
                  </pic:nvPicPr>
                  <pic:blipFill>
                    <a:blip r:embed="rId53"/>
                    <a:stretch>
                      <a:fillRect/>
                    </a:stretch>
                  </pic:blipFill>
                  <pic:spPr bwMode="auto">
                    <a:xfrm>
                      <a:off x="0" y="0"/>
                      <a:ext cx="5486400" cy="3429000"/>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图3-5 展示了费用与预算页面。预算、报销、付款和回款被集中在同一页面，便于财务人员按顺序处理，也便于管理层在一个视图内观察“预算额度、费用消耗、付款安排、合同回款”的整体关系。</w:t>
      </w:r>
    </w:p>
    <w:bookmarkStart w:id="56" w:name="Xca216f2217b7d1cee9800166a730c58d2cef64a"/>
    <w:p>
      <w:pPr>
        <w:pStyle w:val="31"/>
        <w:spacing w:before="0" w:after="0"/>
        <w:ind w:firstLine="0"/>
      </w:pPr>
      <w:r>
        <w:rPr>
          <w:rFonts w:ascii="SimSun" w:hAnsi="SimSun" w:eastAsia="宋体"/>
          <w:sz w:val="22"/>
        </w:rPr>
        <w:t>7.1 新增预算</w:t>
      </w:r>
    </w:p>
    <w:p>
      <w:pPr>
        <w:pStyle w:val="Compact"/>
        <w:numPr>
          <w:ilvl w:val="0"/>
          <w:numId w:val="1009"/>
        </w:numPr>
        <w:spacing w:before="0" w:after="0"/>
        <w:ind w:firstLine="0"/>
      </w:pPr>
      <w:r>
        <w:rPr>
          <w:rFonts w:ascii="SimSun" w:hAnsi="SimSun" w:eastAsia="宋体"/>
          <w:sz w:val="22"/>
        </w:rPr>
        <w:t>进入“费用与预算”页面。</w:t>
      </w:r>
    </w:p>
    <w:p>
      <w:pPr>
        <w:pStyle w:val="Compact"/>
        <w:numPr>
          <w:ilvl w:val="0"/>
          <w:numId w:val="1009"/>
        </w:numPr>
        <w:spacing w:before="0" w:after="0"/>
        <w:ind w:firstLine="0"/>
      </w:pPr>
      <w:r>
        <w:rPr>
          <w:rFonts w:ascii="SimSun" w:hAnsi="SimSun" w:eastAsia="宋体"/>
          <w:sz w:val="22"/>
        </w:rPr>
        <w:t>在“新增预算”表单中填写预算年度、月份、金额和预算键。</w:t>
      </w:r>
    </w:p>
    <w:p>
      <w:pPr>
        <w:pStyle w:val="Compact"/>
        <w:numPr>
          <w:ilvl w:val="0"/>
          <w:numId w:val="1009"/>
        </w:numPr>
        <w:spacing w:before="0" w:after="0"/>
        <w:ind w:firstLine="0"/>
      </w:pPr>
      <w:r>
        <w:rPr>
          <w:rFonts w:ascii="SimSun" w:hAnsi="SimSun" w:eastAsia="宋体"/>
          <w:sz w:val="22"/>
        </w:rPr>
        <w:t>系统会自动复用当前样例预算的组织和成本中心。</w:t>
      </w:r>
    </w:p>
    <w:p>
      <w:pPr>
        <w:pStyle w:val="Compact"/>
        <w:numPr>
          <w:ilvl w:val="0"/>
          <w:numId w:val="1009"/>
        </w:numPr>
        <w:spacing w:before="0" w:after="0"/>
        <w:ind w:firstLine="0"/>
      </w:pPr>
      <w:r>
        <w:rPr>
          <w:rFonts w:ascii="SimSun" w:hAnsi="SimSun" w:eastAsia="宋体"/>
          <w:sz w:val="22"/>
        </w:rPr>
        <w:t>点击“新增预算”后，在预算表格中确认新预算已生成。</w:t>
      </w:r>
    </w:p>
    <w:bookmarkEnd w:id="56"/>
    <w:bookmarkStart w:id="57" w:name="X5ae171ee38e6ab4ee6b7166f4e68e558eac33ec"/>
    <w:p>
      <w:pPr>
        <w:pStyle w:val="31"/>
        <w:spacing w:before="0" w:after="0"/>
        <w:ind w:firstLine="0"/>
      </w:pPr>
      <w:r>
        <w:rPr>
          <w:rFonts w:ascii="SimSun" w:hAnsi="SimSun" w:eastAsia="宋体"/>
          <w:sz w:val="22"/>
        </w:rPr>
        <w:t>7.2 提交报销</w:t>
      </w:r>
    </w:p>
    <w:p>
      <w:pPr>
        <w:pStyle w:val="Compact"/>
        <w:numPr>
          <w:ilvl w:val="0"/>
          <w:numId w:val="1010"/>
        </w:numPr>
        <w:spacing w:before="0" w:after="0"/>
        <w:ind w:firstLine="0"/>
      </w:pPr>
      <w:r>
        <w:rPr>
          <w:rFonts w:ascii="SimSun" w:hAnsi="SimSun" w:eastAsia="宋体"/>
          <w:sz w:val="22"/>
        </w:rPr>
        <w:t>在“发起费用报销”表单中确认报销人 ID、成本中心、预算键和金额。</w:t>
      </w:r>
    </w:p>
    <w:p>
      <w:pPr>
        <w:pStyle w:val="Compact"/>
        <w:numPr>
          <w:ilvl w:val="0"/>
          <w:numId w:val="1010"/>
        </w:numPr>
        <w:spacing w:before="0" w:after="0"/>
        <w:ind w:firstLine="0"/>
      </w:pPr>
      <w:r>
        <w:rPr>
          <w:rFonts w:ascii="SimSun" w:hAnsi="SimSun" w:eastAsia="宋体"/>
          <w:sz w:val="22"/>
        </w:rPr>
        <w:t>点击“提交报销”。</w:t>
      </w:r>
    </w:p>
    <w:p>
      <w:pPr>
        <w:pStyle w:val="Compact"/>
        <w:numPr>
          <w:ilvl w:val="0"/>
          <w:numId w:val="1010"/>
        </w:numPr>
        <w:spacing w:before="0" w:after="0"/>
        <w:ind w:firstLine="0"/>
      </w:pPr>
      <w:r>
        <w:rPr>
          <w:rFonts w:ascii="SimSun" w:hAnsi="SimSun" w:eastAsia="宋体"/>
          <w:sz w:val="22"/>
        </w:rPr>
        <w:t>若预算充足，系统将生成报销单并提交审批；若预算不足，页面会提示冲突原因。</w:t>
      </w:r>
    </w:p>
    <w:p>
      <w:pPr>
        <w:pStyle w:val="Compact"/>
        <w:numPr>
          <w:ilvl w:val="0"/>
          <w:numId w:val="1010"/>
        </w:numPr>
        <w:spacing w:before="0" w:after="0"/>
        <w:ind w:firstLine="0"/>
      </w:pPr>
      <w:r>
        <w:rPr>
          <w:rFonts w:ascii="SimSun" w:hAnsi="SimSun" w:eastAsia="宋体"/>
          <w:sz w:val="22"/>
        </w:rPr>
        <w:t>提交成功后，可在“费用与付款”表格中查看报销单编号、金额、状态和类型。</w:t>
      </w:r>
    </w:p>
    <w:bookmarkEnd w:id="57"/>
    <w:bookmarkStart w:id="58" w:name="X6f51a89ae94339d52d6b3ebad8a5f0f490d2405"/>
    <w:p>
      <w:pPr>
        <w:pStyle w:val="31"/>
        <w:spacing w:before="0" w:after="0"/>
        <w:ind w:firstLine="0"/>
      </w:pPr>
      <w:r>
        <w:rPr>
          <w:rFonts w:ascii="SimSun" w:hAnsi="SimSun" w:eastAsia="宋体"/>
          <w:sz w:val="22"/>
        </w:rPr>
        <w:t>7.3 创建付款申请</w:t>
      </w:r>
    </w:p>
    <w:p>
      <w:pPr>
        <w:pStyle w:val="Compact"/>
        <w:numPr>
          <w:ilvl w:val="0"/>
          <w:numId w:val="1011"/>
        </w:numPr>
        <w:spacing w:before="0" w:after="0"/>
        <w:ind w:firstLine="0"/>
      </w:pPr>
      <w:r>
        <w:rPr>
          <w:rFonts w:ascii="SimSun" w:hAnsi="SimSun" w:eastAsia="宋体"/>
          <w:sz w:val="22"/>
        </w:rPr>
        <w:t>从已审批报销单中选择一个源单据 ID。</w:t>
      </w:r>
    </w:p>
    <w:p>
      <w:pPr>
        <w:pStyle w:val="Compact"/>
        <w:numPr>
          <w:ilvl w:val="0"/>
          <w:numId w:val="1011"/>
        </w:numPr>
        <w:spacing w:before="0" w:after="0"/>
        <w:ind w:firstLine="0"/>
      </w:pPr>
      <w:r>
        <w:rPr>
          <w:rFonts w:ascii="SimSun" w:hAnsi="SimSun" w:eastAsia="宋体"/>
          <w:sz w:val="22"/>
        </w:rPr>
        <w:t>在“创建付款申请”表单中填写收款方和金额。</w:t>
      </w:r>
    </w:p>
    <w:p>
      <w:pPr>
        <w:pStyle w:val="Compact"/>
        <w:numPr>
          <w:ilvl w:val="0"/>
          <w:numId w:val="1011"/>
        </w:numPr>
        <w:spacing w:before="0" w:after="0"/>
        <w:ind w:firstLine="0"/>
      </w:pPr>
      <w:r>
        <w:rPr>
          <w:rFonts w:ascii="SimSun" w:hAnsi="SimSun" w:eastAsia="宋体"/>
          <w:sz w:val="22"/>
        </w:rPr>
        <w:t>点击“发起付款”，系统生成付款申请编号。</w:t>
      </w:r>
    </w:p>
    <w:p>
      <w:pPr>
        <w:pStyle w:val="Compact"/>
        <w:numPr>
          <w:ilvl w:val="0"/>
          <w:numId w:val="1011"/>
        </w:numPr>
        <w:spacing w:before="0" w:after="0"/>
        <w:ind w:firstLine="0"/>
      </w:pPr>
      <w:r>
        <w:rPr>
          <w:rFonts w:ascii="SimSun" w:hAnsi="SimSun" w:eastAsia="宋体"/>
          <w:sz w:val="22"/>
        </w:rPr>
        <w:t>若用户重复触发相同幂等请求，系统将返回同一付款申请，避免重复创建。</w:t>
      </w:r>
    </w:p>
    <w:bookmarkEnd w:id="58"/>
    <w:bookmarkStart w:id="59" w:name="X504024a288f937c1b2c4b490abd89b63bbdec02"/>
    <w:p>
      <w:pPr>
        <w:pStyle w:val="31"/>
        <w:spacing w:before="0" w:after="0"/>
        <w:ind w:firstLine="0"/>
      </w:pPr>
      <w:r>
        <w:rPr>
          <w:rFonts w:ascii="SimSun" w:hAnsi="SimSun" w:eastAsia="宋体"/>
          <w:sz w:val="22"/>
        </w:rPr>
        <w:t>7.4 登记回款</w:t>
      </w:r>
    </w:p>
    <w:p>
      <w:pPr>
        <w:pStyle w:val="Compact"/>
        <w:numPr>
          <w:ilvl w:val="0"/>
          <w:numId w:val="1012"/>
        </w:numPr>
        <w:spacing w:before="0" w:after="0"/>
        <w:ind w:firstLine="0"/>
      </w:pPr>
      <w:r>
        <w:rPr>
          <w:rFonts w:ascii="SimSun" w:hAnsi="SimSun" w:eastAsia="宋体"/>
          <w:sz w:val="22"/>
        </w:rPr>
        <w:t>在“登记回款”表单中填写合同 ID、回款金额、回款日期和回款方式。</w:t>
      </w:r>
    </w:p>
    <w:p>
      <w:pPr>
        <w:pStyle w:val="Compact"/>
        <w:numPr>
          <w:ilvl w:val="0"/>
          <w:numId w:val="1012"/>
        </w:numPr>
        <w:spacing w:before="0" w:after="0"/>
        <w:ind w:firstLine="0"/>
      </w:pPr>
      <w:r>
        <w:rPr>
          <w:rFonts w:ascii="SimSun" w:hAnsi="SimSun" w:eastAsia="宋体"/>
          <w:sz w:val="22"/>
        </w:rPr>
        <w:t>点击“登记回款”。</w:t>
      </w:r>
    </w:p>
    <w:p>
      <w:pPr>
        <w:pStyle w:val="Compact"/>
        <w:numPr>
          <w:ilvl w:val="0"/>
          <w:numId w:val="1012"/>
        </w:numPr>
        <w:spacing w:before="0" w:after="0"/>
        <w:ind w:firstLine="0"/>
      </w:pPr>
      <w:r>
        <w:rPr>
          <w:rFonts w:ascii="SimSun" w:hAnsi="SimSun" w:eastAsia="宋体"/>
          <w:sz w:val="22"/>
        </w:rPr>
        <w:t>系统将更新合同回款进度，并可在销售与合同模块中同步查看。</w:t>
      </w:r>
    </w:p>
    <w:bookmarkEnd w:id="59"/>
    <w:bookmarkStart w:id="60" w:name="X8a09e44c89924b56ea8fe22b57b2b21438e00ee"/>
    <w:p>
      <w:pPr>
        <w:pStyle w:val="31"/>
        <w:spacing w:before="0" w:after="0"/>
        <w:ind w:firstLine="0"/>
      </w:pPr>
      <w:r>
        <w:rPr>
          <w:rFonts w:ascii="SimSun" w:hAnsi="SimSun" w:eastAsia="宋体"/>
          <w:sz w:val="22"/>
        </w:rPr>
        <w:t>7.5 财务场景使用建议</w:t>
      </w:r>
    </w:p>
    <w:p>
      <w:pPr>
        <w:pStyle w:val="FirstParagraph"/>
        <w:spacing w:before="0" w:after="0"/>
        <w:ind w:firstLine="0"/>
      </w:pPr>
      <w:r>
        <w:rPr>
          <w:rFonts w:ascii="SimSun" w:hAnsi="SimSun" w:eastAsia="宋体"/>
          <w:sz w:val="22"/>
        </w:rPr>
        <w:t>财务部门建议将预算键设计为“年度-月份-组织-成本中心”的组合，以便快速定位预算来源；对报销、付款和回款等资金类业务，建议建立复核岗位，通过待办中心完成审批后再执行下一步；若企业后续需要接入真实银行回单、电子发票或合同附件，可在现有结构上扩展文件资产表和外部接口，而无需重构主流程。</w:t>
      </w:r>
    </w:p>
    <w:bookmarkEnd w:id="60"/>
    <w:bookmarkEnd w:id="61"/>
    <w:bookmarkStart w:id="68" w:name="八待办与流程模块"/>
    <w:p>
      <w:pPr>
        <w:pStyle w:val="21"/>
        <w:spacing w:before="0" w:after="0"/>
        <w:ind w:firstLine="0"/>
      </w:pPr>
      <w:r>
        <w:rPr>
          <w:rFonts w:ascii="SimSun" w:hAnsi="SimSun" w:eastAsia="宋体"/>
          <w:sz w:val="22"/>
        </w:rPr>
        <w:t>八、待办与流程模块</w:t>
      </w:r>
    </w:p>
    <w:p>
      <w:pPr>
        <w:pStyle w:val="FirstParagraph"/>
        <w:spacing w:before="0" w:after="0"/>
        <w:ind w:firstLine="0"/>
      </w:pPr>
      <w:r>
        <w:rPr>
          <w:rFonts w:ascii="SimSun" w:hAnsi="SimSun" w:eastAsia="宋体"/>
          <w:sz w:val="22"/>
        </w:rPr>
        <w:t>待办与流程页面是各岗位处理协同审批的核心入口。页面分为四块：左上为待办任务，右上为已办任务，左下为我的发起，右下为流程模板。待办卡片显示当前节点名称、业务类型、业务 ID 与截止时间，并提供“通过”“驳回”按钮；已办卡片显示用户已执行的动作；我的发起用于回看自己提交过的流程；流程模板则帮助管理员了解采购申请、合同审批和报销三类流程的节点数量与适用业务。</w:t>
      </w:r>
    </w:p>
    <w:p>
      <w:pPr>
        <w:pStyle w:val="a8"/>
        <w:spacing w:before="0" w:after="0"/>
        <w:ind w:firstLine="0"/>
      </w:pPr>
      <w:r>
        <w:rPr>
          <w:rFonts w:ascii="SimSun" w:hAnsi="SimSun" w:eastAsia="宋体"/>
          <w:sz w:val="22"/>
        </w:rPr>
        <w:t>该模块的设计目标不是替代复杂 BPM 平台，而是以轻量方式为企业经营关键单据提供足够明确的审批闭环。对于采购和合同场景，系统默认使用“运营总监审批 + 财务审批”的两级流程；报销场景则使用“直属负责人审批 + 财务审批”。审批动作一旦提交，相应业务状态、通知中心与首页待办数量会同步变化，确保业务结果能够被多模块感知。</w:t>
      </w:r>
    </w:p>
    <w:p>
      <w:pPr>
        <w:pStyle w:val="a8"/>
        <w:spacing w:before="0" w:after="0"/>
        <w:ind w:firstLine="0"/>
      </w:pPr>
      <w:r>
        <w:drawing>
          <wp:inline>
            <wp:extent cx="5486400" cy="3429000"/>
            <wp:effectExtent b="0" l="0" r="0" t="0"/>
            <wp:docPr descr="图3-3 待办与流程页面" title="" id="63" name="Picture"/>
            <a:graphic>
              <a:graphicData uri="http://schemas.openxmlformats.org/drawingml/2006/picture">
                <pic:pic>
                  <pic:nvPicPr>
                    <pic:cNvPr descr="images/fig-3-3-workflow-todo.png" id="64" name="Picture"/>
                    <pic:cNvPicPr>
                      <a:picLocks noChangeArrowheads="1" noChangeAspect="1"/>
                    </pic:cNvPicPr>
                  </pic:nvPicPr>
                  <pic:blipFill>
                    <a:blip r:embed="rId62"/>
                    <a:stretch>
                      <a:fillRect/>
                    </a:stretch>
                  </pic:blipFill>
                  <pic:spPr bwMode="auto">
                    <a:xfrm>
                      <a:off x="0" y="0"/>
                      <a:ext cx="5486400" cy="3429000"/>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图3-3 展示了待办与流程页面。审批人员可直接在卡片上点击“通过”或“驳回”，提交后页面会即时刷新，已办列表也会追加对应记录。这种设计降低了审批动作的操作成本，特别适合企业内部快速流转。</w:t>
      </w:r>
    </w:p>
    <w:bookmarkStart w:id="65" w:name="X8f4226a5a8ecb4bbd664120616a99056435c3a7"/>
    <w:p>
      <w:pPr>
        <w:pStyle w:val="31"/>
        <w:spacing w:before="0" w:after="0"/>
        <w:ind w:firstLine="0"/>
      </w:pPr>
      <w:r>
        <w:rPr>
          <w:rFonts w:ascii="SimSun" w:hAnsi="SimSun" w:eastAsia="宋体"/>
          <w:sz w:val="22"/>
        </w:rPr>
        <w:t>8.1 处理待办</w:t>
      </w:r>
    </w:p>
    <w:p>
      <w:pPr>
        <w:pStyle w:val="Compact"/>
        <w:numPr>
          <w:ilvl w:val="0"/>
          <w:numId w:val="1013"/>
        </w:numPr>
        <w:spacing w:before="0" w:after="0"/>
        <w:ind w:firstLine="0"/>
      </w:pPr>
      <w:r>
        <w:rPr>
          <w:rFonts w:ascii="SimSun" w:hAnsi="SimSun" w:eastAsia="宋体"/>
          <w:sz w:val="22"/>
        </w:rPr>
        <w:t>进入“待办与流程”页面。</w:t>
      </w:r>
    </w:p>
    <w:p>
      <w:pPr>
        <w:pStyle w:val="Compact"/>
        <w:numPr>
          <w:ilvl w:val="0"/>
          <w:numId w:val="1013"/>
        </w:numPr>
        <w:spacing w:before="0" w:after="0"/>
        <w:ind w:firstLine="0"/>
      </w:pPr>
      <w:r>
        <w:rPr>
          <w:rFonts w:ascii="SimSun" w:hAnsi="SimSun" w:eastAsia="宋体"/>
          <w:sz w:val="22"/>
        </w:rPr>
        <w:t>在“待办任务”区域找到属于自己的审批卡片。</w:t>
      </w:r>
    </w:p>
    <w:p>
      <w:pPr>
        <w:pStyle w:val="Compact"/>
        <w:numPr>
          <w:ilvl w:val="0"/>
          <w:numId w:val="1013"/>
        </w:numPr>
        <w:spacing w:before="0" w:after="0"/>
        <w:ind w:firstLine="0"/>
      </w:pPr>
      <w:r>
        <w:rPr>
          <w:rFonts w:ascii="SimSun" w:hAnsi="SimSun" w:eastAsia="宋体"/>
          <w:sz w:val="22"/>
        </w:rPr>
        <w:t>确认业务类型、业务 ID 和截止时间。</w:t>
      </w:r>
    </w:p>
    <w:p>
      <w:pPr>
        <w:pStyle w:val="Compact"/>
        <w:numPr>
          <w:ilvl w:val="0"/>
          <w:numId w:val="1013"/>
        </w:numPr>
        <w:spacing w:before="0" w:after="0"/>
        <w:ind w:firstLine="0"/>
      </w:pPr>
      <w:r>
        <w:rPr>
          <w:rFonts w:ascii="SimSun" w:hAnsi="SimSun" w:eastAsia="宋体"/>
          <w:sz w:val="22"/>
        </w:rPr>
        <w:t>点击“通过”或“驳回”。</w:t>
      </w:r>
    </w:p>
    <w:p>
      <w:pPr>
        <w:pStyle w:val="Compact"/>
        <w:numPr>
          <w:ilvl w:val="0"/>
          <w:numId w:val="1013"/>
        </w:numPr>
        <w:spacing w:before="0" w:after="0"/>
        <w:ind w:firstLine="0"/>
      </w:pPr>
      <w:r>
        <w:rPr>
          <w:rFonts w:ascii="SimSun" w:hAnsi="SimSun" w:eastAsia="宋体"/>
          <w:sz w:val="22"/>
        </w:rPr>
        <w:t>系统提示“审批动作已提交”后，卡片会从待办移动到已办或交接至下一审批节点。</w:t>
      </w:r>
    </w:p>
    <w:bookmarkEnd w:id="65"/>
    <w:bookmarkStart w:id="66" w:name="X5bc8f5ddffd1a6a2ab62e41ac1e88c660f8d175"/>
    <w:p>
      <w:pPr>
        <w:pStyle w:val="31"/>
        <w:spacing w:before="0" w:after="0"/>
        <w:ind w:firstLine="0"/>
      </w:pPr>
      <w:r>
        <w:rPr>
          <w:rFonts w:ascii="SimSun" w:hAnsi="SimSun" w:eastAsia="宋体"/>
          <w:sz w:val="22"/>
        </w:rPr>
        <w:t>8.2 查看我的发起</w:t>
      </w:r>
    </w:p>
    <w:p>
      <w:pPr>
        <w:pStyle w:val="Compact"/>
        <w:numPr>
          <w:ilvl w:val="0"/>
          <w:numId w:val="1014"/>
        </w:numPr>
        <w:spacing w:before="0" w:after="0"/>
        <w:ind w:firstLine="0"/>
      </w:pPr>
      <w:r>
        <w:rPr>
          <w:rFonts w:ascii="SimSun" w:hAnsi="SimSun" w:eastAsia="宋体"/>
          <w:sz w:val="22"/>
        </w:rPr>
        <w:t>在左下“我的发起”区域查看自己发起的采购、合同或报销流程。</w:t>
      </w:r>
    </w:p>
    <w:p>
      <w:pPr>
        <w:pStyle w:val="Compact"/>
        <w:numPr>
          <w:ilvl w:val="0"/>
          <w:numId w:val="1014"/>
        </w:numPr>
        <w:spacing w:before="0" w:after="0"/>
        <w:ind w:firstLine="0"/>
      </w:pPr>
      <w:r>
        <w:rPr>
          <w:rFonts w:ascii="SimSun" w:hAnsi="SimSun" w:eastAsia="宋体"/>
          <w:sz w:val="22"/>
        </w:rPr>
        <w:t>关注流程状态是否为 IN_PROGRESS、COMPLETED 或业务终态。</w:t>
      </w:r>
    </w:p>
    <w:p>
      <w:pPr>
        <w:pStyle w:val="Compact"/>
        <w:numPr>
          <w:ilvl w:val="0"/>
          <w:numId w:val="1014"/>
        </w:numPr>
        <w:spacing w:before="0" w:after="0"/>
        <w:ind w:firstLine="0"/>
      </w:pPr>
      <w:r>
        <w:rPr>
          <w:rFonts w:ascii="SimSun" w:hAnsi="SimSun" w:eastAsia="宋体"/>
          <w:sz w:val="22"/>
        </w:rPr>
        <w:t>若流程长期停留，可根据业务 ID 联动通知审批人员及时处理。</w:t>
      </w:r>
    </w:p>
    <w:bookmarkEnd w:id="66"/>
    <w:bookmarkStart w:id="67" w:name="Xc33f0b7855d4f57c4cc87bb3c594ad5a825ea3e"/>
    <w:p>
      <w:pPr>
        <w:pStyle w:val="31"/>
        <w:spacing w:before="0" w:after="0"/>
        <w:ind w:firstLine="0"/>
      </w:pPr>
      <w:r>
        <w:rPr>
          <w:rFonts w:ascii="SimSun" w:hAnsi="SimSun" w:eastAsia="宋体"/>
          <w:sz w:val="22"/>
        </w:rPr>
        <w:t>8.3 流程管理建议</w:t>
      </w:r>
    </w:p>
    <w:p>
      <w:pPr>
        <w:pStyle w:val="FirstParagraph"/>
        <w:spacing w:before="0" w:after="0"/>
        <w:ind w:firstLine="0"/>
      </w:pPr>
      <w:r>
        <w:rPr>
          <w:rFonts w:ascii="SimSun" w:hAnsi="SimSun" w:eastAsia="宋体"/>
          <w:sz w:val="22"/>
        </w:rPr>
        <w:t>企业在正式使用前应先确定审批角色映射与超时策略。当前样例模板适合标准双节点审批场景，如果后续要加入法务、风控、出纳或区域负责人节点，可以在流程模板结构中按业务类型扩展节点定义。审批模块与业务模块解耦后，企业既能保持页面简单，也能在后续增加流程复杂度时保持清晰的领域边界。</w:t>
      </w:r>
    </w:p>
    <w:bookmarkEnd w:id="67"/>
    <w:bookmarkEnd w:id="68"/>
    <w:bookmarkStart w:id="74" w:name="九审计与通知模块"/>
    <w:p>
      <w:pPr>
        <w:pStyle w:val="21"/>
        <w:spacing w:before="0" w:after="0"/>
        <w:ind w:firstLine="0"/>
      </w:pPr>
      <w:r>
        <w:rPr>
          <w:rFonts w:ascii="SimSun" w:hAnsi="SimSun" w:eastAsia="宋体"/>
          <w:sz w:val="22"/>
        </w:rPr>
        <w:t>九、审计与通知模块</w:t>
      </w:r>
    </w:p>
    <w:p>
      <w:pPr>
        <w:pStyle w:val="FirstParagraph"/>
        <w:spacing w:before="0" w:after="0"/>
        <w:ind w:firstLine="0"/>
      </w:pPr>
      <w:r>
        <w:rPr>
          <w:rFonts w:ascii="SimSun" w:hAnsi="SimSun" w:eastAsia="宋体"/>
          <w:sz w:val="22"/>
        </w:rPr>
        <w:t>审计与通知页面用于满足管理追踪和用户提醒两类需求。左侧审计日志表格记录动作类型、业务类型、业务 ID 和请求号，适合审计人员、管理员或排障人员检索关键请求；右侧通知中心以卡片形式展示通知标题、内容、业务引用类型和已读状态，用户可以直接点击“设为已读”完成处理。</w:t>
      </w:r>
    </w:p>
    <w:p>
      <w:pPr>
        <w:pStyle w:val="a8"/>
        <w:spacing w:before="0" w:after="0"/>
        <w:ind w:firstLine="0"/>
      </w:pPr>
      <w:r>
        <w:rPr>
          <w:rFonts w:ascii="SimSun" w:hAnsi="SimSun" w:eastAsia="宋体"/>
          <w:sz w:val="22"/>
        </w:rPr>
        <w:t>该页面的价值在于将“系统知道发生了什么”和“用户知道该做什么”分开呈现。审计日志偏向事实留痕，关注谁在什么时候对什么业务做了什么动作；通知中心偏向任务提醒，关注当前用户还需要关注哪些事件。两者结合可以帮助企业在事后稽核、异常调查和流程追踪中快速定位上下文。</w:t>
      </w:r>
    </w:p>
    <w:p>
      <w:pPr>
        <w:pStyle w:val="a8"/>
        <w:spacing w:before="0" w:after="0"/>
        <w:ind w:firstLine="0"/>
      </w:pPr>
      <w:r>
        <w:drawing>
          <wp:inline>
            <wp:extent cx="5486400" cy="3429000"/>
            <wp:effectExtent b="0" l="0" r="0" t="0"/>
            <wp:docPr descr="图3-6 审计与通知页面" title="" id="70" name="Picture"/>
            <a:graphic>
              <a:graphicData uri="http://schemas.openxmlformats.org/drawingml/2006/picture">
                <pic:pic>
                  <pic:nvPicPr>
                    <pic:cNvPr descr="images/fig-3-6-audit-notice.png" id="71" name="Picture"/>
                    <pic:cNvPicPr>
                      <a:picLocks noChangeArrowheads="1" noChangeAspect="1"/>
                    </pic:cNvPicPr>
                  </pic:nvPicPr>
                  <pic:blipFill>
                    <a:blip r:embed="rId69"/>
                    <a:stretch>
                      <a:fillRect/>
                    </a:stretch>
                  </pic:blipFill>
                  <pic:spPr bwMode="auto">
                    <a:xfrm>
                      <a:off x="0" y="0"/>
                      <a:ext cx="5486400" cy="3429000"/>
                    </a:xfrm>
                    <a:prstGeom prst="rect">
                      <a:avLst/>
                    </a:prstGeom>
                    <a:noFill/>
                    <a:ln w="9525">
                      <a:noFill/>
                      <a:headEnd/>
                      <a:tailEnd/>
                    </a:ln>
                  </pic:spPr>
                </pic:pic>
              </a:graphicData>
            </a:graphic>
          </wp:inline>
        </w:drawing>
      </w:r>
    </w:p>
    <w:p>
      <w:pPr>
        <w:pStyle w:val="a8"/>
        <w:spacing w:before="0" w:after="0"/>
        <w:ind w:firstLine="0"/>
      </w:pPr>
      <w:r>
        <w:rPr>
          <w:rFonts w:ascii="SimSun" w:hAnsi="SimSun" w:eastAsia="宋体"/>
          <w:sz w:val="22"/>
        </w:rPr>
        <w:t>图3-6 展示了审计与通知页面。通知卡片会以不同样式区分已读与未读状态，用户点击“设为已读”后页面会即时刷新并改变展示样式。若某个业务流程引发多条通知，用户可先通过通知判断影响范围，再结合审计日志和请求号定位详细链路。</w:t>
      </w:r>
    </w:p>
    <w:bookmarkStart w:id="72" w:name="Xd81effe36ea871baef72c5276bd00ec57fad96b"/>
    <w:p>
      <w:pPr>
        <w:pStyle w:val="31"/>
        <w:spacing w:before="0" w:after="0"/>
        <w:ind w:firstLine="0"/>
      </w:pPr>
      <w:r>
        <w:rPr>
          <w:rFonts w:ascii="SimSun" w:hAnsi="SimSun" w:eastAsia="宋体"/>
          <w:sz w:val="22"/>
        </w:rPr>
        <w:t>9.1 审计日志查看方法</w:t>
      </w:r>
    </w:p>
    <w:p>
      <w:pPr>
        <w:pStyle w:val="Compact"/>
        <w:numPr>
          <w:ilvl w:val="0"/>
          <w:numId w:val="1015"/>
        </w:numPr>
        <w:spacing w:before="0" w:after="0"/>
        <w:ind w:firstLine="0"/>
      </w:pPr>
      <w:r>
        <w:rPr>
          <w:rFonts w:ascii="SimSun" w:hAnsi="SimSun" w:eastAsia="宋体"/>
          <w:sz w:val="22"/>
        </w:rPr>
        <w:t>进入“审计与通知”页面。</w:t>
      </w:r>
    </w:p>
    <w:p>
      <w:pPr>
        <w:pStyle w:val="Compact"/>
        <w:numPr>
          <w:ilvl w:val="0"/>
          <w:numId w:val="1015"/>
        </w:numPr>
        <w:spacing w:before="0" w:after="0"/>
        <w:ind w:firstLine="0"/>
      </w:pPr>
      <w:r>
        <w:rPr>
          <w:rFonts w:ascii="SimSun" w:hAnsi="SimSun" w:eastAsia="宋体"/>
          <w:sz w:val="22"/>
        </w:rPr>
        <w:t>在审计日志表中查看动作类型与业务类型。</w:t>
      </w:r>
    </w:p>
    <w:p>
      <w:pPr>
        <w:pStyle w:val="Compact"/>
        <w:numPr>
          <w:ilvl w:val="0"/>
          <w:numId w:val="1015"/>
        </w:numPr>
        <w:spacing w:before="0" w:after="0"/>
        <w:ind w:firstLine="0"/>
      </w:pPr>
      <w:r>
        <w:rPr>
          <w:rFonts w:ascii="SimSun" w:hAnsi="SimSun" w:eastAsia="宋体"/>
          <w:sz w:val="22"/>
        </w:rPr>
        <w:t>如需追踪某次具体请求，记录请求号并与后台日志或接口返回结果交叉核对。</w:t>
      </w:r>
    </w:p>
    <w:p>
      <w:pPr>
        <w:pStyle w:val="Compact"/>
        <w:numPr>
          <w:ilvl w:val="0"/>
          <w:numId w:val="1015"/>
        </w:numPr>
        <w:spacing w:before="0" w:after="0"/>
        <w:ind w:firstLine="0"/>
      </w:pPr>
      <w:r>
        <w:rPr>
          <w:rFonts w:ascii="SimSun" w:hAnsi="SimSun" w:eastAsia="宋体"/>
          <w:sz w:val="22"/>
        </w:rPr>
        <w:t>对于权限不足的用户，系统会禁止访问审计日志接口，防止敏感数据泄露。</w:t>
      </w:r>
    </w:p>
    <w:bookmarkEnd w:id="72"/>
    <w:bookmarkStart w:id="73" w:name="X52e7570f4f3ad6ce8ab7cda5a4550641983e7cc"/>
    <w:p>
      <w:pPr>
        <w:pStyle w:val="31"/>
        <w:spacing w:before="0" w:after="0"/>
        <w:ind w:firstLine="0"/>
      </w:pPr>
      <w:r>
        <w:rPr>
          <w:rFonts w:ascii="SimSun" w:hAnsi="SimSun" w:eastAsia="宋体"/>
          <w:sz w:val="22"/>
        </w:rPr>
        <w:t>9.2 通知处理方法</w:t>
      </w:r>
    </w:p>
    <w:p>
      <w:pPr>
        <w:pStyle w:val="Compact"/>
        <w:numPr>
          <w:ilvl w:val="0"/>
          <w:numId w:val="1016"/>
        </w:numPr>
        <w:spacing w:before="0" w:after="0"/>
        <w:ind w:firstLine="0"/>
      </w:pPr>
      <w:r>
        <w:rPr>
          <w:rFonts w:ascii="SimSun" w:hAnsi="SimSun" w:eastAsia="宋体"/>
          <w:sz w:val="22"/>
        </w:rPr>
        <w:t>在通知中心找到未读卡片。</w:t>
      </w:r>
    </w:p>
    <w:p>
      <w:pPr>
        <w:pStyle w:val="Compact"/>
        <w:numPr>
          <w:ilvl w:val="0"/>
          <w:numId w:val="1016"/>
        </w:numPr>
        <w:spacing w:before="0" w:after="0"/>
        <w:ind w:firstLine="0"/>
      </w:pPr>
      <w:r>
        <w:rPr>
          <w:rFonts w:ascii="SimSun" w:hAnsi="SimSun" w:eastAsia="宋体"/>
          <w:sz w:val="22"/>
        </w:rPr>
        <w:t>阅读标题、正文和业务引用类型。</w:t>
      </w:r>
    </w:p>
    <w:p>
      <w:pPr>
        <w:pStyle w:val="Compact"/>
        <w:numPr>
          <w:ilvl w:val="0"/>
          <w:numId w:val="1016"/>
        </w:numPr>
        <w:spacing w:before="0" w:after="0"/>
        <w:ind w:firstLine="0"/>
      </w:pPr>
      <w:r>
        <w:rPr>
          <w:rFonts w:ascii="SimSun" w:hAnsi="SimSun" w:eastAsia="宋体"/>
          <w:sz w:val="22"/>
        </w:rPr>
        <w:t>点击“设为已读”。</w:t>
      </w:r>
    </w:p>
    <w:p>
      <w:pPr>
        <w:pStyle w:val="Compact"/>
        <w:numPr>
          <w:ilvl w:val="0"/>
          <w:numId w:val="1016"/>
        </w:numPr>
        <w:spacing w:before="0" w:after="0"/>
        <w:ind w:firstLine="0"/>
      </w:pPr>
      <w:r>
        <w:rPr>
          <w:rFonts w:ascii="SimSun" w:hAnsi="SimSun" w:eastAsia="宋体"/>
          <w:sz w:val="22"/>
        </w:rPr>
        <w:t>系统更新状态后，卡片样式会变化，表示该通知已经处理。</w:t>
      </w:r>
    </w:p>
    <w:bookmarkEnd w:id="73"/>
    <w:bookmarkEnd w:id="74"/>
    <w:bookmarkStart w:id="75" w:name="十端到端业务流程演示"/>
    <w:p>
      <w:pPr>
        <w:pStyle w:val="21"/>
        <w:spacing w:before="0" w:after="0"/>
        <w:ind w:firstLine="0"/>
      </w:pPr>
      <w:r>
        <w:rPr>
          <w:rFonts w:ascii="SimSun" w:hAnsi="SimSun" w:eastAsia="宋体"/>
          <w:sz w:val="22"/>
        </w:rPr>
        <w:t>十、端到端业务流程演示</w:t>
      </w:r>
    </w:p>
    <w:p>
      <w:pPr>
        <w:pStyle w:val="FirstParagraph"/>
        <w:spacing w:before="0" w:after="0"/>
        <w:ind w:firstLine="0"/>
      </w:pPr>
      <w:r>
        <w:rPr>
          <w:rFonts w:ascii="SimSun" w:hAnsi="SimSun" w:eastAsia="宋体"/>
          <w:sz w:val="22"/>
        </w:rPr>
        <w:t>为了帮助企业理解平台如何把多个模块串成完整闭环，建议按以下顺序演示一条典型业务主线：</w:t>
      </w:r>
    </w:p>
    <w:p>
      <w:pPr>
        <w:pStyle w:val="Compact"/>
        <w:numPr>
          <w:ilvl w:val="0"/>
          <w:numId w:val="1017"/>
        </w:numPr>
        <w:spacing w:before="0" w:after="0"/>
        <w:ind w:firstLine="0"/>
      </w:pPr>
      <w:r>
        <w:rPr>
          <w:rFonts w:ascii="SimSun" w:hAnsi="SimSun" w:eastAsia="宋体"/>
          <w:sz w:val="22"/>
        </w:rPr>
        <w:t>管理员登录系统并查看首页经营看板。</w:t>
      </w:r>
    </w:p>
    <w:p>
      <w:pPr>
        <w:pStyle w:val="Compact"/>
        <w:numPr>
          <w:ilvl w:val="0"/>
          <w:numId w:val="1017"/>
        </w:numPr>
        <w:spacing w:before="0" w:after="0"/>
        <w:ind w:firstLine="0"/>
      </w:pPr>
      <w:r>
        <w:rPr>
          <w:rFonts w:ascii="SimSun" w:hAnsi="SimSun" w:eastAsia="宋体"/>
          <w:sz w:val="22"/>
        </w:rPr>
        <w:t>在主数据模块确认客户、供应商、物料、仓库与项目等基础资料已存在。</w:t>
      </w:r>
    </w:p>
    <w:p>
      <w:pPr>
        <w:pStyle w:val="Compact"/>
        <w:numPr>
          <w:ilvl w:val="0"/>
          <w:numId w:val="1017"/>
        </w:numPr>
        <w:spacing w:before="0" w:after="0"/>
        <w:ind w:firstLine="0"/>
      </w:pPr>
      <w:r>
        <w:rPr>
          <w:rFonts w:ascii="SimSun" w:hAnsi="SimSun" w:eastAsia="宋体"/>
          <w:sz w:val="22"/>
        </w:rPr>
        <w:t>在采购与库存模块发起采购申请，系统自动进行预算校验并创建待办。</w:t>
      </w:r>
    </w:p>
    <w:p>
      <w:pPr>
        <w:pStyle w:val="Compact"/>
        <w:numPr>
          <w:ilvl w:val="0"/>
          <w:numId w:val="1017"/>
        </w:numPr>
        <w:spacing w:before="0" w:after="0"/>
        <w:ind w:firstLine="0"/>
      </w:pPr>
      <w:r>
        <w:rPr>
          <w:rFonts w:ascii="SimSun" w:hAnsi="SimSun" w:eastAsia="宋体"/>
          <w:sz w:val="22"/>
        </w:rPr>
        <w:t>使用运营总监账号进入待办中心执行首次审批，再用财务账号完成第二次审批。</w:t>
      </w:r>
    </w:p>
    <w:p>
      <w:pPr>
        <w:pStyle w:val="Compact"/>
        <w:numPr>
          <w:ilvl w:val="0"/>
          <w:numId w:val="1017"/>
        </w:numPr>
        <w:spacing w:before="0" w:after="0"/>
        <w:ind w:firstLine="0"/>
      </w:pPr>
      <w:r>
        <w:rPr>
          <w:rFonts w:ascii="SimSun" w:hAnsi="SimSun" w:eastAsia="宋体"/>
          <w:sz w:val="22"/>
        </w:rPr>
        <w:t>返回采购与库存模块，根据审批通过的申请创建采购订单并执行收货入库。</w:t>
      </w:r>
    </w:p>
    <w:p>
      <w:pPr>
        <w:pStyle w:val="Compact"/>
        <w:numPr>
          <w:ilvl w:val="0"/>
          <w:numId w:val="1017"/>
        </w:numPr>
        <w:spacing w:before="0" w:after="0"/>
        <w:ind w:firstLine="0"/>
      </w:pPr>
      <w:r>
        <w:rPr>
          <w:rFonts w:ascii="SimSun" w:hAnsi="SimSun" w:eastAsia="宋体"/>
          <w:sz w:val="22"/>
        </w:rPr>
        <w:t>观察库存余额变化，并回到首页确认采购、库存或待办指标变化。</w:t>
      </w:r>
    </w:p>
    <w:p>
      <w:pPr>
        <w:pStyle w:val="Compact"/>
        <w:numPr>
          <w:ilvl w:val="0"/>
          <w:numId w:val="1017"/>
        </w:numPr>
        <w:spacing w:before="0" w:after="0"/>
        <w:ind w:firstLine="0"/>
      </w:pPr>
      <w:r>
        <w:rPr>
          <w:rFonts w:ascii="SimSun" w:hAnsi="SimSun" w:eastAsia="宋体"/>
          <w:sz w:val="22"/>
        </w:rPr>
        <w:t>再次使用管理员账号，在销售与合同模块创建销售订单和合同审批流程。</w:t>
      </w:r>
    </w:p>
    <w:p>
      <w:pPr>
        <w:pStyle w:val="Compact"/>
        <w:numPr>
          <w:ilvl w:val="0"/>
          <w:numId w:val="1017"/>
        </w:numPr>
        <w:spacing w:before="0" w:after="0"/>
        <w:ind w:firstLine="0"/>
      </w:pPr>
      <w:r>
        <w:rPr>
          <w:rFonts w:ascii="SimSun" w:hAnsi="SimSun" w:eastAsia="宋体"/>
          <w:sz w:val="22"/>
        </w:rPr>
        <w:t>在待办中心完成合同审批后，到费用与预算模块登记回款。</w:t>
      </w:r>
    </w:p>
    <w:p>
      <w:pPr>
        <w:pStyle w:val="Compact"/>
        <w:numPr>
          <w:ilvl w:val="0"/>
          <w:numId w:val="1017"/>
        </w:numPr>
        <w:spacing w:before="0" w:after="0"/>
        <w:ind w:firstLine="0"/>
      </w:pPr>
      <w:r>
        <w:rPr>
          <w:rFonts w:ascii="SimSun" w:hAnsi="SimSun" w:eastAsia="宋体"/>
          <w:sz w:val="22"/>
        </w:rPr>
        <w:t>查看合同回款进度是否增长，并在首页确认回款指标变化。</w:t>
      </w:r>
    </w:p>
    <w:p>
      <w:pPr>
        <w:pStyle w:val="Compact"/>
        <w:numPr>
          <w:ilvl w:val="0"/>
          <w:numId w:val="1017"/>
        </w:numPr>
        <w:spacing w:before="0" w:after="0"/>
        <w:ind w:firstLine="0"/>
      </w:pPr>
      <w:r>
        <w:rPr>
          <w:rFonts w:ascii="SimSun" w:hAnsi="SimSun" w:eastAsia="宋体"/>
          <w:sz w:val="22"/>
        </w:rPr>
        <w:t>最后进入审计与通知模块，检查关键动作是否有对应日志与通知记录。</w:t>
      </w:r>
    </w:p>
    <w:p>
      <w:pPr>
        <w:pStyle w:val="FirstParagraph"/>
        <w:spacing w:before="0" w:after="0"/>
        <w:ind w:firstLine="0"/>
      </w:pPr>
      <w:r>
        <w:rPr>
          <w:rFonts w:ascii="SimSun" w:hAnsi="SimSun" w:eastAsia="宋体"/>
          <w:sz w:val="22"/>
        </w:rPr>
        <w:t>这条主线覆盖了“登录、主数据、采购、审批、入库、首页、销售、合同、回款、审计”十大关键触点，能够充分证明平台具备全过程数字化管控的能力。企业在培训时也可以按此顺序分角色演练，使业务人员不仅知道如何操作，更理解每一步为什么会影响后续节点。</w:t>
      </w:r>
    </w:p>
    <w:bookmarkEnd w:id="75"/>
    <w:bookmarkStart w:id="81" w:name="十一常见问题与处理建议"/>
    <w:p>
      <w:pPr>
        <w:pStyle w:val="21"/>
        <w:spacing w:before="0" w:after="0"/>
        <w:ind w:firstLine="0"/>
      </w:pPr>
      <w:r>
        <w:rPr>
          <w:rFonts w:ascii="SimSun" w:hAnsi="SimSun" w:eastAsia="宋体"/>
          <w:sz w:val="22"/>
        </w:rPr>
        <w:t>十一、常见问题与处理建议</w:t>
      </w:r>
    </w:p>
    <w:bookmarkStart w:id="76" w:name="X81cb541d721d8e83ecb149daeeeb14e6106f92f"/>
    <w:p>
      <w:pPr>
        <w:pStyle w:val="31"/>
        <w:spacing w:before="0" w:after="0"/>
        <w:ind w:firstLine="0"/>
      </w:pPr>
      <w:r>
        <w:rPr>
          <w:rFonts w:ascii="SimSun" w:hAnsi="SimSun" w:eastAsia="宋体"/>
          <w:sz w:val="22"/>
        </w:rPr>
        <w:t>11.1 登录失败怎么办</w:t>
      </w:r>
    </w:p>
    <w:p>
      <w:pPr>
        <w:pStyle w:val="FirstParagraph"/>
        <w:spacing w:before="0" w:after="0"/>
        <w:ind w:firstLine="0"/>
      </w:pPr>
      <w:r>
        <w:rPr>
          <w:rFonts w:ascii="SimSun" w:hAnsi="SimSun" w:eastAsia="宋体"/>
          <w:sz w:val="22"/>
        </w:rPr>
        <w:t>先确认账号和密码是否输入正确，再确认浏览器是否能访问系统地址。如果页面返回错误提示并带有请求号，可将请求号提供给管理员排查。如果是首次部署后访问失败，通常需要检查服务进程是否已经启动以及端口是否可用。</w:t>
      </w:r>
    </w:p>
    <w:bookmarkEnd w:id="76"/>
    <w:bookmarkStart w:id="77" w:name="X7e7b6ed2a8c7e727d0b1c8a688058e789a07c3d"/>
    <w:p>
      <w:pPr>
        <w:pStyle w:val="31"/>
        <w:spacing w:before="0" w:after="0"/>
        <w:ind w:firstLine="0"/>
      </w:pPr>
      <w:r>
        <w:rPr>
          <w:rFonts w:ascii="SimSun" w:hAnsi="SimSun" w:eastAsia="宋体"/>
          <w:sz w:val="22"/>
        </w:rPr>
        <w:t>11.2 采购申请提示预算不足怎么办</w:t>
      </w:r>
    </w:p>
    <w:p>
      <w:pPr>
        <w:pStyle w:val="FirstParagraph"/>
        <w:spacing w:before="0" w:after="0"/>
        <w:ind w:firstLine="0"/>
      </w:pPr>
      <w:r>
        <w:rPr>
          <w:rFonts w:ascii="SimSun" w:hAnsi="SimSun" w:eastAsia="宋体"/>
          <w:sz w:val="22"/>
        </w:rPr>
        <w:t>优先检查预算键、成本中心、预算月份和申请金额是否匹配。若业务确实需要超预算执行，应先由财务或管理员在预算模块补充预算，再重新发起申请。不要绕过预算校验直接在线下处理，否则会破坏平台中的资金控制逻辑。</w:t>
      </w:r>
    </w:p>
    <w:bookmarkEnd w:id="77"/>
    <w:bookmarkStart w:id="78" w:name="Xfccfdd62c8210f962523368c826942304403855"/>
    <w:p>
      <w:pPr>
        <w:pStyle w:val="31"/>
        <w:spacing w:before="0" w:after="0"/>
        <w:ind w:firstLine="0"/>
      </w:pPr>
      <w:r>
        <w:rPr>
          <w:rFonts w:ascii="SimSun" w:hAnsi="SimSun" w:eastAsia="宋体"/>
          <w:sz w:val="22"/>
        </w:rPr>
        <w:t>11.3 为什么审批通过后还不能创建采购订单</w:t>
      </w:r>
    </w:p>
    <w:p>
      <w:pPr>
        <w:pStyle w:val="FirstParagraph"/>
        <w:spacing w:before="0" w:after="0"/>
        <w:ind w:firstLine="0"/>
      </w:pPr>
      <w:r>
        <w:rPr>
          <w:rFonts w:ascii="SimSun" w:hAnsi="SimSun" w:eastAsia="宋体"/>
          <w:sz w:val="22"/>
        </w:rPr>
        <w:t>通常是因为使用了错误的申请 ID，或者审批尚未流转到最终完成状态。建议在待办与流程页面确认该业务实例已经完成全部节点审批，再返回采购页面创建采购订单。</w:t>
      </w:r>
    </w:p>
    <w:bookmarkEnd w:id="78"/>
    <w:bookmarkStart w:id="79" w:name="Xf9ad539bc8fff1e7cf010fac5eddde67479b4a5"/>
    <w:p>
      <w:pPr>
        <w:pStyle w:val="31"/>
        <w:spacing w:before="0" w:after="0"/>
        <w:ind w:firstLine="0"/>
      </w:pPr>
      <w:r>
        <w:rPr>
          <w:rFonts w:ascii="SimSun" w:hAnsi="SimSun" w:eastAsia="宋体"/>
          <w:sz w:val="22"/>
        </w:rPr>
        <w:t>11.4 为什么看不到审计日志</w:t>
      </w:r>
    </w:p>
    <w:p>
      <w:pPr>
        <w:pStyle w:val="FirstParagraph"/>
        <w:spacing w:before="0" w:after="0"/>
        <w:ind w:firstLine="0"/>
      </w:pPr>
      <w:r>
        <w:rPr>
          <w:rFonts w:ascii="SimSun" w:hAnsi="SimSun" w:eastAsia="宋体"/>
          <w:sz w:val="22"/>
        </w:rPr>
        <w:t>审计日志接口受权限控制。销售、采购等普通业务角色默认不能访问审计日志；管理员或审计角色才可查看。如果业务确有需要，应由管理员评估后分配权限，而不是在系统内绕过控制。</w:t>
      </w:r>
    </w:p>
    <w:bookmarkEnd w:id="79"/>
    <w:bookmarkStart w:id="80" w:name="X69ea890b6c8c042a971108095ee9912958a6af6"/>
    <w:p>
      <w:pPr>
        <w:pStyle w:val="31"/>
        <w:spacing w:before="0" w:after="0"/>
        <w:ind w:firstLine="0"/>
      </w:pPr>
      <w:r>
        <w:rPr>
          <w:rFonts w:ascii="SimSun" w:hAnsi="SimSun" w:eastAsia="宋体"/>
          <w:sz w:val="22"/>
        </w:rPr>
        <w:t>11.5 为什么重复点击付款按钮没有生成两条付款申请</w:t>
      </w:r>
    </w:p>
    <w:p>
      <w:pPr>
        <w:pStyle w:val="FirstParagraph"/>
        <w:spacing w:before="0" w:after="0"/>
        <w:ind w:firstLine="0"/>
      </w:pPr>
      <w:r>
        <w:rPr>
          <w:rFonts w:ascii="SimSun" w:hAnsi="SimSun" w:eastAsia="宋体"/>
          <w:sz w:val="22"/>
        </w:rPr>
        <w:t>付款申请接口启用了幂等控制，目的是避免用户因网络抖动或重复点击造成重复付款。若用户使用的是同一个幂等键，请求会返回同一条记录，这是预期行为，不是系统故障。</w:t>
      </w:r>
    </w:p>
    <w:bookmarkEnd w:id="80"/>
    <w:bookmarkEnd w:id="81"/>
    <w:bookmarkStart w:id="82" w:name="十二版本信息"/>
    <w:p>
      <w:pPr>
        <w:pStyle w:val="21"/>
        <w:spacing w:before="0" w:after="0"/>
        <w:ind w:firstLine="0"/>
      </w:pPr>
      <w:r>
        <w:rPr>
          <w:rFonts w:ascii="SimSun" w:hAnsi="SimSun" w:eastAsia="宋体"/>
          <w:sz w:val="22"/>
        </w:rPr>
        <w:t>十二、版本信息</w:t>
      </w:r>
    </w:p>
    <w:p>
      <w:pPr>
        <w:pStyle w:val="Compact"/>
        <w:numPr>
          <w:ilvl w:val="0"/>
          <w:numId w:val="1018"/>
        </w:numPr>
        <w:spacing w:before="0" w:after="0"/>
        <w:ind w:firstLine="0"/>
      </w:pPr>
      <w:r>
        <w:rPr>
          <w:rFonts w:ascii="SimSun" w:hAnsi="SimSun" w:eastAsia="宋体"/>
          <w:sz w:val="22"/>
        </w:rPr>
        <w:t>软件全称：企业运营全流程数字化管控平台软件</w:t>
      </w:r>
    </w:p>
    <w:p>
      <w:pPr>
        <w:pStyle w:val="Compact"/>
        <w:numPr>
          <w:ilvl w:val="0"/>
          <w:numId w:val="1018"/>
        </w:numPr>
        <w:spacing w:before="0" w:after="0"/>
        <w:ind w:firstLine="0"/>
      </w:pPr>
      <w:r>
        <w:rPr>
          <w:rFonts w:ascii="SimSun" w:hAnsi="SimSun" w:eastAsia="宋体"/>
          <w:sz w:val="22"/>
        </w:rPr>
        <w:t>软件版本：V1.0</w:t>
      </w:r>
    </w:p>
    <w:p>
      <w:pPr>
        <w:pStyle w:val="Compact"/>
        <w:numPr>
          <w:ilvl w:val="0"/>
          <w:numId w:val="1018"/>
        </w:numPr>
        <w:spacing w:before="0" w:after="0"/>
        <w:ind w:firstLine="0"/>
      </w:pPr>
      <w:r>
        <w:rPr>
          <w:rFonts w:ascii="SimSun" w:hAnsi="SimSun" w:eastAsia="宋体"/>
          <w:sz w:val="22"/>
        </w:rPr>
        <w:t>文档版本：V1.0</w:t>
      </w:r>
    </w:p>
    <w:p>
      <w:pPr>
        <w:pStyle w:val="Compact"/>
        <w:numPr>
          <w:ilvl w:val="0"/>
          <w:numId w:val="1018"/>
        </w:numPr>
        <w:spacing w:before="0" w:after="0"/>
        <w:ind w:firstLine="0"/>
      </w:pPr>
      <w:r>
        <w:rPr>
          <w:rFonts w:ascii="SimSun" w:hAnsi="SimSun" w:eastAsia="宋体"/>
          <w:sz w:val="22"/>
        </w:rPr>
        <w:t>更新日期：2026-05-13</w:t>
      </w:r>
    </w:p>
    <w:bookmarkEnd w:id="82"/>
    <w:bookmarkEnd w:id="83"/>
    <w:sectPr w:rsidR="003B3662" w:rsidRPr="00667EFA" w:rsidSect="00575AD7">
      <w:headerReference r:id="rId8" w:type="default"/>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FD065" w14:textId="23CF581C" w:rsidR="00575AD7" w:rsidRDefault="00575AD7">
    <w:pPr>
      <w:pStyle w:val="ab"/>
      <w:jc w:val="right"/>
    </w:pPr>
    <w:r>
      <w:fldChar w:fldCharType="begin"/>
      <w:instrText xml:space="preserve"> PAGE </w:instrText>
      <w:fldChar w:fldCharType="end"/>
    </w:r>
  </w:p>
  <w:p w14:paraId="3C8F060C" w14:textId="77777777" w:rsidR="00A63B17" w:rsidRDefault="00A63B17">
    <w:pPr>
      <w:pStyle w:val="ab"/>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77E69" w14:textId="25B7BE2F" w:rsidR="003B3662" w:rsidRPr="00505C85" w:rsidRDefault="00575AD7">
    <w:pPr>
      <w:pStyle w:val="ad"/>
      <w:jc w:val="center"/>
      <w:rPr>
        <w:rFonts w:ascii="宋体" w:eastAsia="宋体" w:hAnsi="宋体" w:hint="eastAsia"/>
        <w:lang w:eastAsia="zh-CN"/>
      </w:rPr>
    </w:pPr>
    <w:r>
      <w:t>企业运营全流程数字化管控平台软件V1.0</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E"/>
    <w:multiLevelType w:val="singleLevel"/>
    <w:tmpl w:val="FFFFFF7E"/>
    <w:lvl w:ilvl="0">
      <w:start w:val="1"/>
      <w:numFmt w:val="decimal"/>
      <w:pStyle w:val="3"/>
      <w:lvlText w:val="%1."/>
      <w:lvlJc w:val="left"/>
      <w:pPr>
        <w:tabs>
          <w:tab w:pos="1080" w:val="left"/>
        </w:tabs>
        <w:ind w:hanging="360" w:left="1080"/>
      </w:pPr>
    </w:lvl>
  </w:abstractNum>
  <w:abstractNum w15:restartNumberingAfterBreak="0" w:abstractNumId="1">
    <w:nsid w:val="FFFFFF7F"/>
    <w:multiLevelType w:val="singleLevel"/>
    <w:tmpl w:val="FFFFFF7F"/>
    <w:lvl w:ilvl="0">
      <w:start w:val="1"/>
      <w:numFmt w:val="decimal"/>
      <w:pStyle w:val="2"/>
      <w:lvlText w:val="%1."/>
      <w:lvlJc w:val="left"/>
      <w:pPr>
        <w:tabs>
          <w:tab w:pos="720" w:val="left"/>
        </w:tabs>
        <w:ind w:hanging="360" w:left="720"/>
      </w:pPr>
    </w:lvl>
  </w:abstractNum>
  <w:abstractNum w15:restartNumberingAfterBreak="0" w:abstractNumId="2">
    <w:nsid w:val="FFFFFF82"/>
    <w:multiLevelType w:val="singleLevel"/>
    <w:tmpl w:val="FFFFFF82"/>
    <w:lvl w:ilvl="0">
      <w:start w:val="1"/>
      <w:numFmt w:val="bullet"/>
      <w:pStyle w:val="30"/>
      <w:lvlText w:val=""/>
      <w:lvlJc w:val="left"/>
      <w:pPr>
        <w:tabs>
          <w:tab w:pos="1080" w:val="left"/>
        </w:tabs>
        <w:ind w:hanging="360" w:left="1080"/>
      </w:pPr>
      <w:rPr>
        <w:rFonts w:ascii="Symbol" w:hAnsi="Symbol" w:hint="default"/>
      </w:rPr>
    </w:lvl>
  </w:abstractNum>
  <w:abstractNum w15:restartNumberingAfterBreak="0" w:abstractNumId="3">
    <w:nsid w:val="FFFFFF83"/>
    <w:multiLevelType w:val="singleLevel"/>
    <w:tmpl w:val="FFFFFF83"/>
    <w:lvl w:ilvl="0">
      <w:start w:val="1"/>
      <w:numFmt w:val="bullet"/>
      <w:pStyle w:val="20"/>
      <w:lvlText w:val=""/>
      <w:lvlJc w:val="left"/>
      <w:pPr>
        <w:tabs>
          <w:tab w:pos="720" w:val="left"/>
        </w:tabs>
        <w:ind w:hanging="360" w:left="720"/>
      </w:pPr>
      <w:rPr>
        <w:rFonts w:ascii="Symbol" w:hAnsi="Symbol" w:hint="default"/>
      </w:rPr>
    </w:lvl>
  </w:abstractNum>
  <w:abstractNum w15:restartNumberingAfterBreak="0" w:abstractNumId="4">
    <w:nsid w:val="FFFFFF88"/>
    <w:multiLevelType w:val="singleLevel"/>
    <w:tmpl w:val="FFFFFF88"/>
    <w:lvl w:ilvl="0">
      <w:start w:val="1"/>
      <w:numFmt w:val="decimal"/>
      <w:pStyle w:val="a"/>
      <w:lvlText w:val="%1."/>
      <w:lvlJc w:val="left"/>
      <w:pPr>
        <w:tabs>
          <w:tab w:pos="360" w:val="left"/>
        </w:tabs>
        <w:ind w:hanging="360" w:left="360"/>
      </w:pPr>
    </w:lvl>
  </w:abstractNum>
  <w:abstractNum w15:restartNumberingAfterBreak="0" w:abstractNumId="5">
    <w:nsid w:val="FFFFFF89"/>
    <w:multiLevelType w:val="singleLevel"/>
    <w:tmpl w:val="FFFFFF89"/>
    <w:lvl w:ilvl="0">
      <w:start w:val="1"/>
      <w:numFmt w:val="bullet"/>
      <w:pStyle w:val="a0"/>
      <w:lvlText w:val=""/>
      <w:lvlJc w:val="left"/>
      <w:pPr>
        <w:tabs>
          <w:tab w:pos="360" w:val="left"/>
        </w:tabs>
        <w:ind w:hanging="360" w:left="360"/>
      </w:pPr>
      <w:rPr>
        <w:rFonts w:ascii="Symbol" w:hAnsi="Symbol" w:hint="default"/>
      </w:rPr>
    </w:lvl>
  </w:abstractNum>
  <w:abstractNum w15:restartNumberingAfterBreak="0" w:abstractNumId="6">
    <w:nsid w:val="0000A991"/>
    <w:multiLevelType w:val="multilevel"/>
    <w:tmpl w:val="2A2A19D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00A99411"/>
    <w:multiLevelType w:val="multilevel"/>
    <w:tmpl w:val="C9F689F8"/>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508763663" w:numId="1">
    <w:abstractNumId w:val="1"/>
  </w:num>
  <w:num w16cid:durableId="841437754" w:numId="2">
    <w:abstractNumId w:val="4"/>
  </w:num>
  <w:num w16cid:durableId="1365205207" w:numId="3">
    <w:abstractNumId w:val="5"/>
  </w:num>
  <w:num w16cid:durableId="955021612" w:numId="4">
    <w:abstractNumId w:val="2"/>
  </w:num>
  <w:num w16cid:durableId="844856924" w:numId="5">
    <w:abstractNumId w:val="0"/>
  </w:num>
  <w:num w16cid:durableId="375349545" w:numId="6">
    <w:abstractNumId w:val="3"/>
  </w:num>
  <w:num w16cid:durableId="265894940" w:numId="7">
    <w:abstractNumId w:val="6"/>
  </w:num>
  <w:num w16cid:durableId="1855222011"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80058442"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31005002"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97152287"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8494400"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951443"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bordersDoNotSurroundHeader/>
  <w:bordersDoNotSurroundFooter/>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2254"/>
    <w:rsid w:val="003B3662"/>
    <w:rsid w:val="003B4F41"/>
    <w:rsid w:val="003E59E7"/>
    <w:rsid w:val="004A024B"/>
    <w:rsid w:val="00505C85"/>
    <w:rsid w:val="00575AD7"/>
    <w:rsid w:val="005B5199"/>
    <w:rsid w:val="00667EFA"/>
    <w:rsid w:val="007C5BFA"/>
    <w:rsid w:val="008123A0"/>
    <w:rsid w:val="009D7338"/>
    <w:rsid w:val="00A25C7C"/>
    <w:rsid w:val="00A63B17"/>
    <w:rsid w:val="00AA1D8D"/>
    <w:rsid w:val="00B47730"/>
    <w:rsid w:val="00C1402A"/>
    <w:rsid w:val="00CB0664"/>
    <w:rsid w:val="00CB3C99"/>
    <w:rsid w:val="00DB435F"/>
    <w:rsid w:val="00EA05CA"/>
    <w:rsid w:val="00FC693F"/>
    <w:rsid w:val="303A47B7"/>
    <w:rsid w:val="39785A2E"/>
    <w:rsid w:val="41336AA3"/>
    <w:rsid w:val="4D734297"/>
    <w:rsid w:val="792A69B0"/>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unhideWhenUsed="1"/>
    <w:lsdException w:name="heading 3" w:qFormat="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unhideWhenUsed="1"/>
    <w:lsdException w:name="foot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qFormat="1" w:unhideWhenUsed="1"/>
    <w:lsdException w:name="List Bullet" w:unhideWhenUsed="1"/>
    <w:lsdException w:name="List Number" w:qFormat="1" w:unhideWhenUsed="1"/>
    <w:lsdException w:name="List 2" w:qFormat="1" w:unhideWhenUsed="1"/>
    <w:lsdException w:name="List 3" w:qFormat="1" w:unhideWhenUsed="1"/>
    <w:lsdException w:name="List 4" w:semiHidden="1" w:unhideWhenUsed="1"/>
    <w:lsdException w:name="List 5" w:semiHidden="1" w:unhideWhenUsed="1"/>
    <w:lsdException w:name="List Bullet 2" w:qFormat="1" w:unhideWhenUsed="1"/>
    <w:lsdException w:name="List Bullet 3" w:qFormat="1" w:unhideWhenUsed="1"/>
    <w:lsdException w:name="List Bullet 4" w:semiHidden="1" w:unhideWhenUsed="1"/>
    <w:lsdException w:name="List Bullet 5" w:semiHidden="1" w:unhideWhenUsed="1"/>
    <w:lsdException w:name="List Number 2" w:qFormat="1" w:unhideWhenUsed="1"/>
    <w:lsdException w:name="List Number 3"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qFormat="1" w:uiPriority="1" w:unhideWhenUsed="1"/>
    <w:lsdException w:name="Body Text" w:qFormat="1" w:unhideWhenUsed="1"/>
    <w:lsdException w:name="Body Text Indent" w:semiHidden="1" w:unhideWhenUsed="1"/>
    <w:lsdException w:name="List Continue" w:qFormat="1" w:unhideWhenUsed="1"/>
    <w:lsdException w:name="List Continue 2" w:qFormat="1" w:unhideWhenUsed="1"/>
    <w:lsdException w:name="List Continue 3" w:qFormat="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unhideWhenUsed="1"/>
    <w:lsdException w:name="Body Text 3" w:qFormat="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uiPriority="59"/>
    <w:lsdException w:name="Table Theme" w:semiHidden="1" w:unhideWhenUsed="1"/>
    <w:lsdException w:name="Placeholder Text" w:semiHidden="1" w:unhideWhenUsed="1"/>
    <w:lsdException w:name="No Spacing" w:qFormat="1" w:uiPriority="1"/>
    <w:lsdException w:name="Light Shading" w:qFormat="1" w:uiPriority="60"/>
    <w:lsdException w:name="Light List" w:qFormat="1" w:uiPriority="61"/>
    <w:lsdException w:name="Light Grid" w:qFormat="1" w:uiPriority="62"/>
    <w:lsdException w:name="Medium Shading 1" w:qFormat="1" w:uiPriority="63"/>
    <w:lsdException w:name="Medium Shading 2" w:qFormat="1" w:uiPriority="64"/>
    <w:lsdException w:name="Medium List 1" w:qFormat="1" w:uiPriority="65"/>
    <w:lsdException w:name="Medium List 2" w:qFormat="1" w:uiPriority="66"/>
    <w:lsdException w:name="Medium Grid 1" w:qFormat="1" w:uiPriority="67"/>
    <w:lsdException w:name="Medium Grid 2" w:qFormat="1" w:uiPriority="68"/>
    <w:lsdException w:name="Medium Grid 3" w:qFormat="1" w:uiPriority="69"/>
    <w:lsdException w:name="Dark List" w:qFormat="1" w:uiPriority="70"/>
    <w:lsdException w:name="Colorful Shading" w:qFormat="1" w:uiPriority="71"/>
    <w:lsdException w:name="Colorful List" w:qFormat="1" w:uiPriority="72"/>
    <w:lsdException w:name="Colorful Grid" w:qFormat="1" w:uiPriority="73"/>
    <w:lsdException w:name="Light Shading Accent 1" w:qFormat="1" w:uiPriority="60"/>
    <w:lsdException w:name="Light List Accent 1" w:qFormat="1" w:uiPriority="61"/>
    <w:lsdException w:name="Light Grid Accent 1" w:qFormat="1" w:uiPriority="62"/>
    <w:lsdException w:name="Medium Shading 1 Accent 1" w:qFormat="1" w:uiPriority="63"/>
    <w:lsdException w:name="Medium Shading 2 Accent 1" w:qFormat="1" w:uiPriority="64"/>
    <w:lsdException w:name="Medium List 1 Accent 1" w:qFormat="1" w:uiPriority="65"/>
    <w:lsdException w:name="Revision" w:semiHidden="1" w:unhideWhenUsed="1"/>
    <w:lsdException w:name="List Paragraph" w:qFormat="1" w:uiPriority="34"/>
    <w:lsdException w:name="Quote" w:qFormat="1" w:uiPriority="29"/>
    <w:lsdException w:name="Intense Quote" w:qFormat="1" w:uiPriority="30"/>
    <w:lsdException w:name="Medium List 2 Accent 1" w:qFormat="1" w:uiPriority="66"/>
    <w:lsdException w:name="Medium Grid 1 Accent 1" w:qFormat="1" w:uiPriority="67"/>
    <w:lsdException w:name="Medium Grid 2 Accent 1" w:qFormat="1" w:uiPriority="68"/>
    <w:lsdException w:name="Medium Grid 3 Accent 1" w:qFormat="1" w:uiPriority="69"/>
    <w:lsdException w:name="Dark List Accent 1" w:qFormat="1" w:uiPriority="70"/>
    <w:lsdException w:name="Colorful Shading Accent 1" w:qFormat="1" w:uiPriority="71"/>
    <w:lsdException w:name="Colorful List Accent 1" w:qFormat="1" w:uiPriority="72"/>
    <w:lsdException w:name="Colorful Grid Accent 1" w:qFormat="1" w:uiPriority="73"/>
    <w:lsdException w:name="Light Shading Accent 2" w:qFormat="1" w:uiPriority="60"/>
    <w:lsdException w:name="Light List Accent 2" w:qFormat="1" w:uiPriority="61"/>
    <w:lsdException w:name="Light Grid Accent 2" w:qFormat="1" w:uiPriority="62"/>
    <w:lsdException w:name="Medium Shading 1 Accent 2" w:qFormat="1" w:uiPriority="63"/>
    <w:lsdException w:name="Medium Shading 2 Accent 2" w:qFormat="1" w:uiPriority="64"/>
    <w:lsdException w:name="Medium List 1 Accent 2" w:qFormat="1" w:uiPriority="65"/>
    <w:lsdException w:name="Medium List 2 Accent 2" w:qFormat="1" w:uiPriority="66"/>
    <w:lsdException w:name="Medium Grid 1 Accent 2" w:qFormat="1" w:uiPriority="67"/>
    <w:lsdException w:name="Medium Grid 2 Accent 2" w:qFormat="1" w:uiPriority="68"/>
    <w:lsdException w:name="Medium Grid 3 Accent 2" w:qFormat="1" w:uiPriority="69"/>
    <w:lsdException w:name="Dark List Accent 2" w:qFormat="1" w:uiPriority="70"/>
    <w:lsdException w:name="Colorful Shading Accent 2" w:qFormat="1" w:uiPriority="71"/>
    <w:lsdException w:name="Colorful List Accent 2" w:qFormat="1" w:uiPriority="72"/>
    <w:lsdException w:name="Colorful Grid Accent 2" w:qFormat="1" w:uiPriority="73"/>
    <w:lsdException w:name="Light Shading Accent 3" w:qFormat="1" w:uiPriority="60"/>
    <w:lsdException w:name="Light List Accent 3" w:qFormat="1" w:uiPriority="61"/>
    <w:lsdException w:name="Light Grid Accent 3" w:qFormat="1" w:uiPriority="62"/>
    <w:lsdException w:name="Medium Shading 1 Accent 3" w:qFormat="1" w:uiPriority="63"/>
    <w:lsdException w:name="Medium Shading 2 Accent 3" w:qFormat="1" w:uiPriority="64"/>
    <w:lsdException w:name="Medium List 1 Accent 3" w:qFormat="1" w:uiPriority="65"/>
    <w:lsdException w:name="Medium List 2 Accent 3" w:qFormat="1" w:uiPriority="66"/>
    <w:lsdException w:name="Medium Grid 1 Accent 3" w:qFormat="1" w:uiPriority="67"/>
    <w:lsdException w:name="Medium Grid 2 Accent 3" w:qFormat="1" w:uiPriority="68"/>
    <w:lsdException w:name="Medium Grid 3 Accent 3" w:qFormat="1" w:uiPriority="69"/>
    <w:lsdException w:name="Dark List Accent 3" w:qFormat="1" w:uiPriority="70"/>
    <w:lsdException w:name="Colorful Shading Accent 3" w:qFormat="1" w:uiPriority="71"/>
    <w:lsdException w:name="Colorful List Accent 3" w:qFormat="1" w:uiPriority="72"/>
    <w:lsdException w:name="Colorful Grid Accent 3" w:qFormat="1" w:uiPriority="73"/>
    <w:lsdException w:name="Light Shading Accent 4" w:qFormat="1" w:uiPriority="60"/>
    <w:lsdException w:name="Light List Accent 4" w:qFormat="1" w:uiPriority="61"/>
    <w:lsdException w:name="Light Grid Accent 4" w:qFormat="1" w:uiPriority="62"/>
    <w:lsdException w:name="Medium Shading 1 Accent 4" w:qFormat="1" w:uiPriority="63"/>
    <w:lsdException w:name="Medium Shading 2 Accent 4" w:qFormat="1" w:uiPriority="64"/>
    <w:lsdException w:name="Medium List 1 Accent 4" w:qFormat="1" w:uiPriority="65"/>
    <w:lsdException w:name="Medium List 2 Accent 4" w:qFormat="1" w:uiPriority="66"/>
    <w:lsdException w:name="Medium Grid 1 Accent 4" w:qFormat="1" w:uiPriority="67"/>
    <w:lsdException w:name="Medium Grid 2 Accent 4" w:qFormat="1" w:uiPriority="68"/>
    <w:lsdException w:name="Medium Grid 3 Accent 4" w:qFormat="1" w:uiPriority="69"/>
    <w:lsdException w:name="Dark List Accent 4" w:qFormat="1" w:uiPriority="70"/>
    <w:lsdException w:name="Colorful Shading Accent 4" w:qFormat="1" w:uiPriority="71"/>
    <w:lsdException w:name="Colorful List Accent 4" w:qFormat="1" w:uiPriority="72"/>
    <w:lsdException w:name="Colorful Grid Accent 4" w:qFormat="1" w:uiPriority="73"/>
    <w:lsdException w:name="Light Shading Accent 5" w:qFormat="1" w:uiPriority="60"/>
    <w:lsdException w:name="Light List Accent 5" w:qFormat="1" w:uiPriority="61"/>
    <w:lsdException w:name="Light Grid Accent 5" w:qFormat="1" w:uiPriority="62"/>
    <w:lsdException w:name="Medium Shading 1 Accent 5" w:uiPriority="63"/>
    <w:lsdException w:name="Medium Shading 2 Accent 5" w:qFormat="1" w:uiPriority="64"/>
    <w:lsdException w:name="Medium List 1 Accent 5" w:qFormat="1" w:uiPriority="65"/>
    <w:lsdException w:name="Medium List 2 Accent 5" w:qFormat="1" w:uiPriority="66"/>
    <w:lsdException w:name="Medium Grid 1 Accent 5" w:qFormat="1" w:uiPriority="67"/>
    <w:lsdException w:name="Medium Grid 2 Accent 5" w:qFormat="1" w:uiPriority="68"/>
    <w:lsdException w:name="Medium Grid 3 Accent 5" w:qFormat="1" w:uiPriority="69"/>
    <w:lsdException w:name="Dark List Accent 5" w:qFormat="1" w:uiPriority="70"/>
    <w:lsdException w:name="Colorful Shading Accent 5" w:qFormat="1" w:uiPriority="71"/>
    <w:lsdException w:name="Colorful List Accent 5" w:qFormat="1" w:uiPriority="72"/>
    <w:lsdException w:name="Colorful Grid Accent 5" w:qFormat="1" w:uiPriority="73"/>
    <w:lsdException w:name="Light Shading Accent 6" w:qFormat="1" w:uiPriority="60"/>
    <w:lsdException w:name="Light List Accent 6" w:qFormat="1" w:uiPriority="61"/>
    <w:lsdException w:name="Light Grid Accent 6" w:qFormat="1" w:uiPriority="62"/>
    <w:lsdException w:name="Medium Shading 1 Accent 6" w:qFormat="1" w:uiPriority="63"/>
    <w:lsdException w:name="Medium Shading 2 Accent 6" w:qFormat="1" w:uiPriority="64"/>
    <w:lsdException w:name="Medium List 1 Accent 6" w:qFormat="1" w:uiPriority="65"/>
    <w:lsdException w:name="Medium List 2 Accent 6" w:qFormat="1" w:uiPriority="66"/>
    <w:lsdException w:name="Medium Grid 1 Accent 6" w:qFormat="1" w:uiPriority="67"/>
    <w:lsdException w:name="Medium Grid 2 Accent 6" w:qFormat="1" w:uiPriority="68"/>
    <w:lsdException w:name="Medium Grid 3 Accent 6" w:qFormat="1" w:uiPriority="69"/>
    <w:lsdException w:name="Dark List Accent 6" w:qFormat="1" w:uiPriority="70"/>
    <w:lsdException w:name="Colorful Shading Accent 6" w:qFormat="1" w:uiPriority="71"/>
    <w:lsdException w:name="Colorful List Accent 6" w:qFormat="1" w:uiPriority="72"/>
    <w:lsdException w:name="Colorful Grid Accent 6" w:qFormat="1"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1" w:type="paragraph">
    <w:name w:val="Normal"/>
    <w:qFormat/>
    <w:pPr>
      <w:spacing w:after="200" w:line="276" w:lineRule="auto"/>
    </w:pPr>
    <w:rPr>
      <w:sz w:val="22"/>
      <w:szCs w:val="22"/>
      <w:lang w:eastAsia="en-US"/>
    </w:rPr>
  </w:style>
  <w:style w:styleId="1" w:type="paragraph">
    <w:name w:val="heading 1"/>
    <w:basedOn w:val="a1"/>
    <w:next w:val="a1"/>
    <w:link w:val="10"/>
    <w:uiPriority w:val="9"/>
    <w:qFormat/>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21" w:type="paragraph">
    <w:name w:val="heading 2"/>
    <w:basedOn w:val="a1"/>
    <w:next w:val="a1"/>
    <w:link w:val="22"/>
    <w:uiPriority w:val="9"/>
    <w:unhideWhenUsed/>
    <w:qFormat/>
    <w:pPr>
      <w:keepNext/>
      <w:keepLines/>
      <w:spacing w:after="0" w:before="200"/>
      <w:outlineLvl w:val="1"/>
    </w:pPr>
    <w:rPr>
      <w:rFonts w:asciiTheme="majorHAnsi" w:cstheme="majorBidi" w:eastAsiaTheme="majorEastAsia" w:hAnsiTheme="majorHAnsi"/>
      <w:b/>
      <w:bCs/>
      <w:color w:themeColor="accent1" w:val="4F81BD"/>
      <w:sz w:val="26"/>
      <w:szCs w:val="26"/>
    </w:rPr>
  </w:style>
  <w:style w:styleId="31" w:type="paragraph">
    <w:name w:val="heading 3"/>
    <w:basedOn w:val="a1"/>
    <w:next w:val="a1"/>
    <w:link w:val="32"/>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1"/>
    <w:next w:val="a1"/>
    <w:link w:val="40"/>
    <w:uiPriority w:val="9"/>
    <w:semiHidden/>
    <w:unhideWhenUsed/>
    <w:qFormat/>
    <w:pPr>
      <w:keepNext/>
      <w:keepLines/>
      <w:spacing w:after="0" w:before="200"/>
      <w:outlineLvl w:val="3"/>
    </w:pPr>
    <w:rPr>
      <w:rFonts w:asciiTheme="majorHAnsi" w:cstheme="majorBidi" w:eastAsiaTheme="majorEastAsia" w:hAnsiTheme="majorHAnsi"/>
      <w:b/>
      <w:bCs/>
      <w:i/>
      <w:iCs/>
      <w:color w:themeColor="accent1" w:val="4F81BD"/>
    </w:rPr>
  </w:style>
  <w:style w:styleId="5" w:type="paragraph">
    <w:name w:val="heading 5"/>
    <w:basedOn w:val="a1"/>
    <w:next w:val="a1"/>
    <w:link w:val="50"/>
    <w:uiPriority w:val="9"/>
    <w:semiHidden/>
    <w:unhideWhenUsed/>
    <w:qFormat/>
    <w:pPr>
      <w:keepNext/>
      <w:keepLines/>
      <w:spacing w:after="0" w:before="200"/>
      <w:outlineLvl w:val="4"/>
    </w:pPr>
    <w:rPr>
      <w:rFonts w:asciiTheme="majorHAnsi" w:cstheme="majorBidi" w:eastAsiaTheme="majorEastAsia" w:hAnsiTheme="majorHAnsi"/>
      <w:color w:themeColor="accent1" w:themeShade="80" w:val="244061"/>
    </w:rPr>
  </w:style>
  <w:style w:styleId="6" w:type="paragraph">
    <w:name w:val="heading 6"/>
    <w:basedOn w:val="a1"/>
    <w:next w:val="a1"/>
    <w:link w:val="60"/>
    <w:uiPriority w:val="9"/>
    <w:semiHidden/>
    <w:unhideWhenUsed/>
    <w:qFormat/>
    <w:pPr>
      <w:keepNext/>
      <w:keepLines/>
      <w:spacing w:after="0" w:before="200"/>
      <w:outlineLvl w:val="5"/>
    </w:pPr>
    <w:rPr>
      <w:rFonts w:asciiTheme="majorHAnsi" w:cstheme="majorBidi" w:eastAsiaTheme="majorEastAsia" w:hAnsiTheme="majorHAnsi"/>
      <w:i/>
      <w:iCs/>
      <w:color w:themeColor="accent1" w:themeShade="80" w:val="244061"/>
    </w:rPr>
  </w:style>
  <w:style w:styleId="7" w:type="paragraph">
    <w:name w:val="heading 7"/>
    <w:basedOn w:val="a1"/>
    <w:next w:val="a1"/>
    <w:link w:val="70"/>
    <w:uiPriority w:val="9"/>
    <w:semiHidden/>
    <w:unhideWhenUsed/>
    <w:qFormat/>
    <w:pPr>
      <w:keepNext/>
      <w:keepLines/>
      <w:spacing w:after="0" w:before="200"/>
      <w:outlineLvl w:val="6"/>
    </w:pPr>
    <w:rPr>
      <w:rFonts w:asciiTheme="majorHAnsi" w:cstheme="majorBidi" w:eastAsiaTheme="majorEastAsia" w:hAnsiTheme="majorHAnsi"/>
      <w:i/>
      <w:iCs/>
      <w:color w:themeColor="text1" w:themeTint="BF" w:val="404040"/>
    </w:rPr>
  </w:style>
  <w:style w:styleId="8" w:type="paragraph">
    <w:name w:val="heading 8"/>
    <w:basedOn w:val="a1"/>
    <w:next w:val="a1"/>
    <w:link w:val="80"/>
    <w:uiPriority w:val="9"/>
    <w:semiHidden/>
    <w:unhideWhenUsed/>
    <w:qFormat/>
    <w:pPr>
      <w:keepNext/>
      <w:keepLines/>
      <w:spacing w:after="0" w:before="200"/>
      <w:outlineLvl w:val="7"/>
    </w:pPr>
    <w:rPr>
      <w:rFonts w:asciiTheme="majorHAnsi" w:cstheme="majorBidi" w:eastAsiaTheme="majorEastAsia" w:hAnsiTheme="majorHAnsi"/>
      <w:color w:themeColor="accent1" w:val="4F81BD"/>
      <w:sz w:val="20"/>
      <w:szCs w:val="20"/>
    </w:rPr>
  </w:style>
  <w:style w:styleId="9" w:type="paragraph">
    <w:name w:val="heading 9"/>
    <w:basedOn w:val="a1"/>
    <w:next w:val="a1"/>
    <w:link w:val="90"/>
    <w:uiPriority w:val="9"/>
    <w:semiHidden/>
    <w:unhideWhenUsed/>
    <w:qFormat/>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paragraph">
    <w:name w:val="macro"/>
    <w:link w:val="a6"/>
    <w:uiPriority w:val="99"/>
    <w:unhideWhenUsed/>
    <w:pPr>
      <w:tabs>
        <w:tab w:pos="576" w:val="left"/>
        <w:tab w:pos="1152" w:val="left"/>
        <w:tab w:pos="1728" w:val="left"/>
        <w:tab w:pos="2304" w:val="left"/>
        <w:tab w:pos="2880" w:val="left"/>
        <w:tab w:pos="3456" w:val="left"/>
        <w:tab w:pos="4032" w:val="left"/>
      </w:tabs>
      <w:spacing w:after="200" w:line="276" w:lineRule="auto"/>
    </w:pPr>
    <w:rPr>
      <w:rFonts w:ascii="Courier" w:hAnsi="Courier"/>
      <w:lang w:eastAsia="en-US"/>
    </w:rPr>
  </w:style>
  <w:style w:styleId="33" w:type="paragraph">
    <w:name w:val="List 3"/>
    <w:basedOn w:val="a1"/>
    <w:uiPriority w:val="99"/>
    <w:unhideWhenUsed/>
    <w:qFormat/>
    <w:pPr>
      <w:ind w:hanging="360" w:left="1080"/>
      <w:contextualSpacing/>
    </w:pPr>
  </w:style>
  <w:style w:styleId="2" w:type="paragraph">
    <w:name w:val="List Number 2"/>
    <w:basedOn w:val="a1"/>
    <w:uiPriority w:val="99"/>
    <w:unhideWhenUsed/>
    <w:qFormat/>
    <w:pPr>
      <w:numPr>
        <w:numId w:val="1"/>
      </w:numPr>
      <w:contextualSpacing/>
    </w:pPr>
  </w:style>
  <w:style w:styleId="a" w:type="paragraph">
    <w:name w:val="List Number"/>
    <w:basedOn w:val="a1"/>
    <w:uiPriority w:val="99"/>
    <w:unhideWhenUsed/>
    <w:qFormat/>
    <w:pPr>
      <w:numPr>
        <w:numId w:val="2"/>
      </w:numPr>
      <w:contextualSpacing/>
    </w:pPr>
  </w:style>
  <w:style w:styleId="a7" w:type="paragraph">
    <w:name w:val="caption"/>
    <w:basedOn w:val="a1"/>
    <w:next w:val="a1"/>
    <w:uiPriority w:val="35"/>
    <w:semiHidden/>
    <w:unhideWhenUsed/>
    <w:qFormat/>
    <w:pPr>
      <w:spacing w:line="240" w:lineRule="auto"/>
    </w:pPr>
    <w:rPr>
      <w:b/>
      <w:bCs/>
      <w:color w:themeColor="accent1" w:val="4F81BD"/>
      <w:sz w:val="18"/>
      <w:szCs w:val="18"/>
    </w:rPr>
  </w:style>
  <w:style w:styleId="a0" w:type="paragraph">
    <w:name w:val="List Bullet"/>
    <w:basedOn w:val="a1"/>
    <w:uiPriority w:val="99"/>
    <w:unhideWhenUsed/>
    <w:pPr>
      <w:numPr>
        <w:numId w:val="3"/>
      </w:numPr>
      <w:contextualSpacing/>
    </w:pPr>
  </w:style>
  <w:style w:styleId="34" w:type="paragraph">
    <w:name w:val="Body Text 3"/>
    <w:basedOn w:val="a1"/>
    <w:link w:val="35"/>
    <w:uiPriority w:val="99"/>
    <w:unhideWhenUsed/>
    <w:qFormat/>
    <w:pPr>
      <w:spacing w:after="120"/>
    </w:pPr>
    <w:rPr>
      <w:sz w:val="16"/>
      <w:szCs w:val="16"/>
    </w:rPr>
  </w:style>
  <w:style w:styleId="30" w:type="paragraph">
    <w:name w:val="List Bullet 3"/>
    <w:basedOn w:val="a1"/>
    <w:uiPriority w:val="99"/>
    <w:unhideWhenUsed/>
    <w:qFormat/>
    <w:pPr>
      <w:numPr>
        <w:numId w:val="4"/>
      </w:numPr>
      <w:contextualSpacing/>
    </w:pPr>
  </w:style>
  <w:style w:styleId="a8" w:type="paragraph">
    <w:name w:val="Body Text"/>
    <w:basedOn w:val="a1"/>
    <w:link w:val="a9"/>
    <w:uiPriority w:val="99"/>
    <w:unhideWhenUsed/>
    <w:qFormat/>
    <w:pPr>
      <w:spacing w:after="120"/>
    </w:pPr>
  </w:style>
  <w:style w:styleId="3" w:type="paragraph">
    <w:name w:val="List Number 3"/>
    <w:basedOn w:val="a1"/>
    <w:uiPriority w:val="99"/>
    <w:unhideWhenUsed/>
    <w:pPr>
      <w:numPr>
        <w:numId w:val="5"/>
      </w:numPr>
      <w:contextualSpacing/>
    </w:pPr>
  </w:style>
  <w:style w:styleId="23" w:type="paragraph">
    <w:name w:val="List 2"/>
    <w:basedOn w:val="a1"/>
    <w:uiPriority w:val="99"/>
    <w:unhideWhenUsed/>
    <w:qFormat/>
    <w:pPr>
      <w:ind w:hanging="360" w:left="720"/>
      <w:contextualSpacing/>
    </w:pPr>
  </w:style>
  <w:style w:styleId="aa" w:type="paragraph">
    <w:name w:val="List Continue"/>
    <w:basedOn w:val="a1"/>
    <w:uiPriority w:val="99"/>
    <w:unhideWhenUsed/>
    <w:qFormat/>
    <w:pPr>
      <w:spacing w:after="120"/>
      <w:ind w:left="360"/>
      <w:contextualSpacing/>
    </w:pPr>
  </w:style>
  <w:style w:styleId="20" w:type="paragraph">
    <w:name w:val="List Bullet 2"/>
    <w:basedOn w:val="a1"/>
    <w:uiPriority w:val="99"/>
    <w:unhideWhenUsed/>
    <w:qFormat/>
    <w:pPr>
      <w:numPr>
        <w:numId w:val="6"/>
      </w:numPr>
      <w:contextualSpacing/>
    </w:pPr>
  </w:style>
  <w:style w:styleId="ab" w:type="paragraph">
    <w:name w:val="footer"/>
    <w:basedOn w:val="a1"/>
    <w:link w:val="ac"/>
    <w:uiPriority w:val="99"/>
    <w:unhideWhenUsed/>
    <w:qFormat/>
    <w:pPr>
      <w:tabs>
        <w:tab w:pos="4680" w:val="center"/>
        <w:tab w:pos="9360" w:val="right"/>
      </w:tabs>
      <w:spacing w:after="0" w:line="240" w:lineRule="auto"/>
    </w:pPr>
  </w:style>
  <w:style w:styleId="ad" w:type="paragraph">
    <w:name w:val="header"/>
    <w:basedOn w:val="a1"/>
    <w:link w:val="ae"/>
    <w:uiPriority w:val="99"/>
    <w:unhideWhenUsed/>
    <w:qFormat/>
    <w:pPr>
      <w:tabs>
        <w:tab w:pos="4680" w:val="center"/>
        <w:tab w:pos="9360" w:val="right"/>
      </w:tabs>
      <w:spacing w:after="0" w:line="240" w:lineRule="auto"/>
    </w:pPr>
  </w:style>
  <w:style w:styleId="af" w:type="paragraph">
    <w:name w:val="Subtitle"/>
    <w:basedOn w:val="a1"/>
    <w:next w:val="a1"/>
    <w:link w:val="af0"/>
    <w:uiPriority w:val="11"/>
    <w:qFormat/>
    <w:rPr>
      <w:rFonts w:asciiTheme="majorHAnsi" w:cstheme="majorBidi" w:eastAsiaTheme="majorEastAsia" w:hAnsiTheme="majorHAnsi"/>
      <w:i/>
      <w:iCs/>
      <w:color w:themeColor="accent1" w:val="4F81BD"/>
      <w:spacing w:val="15"/>
      <w:sz w:val="24"/>
      <w:szCs w:val="24"/>
    </w:rPr>
  </w:style>
  <w:style w:styleId="af1" w:type="paragraph">
    <w:name w:val="List"/>
    <w:basedOn w:val="a1"/>
    <w:uiPriority w:val="99"/>
    <w:unhideWhenUsed/>
    <w:qFormat/>
    <w:pPr>
      <w:ind w:hanging="360" w:left="360"/>
      <w:contextualSpacing/>
    </w:pPr>
  </w:style>
  <w:style w:styleId="24" w:type="paragraph">
    <w:name w:val="Body Text 2"/>
    <w:basedOn w:val="a1"/>
    <w:link w:val="25"/>
    <w:uiPriority w:val="99"/>
    <w:unhideWhenUsed/>
    <w:qFormat/>
    <w:pPr>
      <w:spacing w:after="120" w:line="480" w:lineRule="auto"/>
    </w:pPr>
  </w:style>
  <w:style w:styleId="26" w:type="paragraph">
    <w:name w:val="List Continue 2"/>
    <w:basedOn w:val="a1"/>
    <w:uiPriority w:val="99"/>
    <w:unhideWhenUsed/>
    <w:qFormat/>
    <w:pPr>
      <w:spacing w:after="120"/>
      <w:ind w:left="720"/>
      <w:contextualSpacing/>
    </w:pPr>
  </w:style>
  <w:style w:styleId="36" w:type="paragraph">
    <w:name w:val="List Continue 3"/>
    <w:basedOn w:val="a1"/>
    <w:uiPriority w:val="99"/>
    <w:unhideWhenUsed/>
    <w:qFormat/>
    <w:pPr>
      <w:spacing w:after="120"/>
      <w:ind w:left="1080"/>
      <w:contextualSpacing/>
    </w:pPr>
  </w:style>
  <w:style w:styleId="af2" w:type="paragraph">
    <w:name w:val="Title"/>
    <w:basedOn w:val="a1"/>
    <w:next w:val="a1"/>
    <w:link w:val="af3"/>
    <w:uiPriority w:val="10"/>
    <w:qFormat/>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styleId="af4" w:type="table">
    <w:name w:val="Table Grid"/>
    <w:basedOn w:val="a3"/>
    <w:uiPriority w:val="59"/>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5" w:type="table">
    <w:name w:val="Light Shading"/>
    <w:basedOn w:val="a3"/>
    <w:uiPriority w:val="60"/>
    <w:qFormat/>
    <w:rPr>
      <w:color w:themeColor="text1" w:themeShade="BF" w:val="000000"/>
    </w:rPr>
    <w:tblPr>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1" w:type="table">
    <w:name w:val="Light Shading Accent 1"/>
    <w:basedOn w:val="a3"/>
    <w:uiPriority w:val="60"/>
    <w:qFormat/>
    <w:rPr>
      <w:color w:themeColor="accent1" w:themeShade="BF" w:val="365F91"/>
    </w:rPr>
    <w:tblPr>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2" w:type="table">
    <w:name w:val="Light Shading Accent 2"/>
    <w:basedOn w:val="a3"/>
    <w:uiPriority w:val="60"/>
    <w:qFormat/>
    <w:rPr>
      <w:color w:themeColor="accent2" w:themeShade="BF" w:val="943634"/>
    </w:rPr>
    <w:tblPr>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3" w:type="table">
    <w:name w:val="Light Shading Accent 3"/>
    <w:basedOn w:val="a3"/>
    <w:uiPriority w:val="60"/>
    <w:qFormat/>
    <w:rPr>
      <w:color w:themeColor="accent3" w:themeShade="BF" w:val="76923C"/>
    </w:rPr>
    <w:tblPr>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4" w:type="table">
    <w:name w:val="Light Shading Accent 4"/>
    <w:basedOn w:val="a3"/>
    <w:uiPriority w:val="60"/>
    <w:qFormat/>
    <w:rPr>
      <w:color w:themeColor="accent4" w:themeShade="BF" w:val="5F497A"/>
    </w:rPr>
    <w:tblPr>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5" w:type="table">
    <w:name w:val="Light Shading Accent 5"/>
    <w:basedOn w:val="a3"/>
    <w:uiPriority w:val="60"/>
    <w:qFormat/>
    <w:rPr>
      <w:color w:themeColor="accent5" w:themeShade="BF" w:val="31849B"/>
    </w:rPr>
    <w:tblPr>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6" w:type="table">
    <w:name w:val="Light Shading Accent 6"/>
    <w:basedOn w:val="a3"/>
    <w:uiPriority w:val="60"/>
    <w:qFormat/>
    <w:rPr>
      <w:color w:themeColor="accent6" w:themeShade="BF" w:val="E36C0A"/>
    </w:rPr>
    <w:tblPr>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af6" w:type="table">
    <w:name w:val="Light List"/>
    <w:basedOn w:val="a3"/>
    <w:uiPriority w:val="61"/>
    <w:qFormat/>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10" w:type="table">
    <w:name w:val="Light List Accent 1"/>
    <w:basedOn w:val="a3"/>
    <w:uiPriority w:val="61"/>
    <w:qFormat/>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20" w:type="table">
    <w:name w:val="Light List Accent 2"/>
    <w:basedOn w:val="a3"/>
    <w:uiPriority w:val="61"/>
    <w:qFormat/>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30" w:type="table">
    <w:name w:val="Light List Accent 3"/>
    <w:basedOn w:val="a3"/>
    <w:uiPriority w:val="61"/>
    <w:qFormat/>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0" w:type="table">
    <w:name w:val="Light List Accent 4"/>
    <w:basedOn w:val="a3"/>
    <w:uiPriority w:val="61"/>
    <w:qFormat/>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50" w:type="table">
    <w:name w:val="Light List Accent 5"/>
    <w:basedOn w:val="a3"/>
    <w:uiPriority w:val="61"/>
    <w:qFormat/>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60" w:type="table">
    <w:name w:val="Light List Accent 6"/>
    <w:basedOn w:val="a3"/>
    <w:uiPriority w:val="61"/>
    <w:qFormat/>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af7" w:type="table">
    <w:name w:val="Light Grid"/>
    <w:basedOn w:val="a3"/>
    <w:uiPriority w:val="62"/>
    <w:qFormat/>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auto" w:space="0" w:sz="8"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auto" w:space="0" w:sz="8" w:val="single"/>
        </w:tcBorders>
      </w:tcPr>
    </w:tblStylePr>
  </w:style>
  <w:style w:styleId="-11" w:type="table">
    <w:name w:val="Light Grid Accent 1"/>
    <w:basedOn w:val="a3"/>
    <w:uiPriority w:val="62"/>
    <w:qFormat/>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auto" w:space="0" w:sz="8"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auto" w:space="0" w:sz="8" w:val="single"/>
        </w:tcBorders>
      </w:tcPr>
    </w:tblStylePr>
  </w:style>
  <w:style w:styleId="-21" w:type="table">
    <w:name w:val="Light Grid Accent 2"/>
    <w:basedOn w:val="a3"/>
    <w:uiPriority w:val="62"/>
    <w:qFormat/>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auto" w:space="0" w:sz="8"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auto" w:space="0" w:sz="8" w:val="single"/>
        </w:tcBorders>
      </w:tcPr>
    </w:tblStylePr>
  </w:style>
  <w:style w:styleId="-31" w:type="table">
    <w:name w:val="Light Grid Accent 3"/>
    <w:basedOn w:val="a3"/>
    <w:uiPriority w:val="62"/>
    <w:qFormat/>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auto" w:space="0" w:sz="8"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auto" w:space="0" w:sz="8" w:val="single"/>
        </w:tcBorders>
      </w:tcPr>
    </w:tblStylePr>
  </w:style>
  <w:style w:styleId="-41" w:type="table">
    <w:name w:val="Light Grid Accent 4"/>
    <w:basedOn w:val="a3"/>
    <w:uiPriority w:val="62"/>
    <w:qFormat/>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auto" w:space="0" w:sz="8"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auto" w:space="0" w:sz="8" w:val="single"/>
        </w:tcBorders>
      </w:tcPr>
    </w:tblStylePr>
  </w:style>
  <w:style w:styleId="-51" w:type="table">
    <w:name w:val="Light Grid Accent 5"/>
    <w:basedOn w:val="a3"/>
    <w:uiPriority w:val="62"/>
    <w:qFormat/>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auto" w:space="0" w:sz="8"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auto" w:space="0" w:sz="8" w:val="single"/>
        </w:tcBorders>
      </w:tcPr>
    </w:tblStylePr>
  </w:style>
  <w:style w:styleId="-61" w:type="table">
    <w:name w:val="Light Grid Accent 6"/>
    <w:basedOn w:val="a3"/>
    <w:uiPriority w:val="62"/>
    <w:qFormat/>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auto" w:space="0" w:sz="8"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auto" w:space="0" w:sz="8" w:val="single"/>
        </w:tcBorders>
      </w:tcPr>
    </w:tblStylePr>
  </w:style>
  <w:style w:styleId="11" w:type="table">
    <w:name w:val="Medium Shading 1"/>
    <w:basedOn w:val="a3"/>
    <w:uiPriority w:val="63"/>
    <w:qFormat/>
    <w:tblPr>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1-1" w:type="table">
    <w:name w:val="Medium Shading 1 Accent 1"/>
    <w:basedOn w:val="a3"/>
    <w:uiPriority w:val="63"/>
    <w:qFormat/>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1-2" w:type="table">
    <w:name w:val="Medium Shading 1 Accent 2"/>
    <w:basedOn w:val="a3"/>
    <w:uiPriority w:val="63"/>
    <w:qFormat/>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1-3" w:type="table">
    <w:name w:val="Medium Shading 1 Accent 3"/>
    <w:basedOn w:val="a3"/>
    <w:uiPriority w:val="63"/>
    <w:qFormat/>
    <w:tblPr>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1-4" w:type="table">
    <w:name w:val="Medium Shading 1 Accent 4"/>
    <w:basedOn w:val="a3"/>
    <w:uiPriority w:val="63"/>
    <w:qFormat/>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1-5" w:type="table">
    <w:name w:val="Medium Shading 1 Accent 5"/>
    <w:basedOn w:val="a3"/>
    <w:uiPriority w:val="63"/>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1-6" w:type="table">
    <w:name w:val="Medium Shading 1 Accent 6"/>
    <w:basedOn w:val="a3"/>
    <w:uiPriority w:val="63"/>
    <w:qFormat/>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27" w:type="table">
    <w:name w:val="Medium Shading 2"/>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1" w:type="table">
    <w:name w:val="Medium Shading 2 Accent 1"/>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2" w:type="table">
    <w:name w:val="Medium Shading 2 Accent 2"/>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3" w:type="table">
    <w:name w:val="Medium Shading 2 Accent 3"/>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4" w:type="table">
    <w:name w:val="Medium Shading 2 Accent 4"/>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5" w:type="table">
    <w:name w:val="Medium Shading 2 Accent 5"/>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6" w:type="table">
    <w:name w:val="Medium Shading 2 Accent 6"/>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12" w:type="table">
    <w:name w:val="Medium List 1"/>
    <w:basedOn w:val="a3"/>
    <w:uiPriority w:val="65"/>
    <w:qFormat/>
    <w:rPr>
      <w:color w:themeColor="text1" w:val="000000"/>
    </w:rPr>
    <w:tblPr>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1-10" w:type="table">
    <w:name w:val="Medium List 1 Accent 1"/>
    <w:basedOn w:val="a3"/>
    <w:uiPriority w:val="65"/>
    <w:qFormat/>
    <w:rPr>
      <w:color w:themeColor="text1" w:val="000000"/>
    </w:rPr>
    <w:tblPr>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1-20" w:type="table">
    <w:name w:val="Medium List 1 Accent 2"/>
    <w:basedOn w:val="a3"/>
    <w:uiPriority w:val="65"/>
    <w:qFormat/>
    <w:rPr>
      <w:color w:themeColor="text1" w:val="000000"/>
    </w:rPr>
    <w:tblPr>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1-30" w:type="table">
    <w:name w:val="Medium List 1 Accent 3"/>
    <w:basedOn w:val="a3"/>
    <w:uiPriority w:val="65"/>
    <w:qFormat/>
    <w:rPr>
      <w:color w:themeColor="text1" w:val="000000"/>
    </w:rPr>
    <w:tblPr>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1-40" w:type="table">
    <w:name w:val="Medium List 1 Accent 4"/>
    <w:basedOn w:val="a3"/>
    <w:uiPriority w:val="65"/>
    <w:qFormat/>
    <w:rPr>
      <w:color w:themeColor="text1" w:val="000000"/>
    </w:rPr>
    <w:tblPr>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1-50" w:type="table">
    <w:name w:val="Medium List 1 Accent 5"/>
    <w:basedOn w:val="a3"/>
    <w:uiPriority w:val="65"/>
    <w:qFormat/>
    <w:rPr>
      <w:color w:themeColor="text1" w:val="000000"/>
    </w:rPr>
    <w:tblPr>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1-60" w:type="table">
    <w:name w:val="Medium List 1 Accent 6"/>
    <w:basedOn w:val="a3"/>
    <w:uiPriority w:val="65"/>
    <w:qFormat/>
    <w:rPr>
      <w:color w:themeColor="text1" w:val="000000"/>
    </w:rPr>
    <w:tblPr>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28" w:type="table">
    <w:name w:val="Medium List 2"/>
    <w:basedOn w:val="a3"/>
    <w:uiPriority w:val="66"/>
    <w:qFormat/>
    <w:rPr>
      <w:rFonts w:asciiTheme="majorHAnsi" w:cstheme="majorBidi" w:eastAsiaTheme="majorEastAsia" w:hAnsiTheme="majorHAnsi"/>
      <w:color w:themeColor="text1" w:val="000000"/>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2-10" w:type="table">
    <w:name w:val="Medium List 2 Accent 1"/>
    <w:basedOn w:val="a3"/>
    <w:uiPriority w:val="66"/>
    <w:qFormat/>
    <w:rPr>
      <w:rFonts w:asciiTheme="majorHAnsi" w:cstheme="majorBidi" w:eastAsiaTheme="majorEastAsia" w:hAnsiTheme="majorHAnsi"/>
      <w:color w:themeColor="text1" w:val="000000"/>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2-20" w:type="table">
    <w:name w:val="Medium List 2 Accent 2"/>
    <w:basedOn w:val="a3"/>
    <w:uiPriority w:val="66"/>
    <w:qFormat/>
    <w:rPr>
      <w:rFonts w:asciiTheme="majorHAnsi" w:cstheme="majorBidi" w:eastAsiaTheme="majorEastAsia" w:hAnsiTheme="majorHAnsi"/>
      <w:color w:themeColor="text1" w:val="000000"/>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2-30" w:type="table">
    <w:name w:val="Medium List 2 Accent 3"/>
    <w:basedOn w:val="a3"/>
    <w:uiPriority w:val="66"/>
    <w:qFormat/>
    <w:rPr>
      <w:rFonts w:asciiTheme="majorHAnsi" w:cstheme="majorBidi" w:eastAsiaTheme="majorEastAsia" w:hAnsiTheme="majorHAnsi"/>
      <w:color w:themeColor="text1" w:val="000000"/>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2-40" w:type="table">
    <w:name w:val="Medium List 2 Accent 4"/>
    <w:basedOn w:val="a3"/>
    <w:uiPriority w:val="66"/>
    <w:qFormat/>
    <w:rPr>
      <w:rFonts w:asciiTheme="majorHAnsi" w:cstheme="majorBidi" w:eastAsiaTheme="majorEastAsia" w:hAnsiTheme="majorHAnsi"/>
      <w:color w:themeColor="text1" w:val="000000"/>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2-50" w:type="table">
    <w:name w:val="Medium List 2 Accent 5"/>
    <w:basedOn w:val="a3"/>
    <w:uiPriority w:val="66"/>
    <w:qFormat/>
    <w:rPr>
      <w:rFonts w:asciiTheme="majorHAnsi" w:cstheme="majorBidi" w:eastAsiaTheme="majorEastAsia" w:hAnsiTheme="majorHAnsi"/>
      <w:color w:themeColor="text1" w:val="000000"/>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2-60" w:type="table">
    <w:name w:val="Medium List 2 Accent 6"/>
    <w:basedOn w:val="a3"/>
    <w:uiPriority w:val="66"/>
    <w:qFormat/>
    <w:rPr>
      <w:rFonts w:asciiTheme="majorHAnsi" w:cstheme="majorBidi" w:eastAsiaTheme="majorEastAsia" w:hAnsiTheme="majorHAnsi"/>
      <w:color w:themeColor="text1" w:val="000000"/>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13" w:type="table">
    <w:name w:val="Medium Grid 1"/>
    <w:basedOn w:val="a3"/>
    <w:uiPriority w:val="67"/>
    <w:qFormat/>
    <w:tblPr>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11" w:type="table">
    <w:name w:val="Medium Grid 1 Accent 1"/>
    <w:basedOn w:val="a3"/>
    <w:uiPriority w:val="67"/>
    <w:qFormat/>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1-21" w:type="table">
    <w:name w:val="Medium Grid 1 Accent 2"/>
    <w:basedOn w:val="a3"/>
    <w:uiPriority w:val="67"/>
    <w:qFormat/>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31" w:type="table">
    <w:name w:val="Medium Grid 1 Accent 3"/>
    <w:basedOn w:val="a3"/>
    <w:uiPriority w:val="67"/>
    <w:qFormat/>
    <w:tblPr>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41" w:type="table">
    <w:name w:val="Medium Grid 1 Accent 4"/>
    <w:basedOn w:val="a3"/>
    <w:uiPriority w:val="67"/>
    <w:qFormat/>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51" w:type="table">
    <w:name w:val="Medium Grid 1 Accent 5"/>
    <w:basedOn w:val="a3"/>
    <w:uiPriority w:val="67"/>
    <w:qFormat/>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61" w:type="table">
    <w:name w:val="Medium Grid 1 Accent 6"/>
    <w:basedOn w:val="a3"/>
    <w:uiPriority w:val="67"/>
    <w:qFormat/>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29" w:type="table">
    <w:name w:val="Medium Grid 2"/>
    <w:basedOn w:val="a3"/>
    <w:uiPriority w:val="68"/>
    <w:qFormat/>
    <w:rPr>
      <w:rFonts w:asciiTheme="majorHAnsi" w:cstheme="majorBidi" w:eastAsiaTheme="majorEastAsia" w:hAnsiTheme="majorHAnsi"/>
      <w:color w:themeColor="text1" w:val="000000"/>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auto" w:space="0" w:sz="6" w:val="single"/>
          <w:insideV w:color="auto" w:space="0" w:sz="6" w:val="single"/>
        </w:tcBorders>
        <w:shd w:color="auto" w:fill="808080" w:themeFill="text1" w:themeFillTint="7F" w:val="clear"/>
      </w:tcPr>
    </w:tblStylePr>
    <w:tblStylePr w:type="nwCell">
      <w:tblPr/>
      <w:tcPr>
        <w:shd w:color="auto" w:fill="FFFFFF" w:themeFill="background1" w:val="clear"/>
      </w:tcPr>
    </w:tblStylePr>
  </w:style>
  <w:style w:styleId="2-11" w:type="table">
    <w:name w:val="Medium Grid 2 Accent 1"/>
    <w:basedOn w:val="a3"/>
    <w:uiPriority w:val="68"/>
    <w:qFormat/>
    <w:rPr>
      <w:rFonts w:asciiTheme="majorHAnsi" w:cstheme="majorBidi" w:eastAsiaTheme="majorEastAsia" w:hAnsiTheme="majorHAnsi"/>
      <w:color w:themeColor="text1" w:val="000000"/>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auto" w:space="0" w:sz="6" w:val="single"/>
          <w:insideV w:color="auto" w:space="0" w:sz="6" w:val="single"/>
        </w:tcBorders>
        <w:shd w:color="auto" w:fill="A7BFDE" w:themeFill="accent1" w:themeFillTint="7F" w:val="clear"/>
      </w:tcPr>
    </w:tblStylePr>
    <w:tblStylePr w:type="nwCell">
      <w:tblPr/>
      <w:tcPr>
        <w:shd w:color="auto" w:fill="FFFFFF" w:themeFill="background1" w:val="clear"/>
      </w:tcPr>
    </w:tblStylePr>
  </w:style>
  <w:style w:styleId="2-21" w:type="table">
    <w:name w:val="Medium Grid 2 Accent 2"/>
    <w:basedOn w:val="a3"/>
    <w:uiPriority w:val="68"/>
    <w:qFormat/>
    <w:rPr>
      <w:rFonts w:asciiTheme="majorHAnsi" w:cstheme="majorBidi" w:eastAsiaTheme="majorEastAsia" w:hAnsiTheme="majorHAnsi"/>
      <w:color w:themeColor="text1" w:val="000000"/>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auto" w:space="0" w:sz="6" w:val="single"/>
          <w:insideV w:color="auto" w:space="0" w:sz="6" w:val="single"/>
        </w:tcBorders>
        <w:shd w:color="auto" w:fill="DFA7A6" w:themeFill="accent2" w:themeFillTint="7F" w:val="clear"/>
      </w:tcPr>
    </w:tblStylePr>
    <w:tblStylePr w:type="nwCell">
      <w:tblPr/>
      <w:tcPr>
        <w:shd w:color="auto" w:fill="FFFFFF" w:themeFill="background1" w:val="clear"/>
      </w:tcPr>
    </w:tblStylePr>
  </w:style>
  <w:style w:styleId="2-31" w:type="table">
    <w:name w:val="Medium Grid 2 Accent 3"/>
    <w:basedOn w:val="a3"/>
    <w:uiPriority w:val="68"/>
    <w:qFormat/>
    <w:rPr>
      <w:rFonts w:asciiTheme="majorHAnsi" w:cstheme="majorBidi" w:eastAsiaTheme="majorEastAsia" w:hAnsiTheme="majorHAnsi"/>
      <w:color w:themeColor="text1" w:val="000000"/>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auto" w:space="0" w:sz="6" w:val="single"/>
          <w:insideV w:color="auto" w:space="0" w:sz="6" w:val="single"/>
        </w:tcBorders>
        <w:shd w:color="auto" w:fill="CDDDAC" w:themeFill="accent3" w:themeFillTint="7F" w:val="clear"/>
      </w:tcPr>
    </w:tblStylePr>
    <w:tblStylePr w:type="nwCell">
      <w:tblPr/>
      <w:tcPr>
        <w:shd w:color="auto" w:fill="FFFFFF" w:themeFill="background1" w:val="clear"/>
      </w:tcPr>
    </w:tblStylePr>
  </w:style>
  <w:style w:styleId="2-41" w:type="table">
    <w:name w:val="Medium Grid 2 Accent 4"/>
    <w:basedOn w:val="a3"/>
    <w:uiPriority w:val="68"/>
    <w:qFormat/>
    <w:rPr>
      <w:rFonts w:asciiTheme="majorHAnsi" w:cstheme="majorBidi" w:eastAsiaTheme="majorEastAsia" w:hAnsiTheme="majorHAnsi"/>
      <w:color w:themeColor="text1" w:val="000000"/>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auto" w:space="0" w:sz="6" w:val="single"/>
          <w:insideV w:color="auto" w:space="0" w:sz="6" w:val="single"/>
        </w:tcBorders>
        <w:shd w:color="auto" w:fill="BFB1D0" w:themeFill="accent4" w:themeFillTint="7F" w:val="clear"/>
      </w:tcPr>
    </w:tblStylePr>
    <w:tblStylePr w:type="nwCell">
      <w:tblPr/>
      <w:tcPr>
        <w:shd w:color="auto" w:fill="FFFFFF" w:themeFill="background1" w:val="clear"/>
      </w:tcPr>
    </w:tblStylePr>
  </w:style>
  <w:style w:styleId="2-51" w:type="table">
    <w:name w:val="Medium Grid 2 Accent 5"/>
    <w:basedOn w:val="a3"/>
    <w:uiPriority w:val="68"/>
    <w:qFormat/>
    <w:rPr>
      <w:rFonts w:asciiTheme="majorHAnsi" w:cstheme="majorBidi" w:eastAsiaTheme="majorEastAsia" w:hAnsiTheme="majorHAnsi"/>
      <w:color w:themeColor="text1" w:val="000000"/>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auto" w:space="0" w:sz="6" w:val="single"/>
          <w:insideV w:color="auto" w:space="0" w:sz="6" w:val="single"/>
        </w:tcBorders>
        <w:shd w:color="auto" w:fill="A5D5E2" w:themeFill="accent5" w:themeFillTint="7F" w:val="clear"/>
      </w:tcPr>
    </w:tblStylePr>
    <w:tblStylePr w:type="nwCell">
      <w:tblPr/>
      <w:tcPr>
        <w:shd w:color="auto" w:fill="FFFFFF" w:themeFill="background1" w:val="clear"/>
      </w:tcPr>
    </w:tblStylePr>
  </w:style>
  <w:style w:styleId="2-61" w:type="table">
    <w:name w:val="Medium Grid 2 Accent 6"/>
    <w:basedOn w:val="a3"/>
    <w:uiPriority w:val="68"/>
    <w:qFormat/>
    <w:rPr>
      <w:rFonts w:asciiTheme="majorHAnsi" w:cstheme="majorBidi" w:eastAsiaTheme="majorEastAsia" w:hAnsiTheme="majorHAnsi"/>
      <w:color w:themeColor="text1" w:val="000000"/>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auto" w:space="0" w:sz="6" w:val="single"/>
          <w:insideV w:color="auto" w:space="0" w:sz="6" w:val="single"/>
        </w:tcBorders>
        <w:shd w:color="auto" w:fill="FBCAA2" w:themeFill="accent6" w:themeFillTint="7F" w:val="clear"/>
      </w:tcPr>
    </w:tblStylePr>
    <w:tblStylePr w:type="nwCell">
      <w:tblPr/>
      <w:tcPr>
        <w:shd w:color="auto" w:fill="FFFFFF" w:themeFill="background1" w:val="clear"/>
      </w:tcPr>
    </w:tblStylePr>
  </w:style>
  <w:style w:styleId="37" w:type="table">
    <w:name w:val="Medium Grid 3"/>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808080" w:themeFill="text1" w:themeFillTint="7F" w:val="clear"/>
      </w:tcPr>
    </w:tblStylePr>
  </w:style>
  <w:style w:styleId="3-1" w:type="table">
    <w:name w:val="Medium Grid 3 Accent 1"/>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A7BFDE" w:themeFill="accent1" w:themeFillTint="7F" w:val="clear"/>
      </w:tcPr>
    </w:tblStylePr>
  </w:style>
  <w:style w:styleId="3-2" w:type="table">
    <w:name w:val="Medium Grid 3 Accent 2"/>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DFA7A6" w:themeFill="accent2" w:themeFillTint="7F" w:val="clear"/>
      </w:tcPr>
    </w:tblStylePr>
  </w:style>
  <w:style w:styleId="3-3" w:type="table">
    <w:name w:val="Medium Grid 3 Accent 3"/>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CDDDAC" w:themeFill="accent3" w:themeFillTint="7F" w:val="clear"/>
      </w:tcPr>
    </w:tblStylePr>
  </w:style>
  <w:style w:styleId="3-4" w:type="table">
    <w:name w:val="Medium Grid 3 Accent 4"/>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BFB1D0" w:themeFill="accent4" w:themeFillTint="7F" w:val="clear"/>
      </w:tcPr>
    </w:tblStylePr>
  </w:style>
  <w:style w:styleId="3-5" w:type="table">
    <w:name w:val="Medium Grid 3 Accent 5"/>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A5D5E2" w:themeFill="accent5" w:themeFillTint="7F" w:val="clear"/>
      </w:tcPr>
    </w:tblStylePr>
  </w:style>
  <w:style w:styleId="3-6" w:type="table">
    <w:name w:val="Medium Grid 3 Accent 6"/>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FBCAA2" w:themeFill="accent6" w:themeFillTint="7F" w:val="clear"/>
      </w:tcPr>
    </w:tblStylePr>
  </w:style>
  <w:style w:styleId="af8" w:type="table">
    <w:name w:val="Dark List"/>
    <w:basedOn w:val="a3"/>
    <w:uiPriority w:val="70"/>
    <w:qFormat/>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2" w:type="table">
    <w:name w:val="Dark List Accent 1"/>
    <w:basedOn w:val="a3"/>
    <w:uiPriority w:val="70"/>
    <w:qFormat/>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22" w:type="table">
    <w:name w:val="Dark List Accent 2"/>
    <w:basedOn w:val="a3"/>
    <w:uiPriority w:val="70"/>
    <w:qFormat/>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32" w:type="table">
    <w:name w:val="Dark List Accent 3"/>
    <w:basedOn w:val="a3"/>
    <w:uiPriority w:val="70"/>
    <w:qFormat/>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42" w:type="table">
    <w:name w:val="Dark List Accent 4"/>
    <w:basedOn w:val="a3"/>
    <w:uiPriority w:val="70"/>
    <w:qFormat/>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52" w:type="table">
    <w:name w:val="Dark List Accent 5"/>
    <w:basedOn w:val="a3"/>
    <w:uiPriority w:val="70"/>
    <w:qFormat/>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62" w:type="table">
    <w:name w:val="Dark List Accent 6"/>
    <w:basedOn w:val="a3"/>
    <w:uiPriority w:val="70"/>
    <w:qFormat/>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af9" w:type="table">
    <w:name w:val="Colorful Shading"/>
    <w:basedOn w:val="a3"/>
    <w:uiPriority w:val="71"/>
    <w:qFormat/>
    <w:rPr>
      <w:color w:themeColor="text1" w:val="000000"/>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13" w:type="table">
    <w:name w:val="Colorful Shading Accent 1"/>
    <w:basedOn w:val="a3"/>
    <w:uiPriority w:val="71"/>
    <w:qFormat/>
    <w:rPr>
      <w:color w:themeColor="text1" w:val="000000"/>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23" w:type="table">
    <w:name w:val="Colorful Shading Accent 2"/>
    <w:basedOn w:val="a3"/>
    <w:uiPriority w:val="71"/>
    <w:qFormat/>
    <w:rPr>
      <w:color w:themeColor="text1" w:val="000000"/>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33" w:type="table">
    <w:name w:val="Colorful Shading Accent 3"/>
    <w:basedOn w:val="a3"/>
    <w:uiPriority w:val="71"/>
    <w:qFormat/>
    <w:rPr>
      <w:color w:themeColor="text1" w:val="000000"/>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43" w:type="table">
    <w:name w:val="Colorful Shading Accent 4"/>
    <w:basedOn w:val="a3"/>
    <w:uiPriority w:val="71"/>
    <w:qFormat/>
    <w:rPr>
      <w:color w:themeColor="text1" w:val="000000"/>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53" w:type="table">
    <w:name w:val="Colorful Shading Accent 5"/>
    <w:basedOn w:val="a3"/>
    <w:uiPriority w:val="71"/>
    <w:qFormat/>
    <w:rPr>
      <w:color w:themeColor="text1" w:val="000000"/>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63" w:type="table">
    <w:name w:val="Colorful Shading Accent 6"/>
    <w:basedOn w:val="a3"/>
    <w:uiPriority w:val="71"/>
    <w:qFormat/>
    <w:rPr>
      <w:color w:themeColor="text1" w:val="000000"/>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afa" w:type="table">
    <w:name w:val="Colorful List"/>
    <w:basedOn w:val="a3"/>
    <w:uiPriority w:val="72"/>
    <w:qFormat/>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14" w:type="table">
    <w:name w:val="Colorful List Accent 1"/>
    <w:basedOn w:val="a3"/>
    <w:uiPriority w:val="72"/>
    <w:qFormat/>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24" w:type="table">
    <w:name w:val="Colorful List Accent 2"/>
    <w:basedOn w:val="a3"/>
    <w:uiPriority w:val="72"/>
    <w:qFormat/>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34" w:type="table">
    <w:name w:val="Colorful List Accent 3"/>
    <w:basedOn w:val="a3"/>
    <w:uiPriority w:val="72"/>
    <w:qFormat/>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44" w:type="table">
    <w:name w:val="Colorful List Accent 4"/>
    <w:basedOn w:val="a3"/>
    <w:uiPriority w:val="72"/>
    <w:qFormat/>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54" w:type="table">
    <w:name w:val="Colorful List Accent 5"/>
    <w:basedOn w:val="a3"/>
    <w:uiPriority w:val="72"/>
    <w:qFormat/>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64" w:type="table">
    <w:name w:val="Colorful List Accent 6"/>
    <w:basedOn w:val="a3"/>
    <w:uiPriority w:val="72"/>
    <w:qFormat/>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afb" w:type="table">
    <w:name w:val="Colorful Grid"/>
    <w:basedOn w:val="a3"/>
    <w:uiPriority w:val="73"/>
    <w:qFormat/>
    <w:rPr>
      <w:color w:themeColor="text1" w:val="000000"/>
    </w:rPr>
    <w:tblPr>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5" w:type="table">
    <w:name w:val="Colorful Grid Accent 1"/>
    <w:basedOn w:val="a3"/>
    <w:uiPriority w:val="73"/>
    <w:qFormat/>
    <w:rPr>
      <w:color w:themeColor="text1" w:val="000000"/>
    </w:rPr>
    <w:tblPr>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25" w:type="table">
    <w:name w:val="Colorful Grid Accent 2"/>
    <w:basedOn w:val="a3"/>
    <w:uiPriority w:val="73"/>
    <w:qFormat/>
    <w:rPr>
      <w:color w:themeColor="text1" w:val="000000"/>
    </w:rPr>
    <w:tblPr>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35" w:type="table">
    <w:name w:val="Colorful Grid Accent 3"/>
    <w:basedOn w:val="a3"/>
    <w:uiPriority w:val="73"/>
    <w:qFormat/>
    <w:rPr>
      <w:color w:themeColor="text1" w:val="000000"/>
    </w:rPr>
    <w:tblPr>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45" w:type="table">
    <w:name w:val="Colorful Grid Accent 4"/>
    <w:basedOn w:val="a3"/>
    <w:uiPriority w:val="73"/>
    <w:qFormat/>
    <w:rPr>
      <w:color w:themeColor="text1" w:val="000000"/>
    </w:rPr>
    <w:tblPr>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55" w:type="table">
    <w:name w:val="Colorful Grid Accent 5"/>
    <w:basedOn w:val="a3"/>
    <w:uiPriority w:val="73"/>
    <w:qFormat/>
    <w:rPr>
      <w:color w:themeColor="text1" w:val="000000"/>
    </w:rPr>
    <w:tblPr>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65" w:type="table">
    <w:name w:val="Colorful Grid Accent 6"/>
    <w:basedOn w:val="a3"/>
    <w:uiPriority w:val="73"/>
    <w:qFormat/>
    <w:rPr>
      <w:color w:themeColor="text1" w:val="000000"/>
    </w:rPr>
    <w:tblPr>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afc" w:type="character">
    <w:name w:val="Strong"/>
    <w:basedOn w:val="a2"/>
    <w:uiPriority w:val="22"/>
    <w:qFormat/>
    <w:rPr>
      <w:b/>
      <w:bCs/>
    </w:rPr>
  </w:style>
  <w:style w:styleId="afd" w:type="character">
    <w:name w:val="Emphasis"/>
    <w:basedOn w:val="a2"/>
    <w:uiPriority w:val="20"/>
    <w:qFormat/>
    <w:rPr>
      <w:i/>
      <w:iCs/>
    </w:rPr>
  </w:style>
  <w:style w:customStyle="1" w:styleId="ae" w:type="character">
    <w:name w:val="页眉 字符"/>
    <w:basedOn w:val="a2"/>
    <w:link w:val="ad"/>
    <w:uiPriority w:val="99"/>
    <w:qFormat/>
  </w:style>
  <w:style w:customStyle="1" w:styleId="ac" w:type="character">
    <w:name w:val="页脚 字符"/>
    <w:basedOn w:val="a2"/>
    <w:link w:val="ab"/>
    <w:uiPriority w:val="99"/>
    <w:qFormat/>
  </w:style>
  <w:style w:styleId="afe" w:type="paragraph">
    <w:name w:val="No Spacing"/>
    <w:uiPriority w:val="1"/>
    <w:qFormat/>
    <w:rPr>
      <w:sz w:val="22"/>
      <w:szCs w:val="22"/>
      <w:lang w:eastAsia="en-US"/>
    </w:rPr>
  </w:style>
  <w:style w:customStyle="1" w:styleId="10" w:type="character">
    <w:name w:val="标题 1 字符"/>
    <w:basedOn w:val="a2"/>
    <w:link w:val="1"/>
    <w:uiPriority w:val="9"/>
    <w:qFormat/>
    <w:rPr>
      <w:rFonts w:asciiTheme="majorHAnsi" w:cstheme="majorBidi" w:eastAsiaTheme="majorEastAsia" w:hAnsiTheme="majorHAnsi"/>
      <w:b/>
      <w:bCs/>
      <w:color w:themeColor="accent1" w:themeShade="BF" w:val="365F91"/>
      <w:sz w:val="28"/>
      <w:szCs w:val="28"/>
    </w:rPr>
  </w:style>
  <w:style w:customStyle="1" w:styleId="22" w:type="character">
    <w:name w:val="标题 2 字符"/>
    <w:basedOn w:val="a2"/>
    <w:link w:val="21"/>
    <w:uiPriority w:val="9"/>
    <w:qFormat/>
    <w:rPr>
      <w:rFonts w:asciiTheme="majorHAnsi" w:cstheme="majorBidi" w:eastAsiaTheme="majorEastAsia" w:hAnsiTheme="majorHAnsi"/>
      <w:b/>
      <w:bCs/>
      <w:color w:themeColor="accent1" w:val="4F81BD"/>
      <w:sz w:val="26"/>
      <w:szCs w:val="26"/>
    </w:rPr>
  </w:style>
  <w:style w:customStyle="1" w:styleId="32" w:type="character">
    <w:name w:val="标题 3 字符"/>
    <w:basedOn w:val="a2"/>
    <w:link w:val="31"/>
    <w:uiPriority w:val="9"/>
    <w:qFormat/>
    <w:rPr>
      <w:rFonts w:asciiTheme="majorHAnsi" w:cstheme="majorBidi" w:eastAsiaTheme="majorEastAsia" w:hAnsiTheme="majorHAnsi"/>
      <w:b/>
      <w:bCs/>
      <w:color w:themeColor="accent1" w:val="4F81BD"/>
    </w:rPr>
  </w:style>
  <w:style w:customStyle="1" w:styleId="af3" w:type="character">
    <w:name w:val="标题 字符"/>
    <w:basedOn w:val="a2"/>
    <w:link w:val="af2"/>
    <w:uiPriority w:val="10"/>
    <w:qFormat/>
    <w:rPr>
      <w:rFonts w:asciiTheme="majorHAnsi" w:cstheme="majorBidi" w:eastAsiaTheme="majorEastAsia" w:hAnsiTheme="majorHAnsi"/>
      <w:color w:themeColor="text2" w:themeShade="BF" w:val="17365D"/>
      <w:spacing w:val="5"/>
      <w:kern w:val="28"/>
      <w:sz w:val="52"/>
      <w:szCs w:val="52"/>
    </w:rPr>
  </w:style>
  <w:style w:customStyle="1" w:styleId="af0" w:type="character">
    <w:name w:val="副标题 字符"/>
    <w:basedOn w:val="a2"/>
    <w:link w:val="af"/>
    <w:uiPriority w:val="11"/>
    <w:qFormat/>
    <w:rPr>
      <w:rFonts w:asciiTheme="majorHAnsi" w:cstheme="majorBidi" w:eastAsiaTheme="majorEastAsia" w:hAnsiTheme="majorHAnsi"/>
      <w:i/>
      <w:iCs/>
      <w:color w:themeColor="accent1" w:val="4F81BD"/>
      <w:spacing w:val="15"/>
      <w:sz w:val="24"/>
      <w:szCs w:val="24"/>
    </w:rPr>
  </w:style>
  <w:style w:styleId="aff" w:type="paragraph">
    <w:name w:val="List Paragraph"/>
    <w:basedOn w:val="a1"/>
    <w:uiPriority w:val="34"/>
    <w:qFormat/>
    <w:pPr>
      <w:ind w:left="720"/>
      <w:contextualSpacing/>
    </w:pPr>
  </w:style>
  <w:style w:customStyle="1" w:styleId="a9" w:type="character">
    <w:name w:val="正文文本 字符"/>
    <w:basedOn w:val="a2"/>
    <w:link w:val="a8"/>
    <w:uiPriority w:val="99"/>
    <w:qFormat/>
  </w:style>
  <w:style w:customStyle="1" w:styleId="25" w:type="character">
    <w:name w:val="正文文本 2 字符"/>
    <w:basedOn w:val="a2"/>
    <w:link w:val="24"/>
    <w:uiPriority w:val="99"/>
    <w:qFormat/>
  </w:style>
  <w:style w:customStyle="1" w:styleId="35" w:type="character">
    <w:name w:val="正文文本 3 字符"/>
    <w:basedOn w:val="a2"/>
    <w:link w:val="34"/>
    <w:uiPriority w:val="99"/>
    <w:qFormat/>
    <w:rPr>
      <w:sz w:val="16"/>
      <w:szCs w:val="16"/>
    </w:rPr>
  </w:style>
  <w:style w:customStyle="1" w:styleId="a6" w:type="character">
    <w:name w:val="宏文本 字符"/>
    <w:basedOn w:val="a2"/>
    <w:link w:val="a5"/>
    <w:uiPriority w:val="99"/>
    <w:qFormat/>
    <w:rPr>
      <w:rFonts w:ascii="Courier" w:hAnsi="Courier"/>
      <w:sz w:val="20"/>
      <w:szCs w:val="20"/>
    </w:rPr>
  </w:style>
  <w:style w:styleId="aff0" w:type="paragraph">
    <w:name w:val="Quote"/>
    <w:basedOn w:val="a1"/>
    <w:next w:val="a1"/>
    <w:link w:val="aff1"/>
    <w:uiPriority w:val="29"/>
    <w:qFormat/>
    <w:rPr>
      <w:i/>
      <w:iCs/>
      <w:color w:themeColor="text1" w:val="000000"/>
    </w:rPr>
  </w:style>
  <w:style w:customStyle="1" w:styleId="aff1" w:type="character">
    <w:name w:val="引用 字符"/>
    <w:basedOn w:val="a2"/>
    <w:link w:val="aff0"/>
    <w:uiPriority w:val="29"/>
    <w:qFormat/>
    <w:rPr>
      <w:i/>
      <w:iCs/>
      <w:color w:themeColor="text1" w:val="000000"/>
    </w:rPr>
  </w:style>
  <w:style w:customStyle="1" w:styleId="40" w:type="character">
    <w:name w:val="标题 4 字符"/>
    <w:basedOn w:val="a2"/>
    <w:link w:val="4"/>
    <w:uiPriority w:val="9"/>
    <w:semiHidden/>
    <w:qFormat/>
    <w:rPr>
      <w:rFonts w:asciiTheme="majorHAnsi" w:cstheme="majorBidi" w:eastAsiaTheme="majorEastAsia" w:hAnsiTheme="majorHAnsi"/>
      <w:b/>
      <w:bCs/>
      <w:i/>
      <w:iCs/>
      <w:color w:themeColor="accent1" w:val="4F81BD"/>
    </w:rPr>
  </w:style>
  <w:style w:customStyle="1" w:styleId="50" w:type="character">
    <w:name w:val="标题 5 字符"/>
    <w:basedOn w:val="a2"/>
    <w:link w:val="5"/>
    <w:uiPriority w:val="9"/>
    <w:semiHidden/>
    <w:qFormat/>
    <w:rPr>
      <w:rFonts w:asciiTheme="majorHAnsi" w:cstheme="majorBidi" w:eastAsiaTheme="majorEastAsia" w:hAnsiTheme="majorHAnsi"/>
      <w:color w:themeColor="accent1" w:themeShade="80" w:val="244061"/>
    </w:rPr>
  </w:style>
  <w:style w:customStyle="1" w:styleId="60" w:type="character">
    <w:name w:val="标题 6 字符"/>
    <w:basedOn w:val="a2"/>
    <w:link w:val="6"/>
    <w:uiPriority w:val="9"/>
    <w:semiHidden/>
    <w:qFormat/>
    <w:rPr>
      <w:rFonts w:asciiTheme="majorHAnsi" w:cstheme="majorBidi" w:eastAsiaTheme="majorEastAsia" w:hAnsiTheme="majorHAnsi"/>
      <w:i/>
      <w:iCs/>
      <w:color w:themeColor="accent1" w:themeShade="80" w:val="244061"/>
    </w:rPr>
  </w:style>
  <w:style w:customStyle="1" w:styleId="70" w:type="character">
    <w:name w:val="标题 7 字符"/>
    <w:basedOn w:val="a2"/>
    <w:link w:val="7"/>
    <w:uiPriority w:val="9"/>
    <w:semiHidden/>
    <w:qFormat/>
    <w:rPr>
      <w:rFonts w:asciiTheme="majorHAnsi" w:cstheme="majorBidi" w:eastAsiaTheme="majorEastAsia" w:hAnsiTheme="majorHAnsi"/>
      <w:i/>
      <w:iCs/>
      <w:color w:themeColor="text1" w:themeTint="BF" w:val="404040"/>
    </w:rPr>
  </w:style>
  <w:style w:customStyle="1" w:styleId="80" w:type="character">
    <w:name w:val="标题 8 字符"/>
    <w:basedOn w:val="a2"/>
    <w:link w:val="8"/>
    <w:uiPriority w:val="9"/>
    <w:semiHidden/>
    <w:qFormat/>
    <w:rPr>
      <w:rFonts w:asciiTheme="majorHAnsi" w:cstheme="majorBidi" w:eastAsiaTheme="majorEastAsia" w:hAnsiTheme="majorHAnsi"/>
      <w:color w:themeColor="accent1" w:val="4F81BD"/>
      <w:sz w:val="20"/>
      <w:szCs w:val="20"/>
    </w:rPr>
  </w:style>
  <w:style w:customStyle="1" w:styleId="90" w:type="character">
    <w:name w:val="标题 9 字符"/>
    <w:basedOn w:val="a2"/>
    <w:link w:val="9"/>
    <w:uiPriority w:val="9"/>
    <w:semiHidden/>
    <w:qFormat/>
    <w:rPr>
      <w:rFonts w:asciiTheme="majorHAnsi" w:cstheme="majorBidi" w:eastAsiaTheme="majorEastAsia" w:hAnsiTheme="majorHAnsi"/>
      <w:i/>
      <w:iCs/>
      <w:color w:themeColor="text1" w:themeTint="BF" w:val="404040"/>
      <w:sz w:val="20"/>
      <w:szCs w:val="20"/>
    </w:rPr>
  </w:style>
  <w:style w:styleId="aff2" w:type="paragraph">
    <w:name w:val="Intense Quote"/>
    <w:basedOn w:val="a1"/>
    <w:next w:val="a1"/>
    <w:link w:val="aff3"/>
    <w:uiPriority w:val="30"/>
    <w:qFormat/>
    <w:pPr>
      <w:pBdr>
        <w:bottom w:color="4F81BD" w:space="4" w:sz="4" w:themeColor="accent1" w:val="single"/>
      </w:pBdr>
      <w:spacing w:after="280" w:before="200"/>
      <w:ind w:left="936" w:right="936"/>
    </w:pPr>
    <w:rPr>
      <w:b/>
      <w:bCs/>
      <w:i/>
      <w:iCs/>
      <w:color w:themeColor="accent1" w:val="4F81BD"/>
    </w:rPr>
  </w:style>
  <w:style w:customStyle="1" w:styleId="aff3" w:type="character">
    <w:name w:val="明显引用 字符"/>
    <w:basedOn w:val="a2"/>
    <w:link w:val="aff2"/>
    <w:uiPriority w:val="30"/>
    <w:qFormat/>
    <w:rPr>
      <w:b/>
      <w:bCs/>
      <w:i/>
      <w:iCs/>
      <w:color w:themeColor="accent1" w:val="4F81BD"/>
    </w:rPr>
  </w:style>
  <w:style w:customStyle="1" w:styleId="14" w:type="character">
    <w:name w:val="不明显强调1"/>
    <w:basedOn w:val="a2"/>
    <w:uiPriority w:val="19"/>
    <w:qFormat/>
    <w:rPr>
      <w:i/>
      <w:iCs/>
      <w:color w:themeColor="text1" w:themeTint="80" w:val="7F7F7F"/>
    </w:rPr>
  </w:style>
  <w:style w:customStyle="1" w:styleId="15" w:type="character">
    <w:name w:val="明显强调1"/>
    <w:basedOn w:val="a2"/>
    <w:uiPriority w:val="21"/>
    <w:qFormat/>
    <w:rPr>
      <w:b/>
      <w:bCs/>
      <w:i/>
      <w:iCs/>
      <w:color w:themeColor="accent1" w:val="4F81BD"/>
    </w:rPr>
  </w:style>
  <w:style w:customStyle="1" w:styleId="16" w:type="character">
    <w:name w:val="不明显参考1"/>
    <w:basedOn w:val="a2"/>
    <w:uiPriority w:val="31"/>
    <w:qFormat/>
    <w:rPr>
      <w:smallCaps/>
      <w:color w:themeColor="accent2" w:val="C0504D"/>
      <w:u w:val="single"/>
    </w:rPr>
  </w:style>
  <w:style w:customStyle="1" w:styleId="17" w:type="character">
    <w:name w:val="明显参考1"/>
    <w:basedOn w:val="a2"/>
    <w:uiPriority w:val="32"/>
    <w:qFormat/>
    <w:rPr>
      <w:b/>
      <w:bCs/>
      <w:smallCaps/>
      <w:color w:themeColor="accent2" w:val="C0504D"/>
      <w:spacing w:val="5"/>
      <w:u w:val="single"/>
    </w:rPr>
  </w:style>
  <w:style w:customStyle="1" w:styleId="18" w:type="character">
    <w:name w:val="书籍标题1"/>
    <w:basedOn w:val="a2"/>
    <w:uiPriority w:val="33"/>
    <w:qFormat/>
    <w:rPr>
      <w:b/>
      <w:bCs/>
      <w:smallCaps/>
      <w:spacing w:val="5"/>
    </w:rPr>
  </w:style>
  <w:style w:customStyle="1" w:styleId="TOC1" w:type="paragraph">
    <w:name w:val="TOC 标题1"/>
    <w:basedOn w:val="1"/>
    <w:next w:val="a1"/>
    <w:uiPriority w:val="39"/>
    <w:semiHidden/>
    <w:unhideWhenUsed/>
    <w:qFormat/>
    <w:pPr>
      <w:outlineLvl w:val="9"/>
    </w:pPr>
  </w:style>
  <w:style w:styleId="TOC" w:type="paragraph">
    <w:name w:val="TOC Heading"/>
    <w:basedOn w:val="1"/>
    <w:next w:val="a1"/>
    <w:uiPriority w:val="39"/>
    <w:unhideWhenUsed/>
    <w:qFormat/>
    <w:rsid w:val="00575AD7"/>
    <w:pPr>
      <w:spacing w:before="240" w:line="259" w:lineRule="auto"/>
      <w:outlineLvl w:val="9"/>
    </w:pPr>
    <w:rPr>
      <w:b w:val="0"/>
      <w:bCs w:val="0"/>
      <w:sz w:val="32"/>
      <w:szCs w:val="32"/>
      <w:lang w:eastAsia="zh-CN"/>
    </w:rPr>
  </w:style>
  <w:style w:styleId="TOC2" w:type="paragraph">
    <w:name w:val="toc 2"/>
    <w:basedOn w:val="a1"/>
    <w:next w:val="a1"/>
    <w:autoRedefine/>
    <w:uiPriority w:val="39"/>
    <w:unhideWhenUsed/>
    <w:rsid w:val="00575AD7"/>
    <w:pPr>
      <w:spacing w:after="100" w:line="259" w:lineRule="auto"/>
      <w:ind w:left="220"/>
    </w:pPr>
    <w:rPr>
      <w:rFonts w:cs="Times New Roman"/>
      <w:lang w:eastAsia="zh-CN"/>
    </w:rPr>
  </w:style>
  <w:style w:styleId="TOC10" w:type="paragraph">
    <w:name w:val="toc 1"/>
    <w:basedOn w:val="a1"/>
    <w:next w:val="a1"/>
    <w:autoRedefine/>
    <w:uiPriority w:val="39"/>
    <w:unhideWhenUsed/>
    <w:rsid w:val="00575AD7"/>
    <w:pPr>
      <w:spacing w:after="100" w:line="259" w:lineRule="auto"/>
    </w:pPr>
    <w:rPr>
      <w:rFonts w:cs="Times New Roman"/>
      <w:lang w:eastAsia="zh-CN"/>
    </w:rPr>
  </w:style>
  <w:style w:styleId="TOC3" w:type="paragraph">
    <w:name w:val="toc 3"/>
    <w:basedOn w:val="a1"/>
    <w:next w:val="a1"/>
    <w:autoRedefine/>
    <w:uiPriority w:val="39"/>
    <w:unhideWhenUsed/>
    <w:rsid w:val="00575AD7"/>
    <w:pPr>
      <w:spacing w:after="100" w:line="259" w:lineRule="auto"/>
      <w:ind w:left="440"/>
    </w:pPr>
    <w:rPr>
      <w:rFonts w:cs="Times New Roman"/>
      <w:lang w:eastAsia="zh-CN"/>
    </w:rPr>
  </w:style>
  <w:style w:styleId="aff4" w:type="character">
    <w:name w:val="Hyperlink"/>
    <w:basedOn w:val="a2"/>
    <w:uiPriority w:val="99"/>
    <w:unhideWhenUsed/>
    <w:rsid w:val="00575AD7"/>
    <w:rPr>
      <w:color w:themeColor="hyperlink" w:val="0000FF"/>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header" Target="header1.xml"/><Relationship Id="rId9" Type="http://schemas.openxmlformats.org/officeDocument/2006/relationships/footer" Target="footer1.xml"/><Relationship Id="rId20" Type="http://schemas.openxmlformats.org/officeDocument/2006/relationships/image" Target="media/rId20.png"/><Relationship Id="rId27" Type="http://schemas.openxmlformats.org/officeDocument/2006/relationships/image" Target="media/rId27.png"/><Relationship Id="rId32" Type="http://schemas.openxmlformats.org/officeDocument/2006/relationships/image" Target="media/rId32.png"/><Relationship Id="rId38" Type="http://schemas.openxmlformats.org/officeDocument/2006/relationships/image" Target="media/rId38.png"/><Relationship Id="rId62" Type="http://schemas.openxmlformats.org/officeDocument/2006/relationships/image" Target="media/rId62.png"/><Relationship Id="rId46" Type="http://schemas.openxmlformats.org/officeDocument/2006/relationships/image" Target="media/rId46.png"/><Relationship Id="rId53" Type="http://schemas.openxmlformats.org/officeDocument/2006/relationships/image" Target="media/rId53.png"/><Relationship Id="rId69" Type="http://schemas.openxmlformats.org/officeDocument/2006/relationships/image" Target="media/rId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2026-05-15T03:18:59Z</dcterms:created>
  <dcterms:modified xsi:type="dcterms:W3CDTF">2026-05-15T03:18:59Z</dcterms:modified>
</cp:coreProperties>
</file>

<file path=docProps/custom.xml><?xml version="1.0" encoding="utf-8"?>
<Properties xmlns="http://schemas.openxmlformats.org/officeDocument/2006/custom-properties" xmlns:vt="http://schemas.openxmlformats.org/officeDocument/2006/docPropsVTypes"/>
</file>