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软件著作权登记申请表"/>
    <w:p>
      <w:pPr>
        <w:pStyle w:val="Heading1"/>
      </w:pPr>
      <w:r>
        <w:rPr>
          <w:rFonts w:hint="eastAsia" w:ascii="SimSun" w:hAnsi="SimSun" w:eastAsia="宋体"/>
          <w:sz w:val="32"/>
        </w:rPr>
        <w:t xml:space="preserve">软件著作权登记申请表</w:t>
      </w:r>
    </w:p>
    <w:bookmarkStart w:id="9" w:name="基本信息"/>
    <w:p>
      <w:pPr>
        <w:pStyle w:val="Heading2"/>
      </w:pPr>
      <w:r>
        <w:rPr>
          <w:rFonts w:hint="eastAsia" w:ascii="SimSun" w:hAnsi="SimSun" w:eastAsia="宋体"/>
          <w:sz w:val="28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软件全称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企业运营全流程数字化管控平台软件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软件分类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源程序量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7752 </w:t>
            </w:r>
            <w:r>
              <w:rPr>
                <w:rFonts w:hint="eastAsia" w:ascii="SimSun" w:hAnsi="SimSun" w:eastAsia="宋体"/>
                <w:sz w:val="22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开发完成日期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环境信息"/>
    <w:p>
      <w:pPr>
        <w:pStyle w:val="Heading2"/>
      </w:pPr>
      <w:r>
        <w:rPr>
          <w:rFonts w:hint="eastAsia" w:ascii="SimSun" w:hAnsi="SimSun" w:eastAsia="宋体"/>
          <w:sz w:val="28"/>
        </w:rPr>
        <w:t xml:space="preserve">环境信息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Intel Core </w:t>
            </w:r>
            <w:r>
              <w:rPr>
                <w:rFonts w:hint="eastAsia" w:ascii="SimSun" w:hAnsi="SimSun" w:eastAsia="宋体"/>
                <w:sz w:val="22"/>
              </w:rPr>
              <w:t xml:space="preserve">i5及以上、16GB内存、SSD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x86服务器或办公终端、8GB内存以上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Windows 10/11 </w:t>
            </w:r>
            <w:r>
              <w:rPr>
                <w:rFonts w:hint="eastAsia" w:ascii="SimSun" w:hAnsi="SimSun" w:eastAsia="宋体"/>
                <w:sz w:val="22"/>
              </w:rPr>
              <w:t xml:space="preserve">64位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Python 3.11、VS Code、SQLite、Edge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Windows/Linux + Chrome/Edge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Python </w:t>
            </w:r>
            <w:r>
              <w:rPr>
                <w:rFonts w:hint="eastAsia" w:ascii="SimSun" w:hAnsi="SimSun" w:eastAsia="宋体"/>
                <w:sz w:val="22"/>
              </w:rPr>
              <w:t xml:space="preserve">3.11、SQLite、现代浏览器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编程语言（&lt;=50字）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Python、JavaScript、HTML、CSS、SQL</w:t>
            </w:r>
          </w:p>
        </w:tc>
      </w:tr>
    </w:tbl>
    <w:bookmarkEnd w:id="10"/>
    <w:bookmarkStart w:id="11" w:name="业务与技术信息"/>
    <w:p>
      <w:pPr>
        <w:pStyle w:val="Heading2"/>
      </w:pPr>
      <w:r>
        <w:rPr>
          <w:rFonts w:hint="eastAsia" w:ascii="SimSun" w:hAnsi="SimSun" w:eastAsia="宋体"/>
          <w:sz w:val="28"/>
        </w:rPr>
        <w:t xml:space="preserve">业务与技术信息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开发目的（&lt;=50字）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建立企业经营全流程统一管控与审计追踪平台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集团企业运营管理、供应链协同、财务内控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本软件围绕企业经营全过程管控需求，构建统一登录、组织角色权限、主数据管理、采购协同、库存管理、销售合同、费用预算、审批流转、审计追踪和经营看板等能力。在主数据层，系统支持客户、供应商、物料、项目、仓库、成本中心等基础信息维护，为跨模块业务提供一致数据源。采购模块支持采购申请、采购订单、收货入库和状态跟踪，并与预算键关联，在提交阶段执行预算前置校验。库存模块支持库存余额查询与收货联动更新，保证库存变化可追踪。销售与合同模块支持销售订单创建、合同审批与回款登记，实现订单到回款的业务闭环。费用与预算模块支持预算维护、报销申请、付款申请和冲突拦截，帮助财务岗位在业务发生时进行前置控制。流程模块提供待办、已办、我的发起与模板视图，支持多角色按节点完成审批，系统自动同步业务状态。审计与通知模块记录关键操作日志并推送站内提醒，便于管理和排查。首页经营看板聚合销售、采购、库存、报销、回款和待办指标，辅助管理层快速掌握经营态势。系统内置样例数据初始化能力，可用于部署演示、培训上手和验收核对。同时平台支持跨模块编号关联和请求号追踪，便于在采购、销售、财务与审计之间快速定位同一业务链路。整体上，平台实现了从业务发起、审批流转到结果追踪的全流程数字化管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技术特点（50-100字）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采用统一业务编码与预算前置校验机制，结合审批流转、幂等控制、审计留痕和通知联动能力，实现采购、销售、库存、财务全链路协同；系统在关键节点提供冲突拦截与状态追踪，保证经营数据可追溯、流程可审计、风险可前置控制，满足企业日常运营与内控管理要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云计算软件、信息安全软件、大数据软件</w:t>
            </w:r>
          </w:p>
        </w:tc>
      </w:tr>
    </w:tbl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企业运营全流程数字化管控平台软件V1.0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2026-05-15T03:19:04Z</dcterms:created>
  <dcterms:modified xsi:type="dcterms:W3CDTF">2026-05-15T03:19:04Z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