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rPr>
          <w:rFonts w:eastAsia="宋体" w:ascii="Times New Roman" w:hAnsi="Times New Roman" w:cs="Times New Roman"/>
        </w:rPr>
        <w:t xml:space="preserve">软件著作权登记申请表</w:t>
      </w:r>
    </w:p>
    <w:bookmarkStart w:id="20" w:name="基本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软件全称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园林景观三维可视化设计平台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版本号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软件分类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应用软件（园林景观设计与评审管理）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源程序量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3477</w:t>
            </w:r>
          </w:p>
        </w:tc>
      </w:tr>
    </w:tbl>
    <w:bookmarkEnd w:id="20"/>
    <w:bookmarkStart w:id="21" w:name="环境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开发完成日期</w:t>
            </w:r>
          </w:p>
        </w:tc>
        <w:tc>
          <w:tcPr/>
          <w:p>
            <w:r>
              <w:t>2026-05-28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宋体" w:ascii="Times New Roman" w:hAnsi="Times New Roman" w:cs="Times New Roman"/>
      </w:rPr>
      <w:t>园林景观三维可视化设计平台V1.0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