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软件著作权登记申请表"/>
    <w:p>
      <w:pPr>
        <w:pStyle w:val="Heading1"/>
      </w:pPr>
      <w:r>
        <w:rPr>
          <w:rFonts w:eastAsia="宋体" w:ascii="Times New Roman" w:hAnsi="Times New Roman" w:cs="Times New Roman"/>
        </w:rPr>
        <w:t xml:space="preserve">软件著作权登记申请表</w:t>
      </w:r>
    </w:p>
    <w:bookmarkStart w:id="20" w:name="基本信息"/>
    <w:p>
      <w:pPr>
        <w:pStyle w:val="Heading2"/>
      </w:pPr>
      <w:r>
        <w:rPr>
          <w:rFonts w:eastAsia="宋体" w:ascii="Times New Roman" w:hAnsi="Times New Roman" w:cs="Times New Roman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软件全称</w:t>
            </w:r>
          </w:p>
        </w:tc>
        <w:tc>
          <w:tcPr/>
          <w:p>
            <w:r>
              <w:rPr>
                <w:rFonts w:eastAsia="宋体" w:ascii="Times New Roman" w:hAnsi="Times New Roman" w:cs="Times New Roman"/>
              </w:rPr>
              <w:t>多场景英语教学音频播放与管控软件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版本号</w:t>
            </w:r>
          </w:p>
        </w:tc>
        <w:tc>
          <w:tcPr/>
          <w:p>
            <w:r>
              <w:rPr>
                <w:rFonts w:eastAsia="宋体" w:ascii="Times New Roman" w:hAnsi="Times New Roman" w:cs="Times New Roman"/>
              </w:rPr>
              <w:t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软件分类</w:t>
            </w:r>
          </w:p>
        </w:tc>
        <w:tc>
          <w:tcPr/>
          <w:p>
            <w:r>
              <w:rPr>
                <w:rFonts w:eastAsia="宋体" w:ascii="Times New Roman" w:hAnsi="Times New Roman" w:cs="Times New Roman"/>
              </w:rPr>
              <w:t>应用软件（教学管理与课堂播放控制）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源程序量</w:t>
            </w:r>
          </w:p>
        </w:tc>
        <w:tc>
          <w:tcPr/>
          <w:p>
            <w:r>
              <w:rPr>
                <w:rFonts w:eastAsia="宋体" w:ascii="Times New Roman" w:hAnsi="Times New Roman" w:cs="Times New Roman"/>
              </w:rPr>
              <w:t>3366</w:t>
            </w:r>
          </w:p>
        </w:tc>
      </w:tr>
    </w:tbl>
    <w:bookmarkEnd w:id="20"/>
    <w:bookmarkStart w:id="21" w:name="环境信息"/>
    <w:p>
      <w:pPr>
        <w:pStyle w:val="Heading2"/>
      </w:pPr>
      <w:r>
        <w:rPr>
          <w:rFonts w:eastAsia="宋体" w:ascii="Times New Roman" w:hAnsi="Times New Roman" w:cs="Times New Roman"/>
        </w:rPr>
        <w:t xml:space="preserve">环境信息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开发硬件环境（&lt;=50字）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Intel Core i7处理器、16GB内存、512GB固态硬盘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运行硬件环境（&lt;=50字）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Intel Core i5及以上、8GB内存、100GB可用存储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开发操作系统（&lt;=50字）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Windows 11 64位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开发环境/工具（&lt;=50字）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VS Code、Node.js、TypeScript、Next.js、NestJS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运行平台/操作系统（&lt;=50字）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Windows 10/11、Linux、Chrome或Edge浏览器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运行支撑环境（&lt;=50字）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Node.js 20、浏览器、HTTP网络环境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编程语言（&lt;=50字）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TypeScript、JavaScript、HTML、CSS</w:t>
            </w:r>
          </w:p>
        </w:tc>
      </w:tr>
    </w:tbl>
    <w:bookmarkEnd w:id="21"/>
    <w:bookmarkStart w:id="22" w:name="业务与技术信息"/>
    <w:p>
      <w:pPr>
        <w:pStyle w:val="Heading2"/>
      </w:pPr>
      <w:r>
        <w:rPr>
          <w:rFonts w:eastAsia="宋体" w:ascii="Times New Roman" w:hAnsi="Times New Roman" w:cs="Times New Roman"/>
        </w:rPr>
        <w:t xml:space="preserve">业务与技术信息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开发目的（&lt;=50字）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统一车间工单跟踪与效率分析，提升现场调度效率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面向领域/行业（&lt;=50字）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制造业、车间生产管理、精益改善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主要功能（500-1300字）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本软件面向离散制造车间的精益生产管理场景，围绕“任务执行、工序报工、效率分析、班组协同”四条主线构建一体化业务能力。系统提供标准化登录入口，支持车间主管、班组长、操作员和质检员等角色以演示账号进入系统，并在登录后展示对应的姓名、工号、角色和所属班组信息。首页集中呈现近四班产量合计、平均工序耗时、综合良品率和在制工单占比等关键指标，帮助管理人员快速掌握生产节奏和异常波动。任务看板模块按照待开始、进行中、已完成、延期四种状态分栏展示工单，支持按班组、状态、优先级和关键字进行组合筛选，并支持对当前结果进行全选、批量状态更新和单卡片流转处理，从而满足班组长现场调度、异常催办和跨班协同的日常需要。任务详情模块面向具体工单，展示工单号、计划时间、当前工序、累计产量、累计耗时、良品率和任务进度等信息，并提供工序名称、开始时间、结束时间、产量和不良数的录入能力；系统对结束时间早于开始时间、不良数大于产量等场景进行校验，保证数据记录准确可靠。效率总览模块对多日KPI数据进行汇总，以趋势图和班组效率排行方式展示不同班组的产量、工时与良品率变化，便于管理者发现瓶颈工序和低效班组，及时安排改善动作。系统内置示例数据装载能力，可自动生成班组、人员、工单、工序记录和日KPI数据，便于快速部署、界面演示、测试验证和软著申报材料准备。整体上，本软件实现了从任务派工、执行跟踪、过程报工到结果分析的闭环管理，能够为制造企业的精益生产推进、现场透明化管理和持续改善提供数字化支撑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技术特点（50-100字）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采用Next.js与NestJS前后端分离架构，统一任务、工序与KPI数据模型，提供REST接口、批量流转、统计汇总和示例数据装载能力，便于快速部署与演示。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技术特点类型（1-3项）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云计算软件、大数据软件</w:t>
            </w:r>
          </w:p>
        </w:tc>
      </w:tr>
    </w:tbl>
    <w:bookmarkEnd w:id="22"/>
    <w:bookmarkStart w:id="23" w:name="主体信息"/>
    <w:p>
      <w:pPr>
        <w:pStyle w:val="Heading2"/>
      </w:pPr>
      <w:r>
        <w:rPr>
          <w:rFonts w:eastAsia="宋体" w:ascii="Times New Roman" w:hAnsi="Times New Roman" w:cs="Times New Roman"/>
        </w:rPr>
        <w:t xml:space="preserve">主体信息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著作权人名称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统一社会信用代码/证件号码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联系人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联系电话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联系地址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邮编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邮箱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日期信息"/>
    <w:p>
      <w:pPr>
        <w:pStyle w:val="Heading2"/>
      </w:pPr>
      <w:r>
        <w:rPr>
          <w:rFonts w:eastAsia="宋体" w:ascii="Times New Roman" w:hAnsi="Times New Roman" w:cs="Times New Roman"/>
        </w:rPr>
        <w:t xml:space="preserve">日期信息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开发完成日期</w:t>
            </w:r>
          </w:p>
        </w:tc>
        <w:tc>
          <w:tcPr/>
          <w:p>
            <w:r>
              <w:t>2026-05-28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首次发表日期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End w:id="25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eastAsia="宋体" w:ascii="Times New Roman" w:hAnsi="Times New Roman" w:cs="Times New Roman"/>
      </w:rPr>
      <w:t>多场景英语教学音频播放与管控软件V1.0</w:t>
      <w:tab/>
    </w:r>
    <w:r>
      <w:rPr>
        <w:rFonts w:eastAsia="宋体" w:ascii="Times New Roman" w:hAnsi="Times New Roman" w:cs="Times New Roman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2026-05-11T13:38:26Z</dcterms:created>
  <dcterms:modified xsi:type="dcterms:W3CDTF">2026-05-11T13:38:26Z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