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结构抗震韧性评估专用知识库与数据治理平台软件-v10"/>
    <w:p>
      <w:pPr>
        <w:spacing w:before="4000" w:after="0"/>
        <w:jc w:val="center"/>
      </w:pPr>
      <w:r>
        <w:rPr>
          <w:rFonts w:ascii="Times New Roman" w:hAnsi="Times New Roman" w:eastAsia="宋体" w:cs="Times New Roman"/>
          <w:sz w:val="48"/>
        </w:rPr>
        <w:t>结构抗震韧性评估专用知识库与数据治理平台软件 V1.0</w:t>
      </w:r>
    </w:p>
    <w:bookmarkEnd w:id="18"/>
    <w:bookmarkStart w:id="19" w:name="操作手册"/>
    <w:p>
      <w:pPr>
        <w:spacing w:before="0" w:after="0"/>
        <w:jc w:val="center"/>
      </w:pPr>
      <w:r>
        <w:rPr>
          <w:rFonts w:ascii="Times New Roman" w:hAnsi="Times New Roman" w:eastAsia="宋体" w:cs="Times New Roman"/>
          <w:sz w:val="48"/>
        </w:rPr>
        <w:t>操作手册</w:t>
        <w:br w:type="page"/>
      </w:r>
    </w:p>
    <w:bookmarkEnd w:id="19"/>
    <w:bookmarkStart w:id="23" w:name="Xb9706ce1f951de478d48b63f147ebf1e90a6a98"/>
    <w:p>
      <w:pPr>
        <w:pStyle w:val="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1. </w:t>
      </w:r>
      <w:r>
        <w:rPr>
          <w:rFonts w:hint="eastAsia" w:eastAsia="宋体" w:ascii="Times New Roman" w:hAnsi="Times New Roman" w:cs="Times New Roman"/>
        </w:rPr>
        <w:t xml:space="preserve">文档定位与适用对象</w:t>
      </w:r>
    </w:p>
    <w:bookmarkStart w:id="20" w:name="Xde81b6d02074b844af21b2366f9a1672271a4e8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1.1 </w:t>
      </w:r>
      <w:r>
        <w:rPr>
          <w:rFonts w:hint="eastAsia" w:eastAsia="宋体" w:ascii="Times New Roman" w:hAnsi="Times New Roman" w:cs="Times New Roman"/>
        </w:rPr>
        <w:t xml:space="preserve">文档说明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本手册用于指导用户在“结构抗震韧性评估专用知识库与数据治理平台软件”中完成从数据治理到评估沉淀的完整闭环操作。系统重点强调三件事：</w:t>
      </w:r>
    </w:p>
    <w:p>
      <w:pPr>
        <w:pStyle w:val="Compact"/>
        <w:keepNext w:val="0"/>
        <w:keepLines w:val="0"/>
        <w:pageBreakBefore w:val="0"/>
        <w:numPr>
          <w:ilvl w:val="0"/>
          <w:numId w:val="100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数据版本与质量证据：每一次数据变更都要能说明“变更了什么、为什么变更、对结论有什么影响”。</w:t>
      </w:r>
    </w:p>
    <w:p>
      <w:pPr>
        <w:pStyle w:val="Compact"/>
        <w:keepNext w:val="0"/>
        <w:keepLines w:val="0"/>
        <w:pageBreakBefore w:val="0"/>
        <w:numPr>
          <w:ilvl w:val="0"/>
          <w:numId w:val="100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评估链路可追溯：评估记录必须能追溯到数据集版本与质量检查结果。</w:t>
      </w:r>
    </w:p>
    <w:p>
      <w:pPr>
        <w:pStyle w:val="Compact"/>
        <w:keepNext w:val="0"/>
        <w:keepLines w:val="0"/>
        <w:pageBreakBefore w:val="0"/>
        <w:numPr>
          <w:ilvl w:val="0"/>
          <w:numId w:val="100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复核与审计留痕：关键操作（新增、编辑、删除、质量检查执行、评估提交、复核）都需要有审计记录，便于复核与问责。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说明：本版本不包含大型有限元求解与外部监测系统接入；指标计算以“配置化字段绑定</w:t>
      </w:r>
      <w:r>
        <w:rPr>
          <w:rFonts w:eastAsia="宋体" w:ascii="Times New Roman" w:hAnsi="Times New Roman" w:cs="Times New Roman"/>
        </w:rPr>
        <w:t xml:space="preserve"> + </w:t>
      </w:r>
      <w:r>
        <w:rPr>
          <w:rFonts w:hint="eastAsia" w:eastAsia="宋体" w:ascii="Times New Roman" w:hAnsi="Times New Roman" w:cs="Times New Roman"/>
        </w:rPr>
        <w:t xml:space="preserve">示例规则/人工录入”为主，目标是把评估证据链与数据治理口径落到可运行系统中。</w:t>
      </w:r>
    </w:p>
    <w:bookmarkEnd w:id="20"/>
    <w:bookmarkStart w:id="21" w:name="X099ce28371720141d2e3ad565f0b782b24de35a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1.2 </w:t>
      </w:r>
      <w:r>
        <w:rPr>
          <w:rFonts w:hint="eastAsia" w:eastAsia="宋体" w:ascii="Times New Roman" w:hAnsi="Times New Roman" w:cs="Times New Roman"/>
        </w:rPr>
        <w:t xml:space="preserve">适用对象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为避免不同</w:t>
      </w:r>
      <w:r>
        <w:rPr>
          <w:rFonts w:eastAsia="宋体" w:ascii="Times New Roman" w:hAnsi="Times New Roman" w:cs="Times New Roman"/>
        </w:rPr>
        <w:t xml:space="preserve"> PDF </w:t>
      </w:r>
      <w:r>
        <w:rPr>
          <w:rFonts w:hint="eastAsia" w:eastAsia="宋体" w:ascii="Times New Roman" w:hAnsi="Times New Roman" w:cs="Times New Roman"/>
        </w:rPr>
        <w:t xml:space="preserve">引擎对表格渲染存在差异，本手册将“适用对象”改为清单式展示：</w:t>
      </w:r>
    </w:p>
    <w:p>
      <w:pPr>
        <w:keepNext w:val="0"/>
        <w:keepLines w:val="0"/>
        <w:pageBreakBefore w:val="0"/>
        <w:numPr>
          <w:ilvl w:val="0"/>
          <w:numId w:val="100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管理员</w:t>
      </w:r>
    </w:p>
    <w:p>
      <w:pPr>
        <w:pStyle w:val="Compact"/>
        <w:keepNext w:val="0"/>
        <w:keepLines w:val="0"/>
        <w:pageBreakBefore w:val="0"/>
        <w:numPr>
          <w:ilvl w:val="1"/>
          <w:numId w:val="100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日常工作：管理系统与账号</w:t>
      </w:r>
    </w:p>
    <w:p>
      <w:pPr>
        <w:pStyle w:val="Compact"/>
        <w:keepNext w:val="0"/>
        <w:keepLines w:val="0"/>
        <w:pageBreakBefore w:val="0"/>
        <w:numPr>
          <w:ilvl w:val="1"/>
          <w:numId w:val="100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在系统中的主要动作：登录、查看审计、全模块操作（演示）</w:t>
      </w:r>
    </w:p>
    <w:p>
      <w:pPr>
        <w:keepNext w:val="0"/>
        <w:keepLines w:val="0"/>
        <w:pageBreakBefore w:val="0"/>
        <w:numPr>
          <w:ilvl w:val="0"/>
          <w:numId w:val="100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评估工程师</w:t>
      </w:r>
    </w:p>
    <w:p>
      <w:pPr>
        <w:pStyle w:val="Compact"/>
        <w:keepNext w:val="0"/>
        <w:keepLines w:val="0"/>
        <w:pageBreakBefore w:val="0"/>
        <w:numPr>
          <w:ilvl w:val="1"/>
          <w:numId w:val="100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日常工作：建模与评估结论形成</w:t>
      </w:r>
    </w:p>
    <w:p>
      <w:pPr>
        <w:pStyle w:val="Compact"/>
        <w:keepNext w:val="0"/>
        <w:keepLines w:val="0"/>
        <w:pageBreakBefore w:val="0"/>
        <w:numPr>
          <w:ilvl w:val="1"/>
          <w:numId w:val="100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在系统中的主要动作：维护项目/结构对象、配置指标、提交评估、沉淀知识条目</w:t>
      </w:r>
    </w:p>
    <w:p>
      <w:pPr>
        <w:keepNext w:val="0"/>
        <w:keepLines w:val="0"/>
        <w:pageBreakBefore w:val="0"/>
        <w:numPr>
          <w:ilvl w:val="0"/>
          <w:numId w:val="100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数据治理专员</w:t>
      </w:r>
    </w:p>
    <w:p>
      <w:pPr>
        <w:pStyle w:val="Compact"/>
        <w:keepNext w:val="0"/>
        <w:keepLines w:val="0"/>
        <w:pageBreakBefore w:val="0"/>
        <w:numPr>
          <w:ilvl w:val="1"/>
          <w:numId w:val="1005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日常工作：数据台账与质量控制</w:t>
      </w:r>
    </w:p>
    <w:p>
      <w:pPr>
        <w:pStyle w:val="Compact"/>
        <w:keepNext w:val="0"/>
        <w:keepLines w:val="0"/>
        <w:pageBreakBefore w:val="0"/>
        <w:numPr>
          <w:ilvl w:val="1"/>
          <w:numId w:val="1005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在系统中的主要动作：登记数据集、维护版本、配置质量规则、执行质量检查</w:t>
      </w:r>
    </w:p>
    <w:p>
      <w:pPr>
        <w:keepNext w:val="0"/>
        <w:keepLines w:val="0"/>
        <w:pageBreakBefore w:val="0"/>
        <w:numPr>
          <w:ilvl w:val="0"/>
          <w:numId w:val="100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复核人员</w:t>
      </w:r>
    </w:p>
    <w:p>
      <w:pPr>
        <w:pStyle w:val="Compact"/>
        <w:keepNext w:val="0"/>
        <w:keepLines w:val="0"/>
        <w:pageBreakBefore w:val="0"/>
        <w:numPr>
          <w:ilvl w:val="1"/>
          <w:numId w:val="100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日常工作：复核与抽检</w:t>
      </w:r>
    </w:p>
    <w:p>
      <w:pPr>
        <w:pStyle w:val="Compact"/>
        <w:keepNext w:val="0"/>
        <w:keepLines w:val="0"/>
        <w:pageBreakBefore w:val="0"/>
        <w:numPr>
          <w:ilvl w:val="1"/>
          <w:numId w:val="100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在系统中的主要动作：查看证据链、复核评估记录、查看审计留痕</w:t>
      </w:r>
    </w:p>
    <w:bookmarkEnd w:id="21"/>
    <w:bookmarkStart w:id="22" w:name="Xbfdaeae9fcebacdc15377184f8bffe612240199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1.3 </w:t>
      </w:r>
      <w:r>
        <w:rPr>
          <w:rFonts w:hint="eastAsia" w:eastAsia="宋体" w:ascii="Times New Roman" w:hAnsi="Times New Roman" w:cs="Times New Roman"/>
        </w:rPr>
        <w:t xml:space="preserve">权限与操作口径（RBAC）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系统采用“角色</w:t>
      </w:r>
      <w:r>
        <w:rPr>
          <w:rFonts w:eastAsia="宋体" w:ascii="Times New Roman" w:hAnsi="Times New Roman" w:cs="Times New Roman"/>
        </w:rPr>
        <w:t xml:space="preserve"> + </w:t>
      </w:r>
      <w:r>
        <w:rPr>
          <w:rFonts w:hint="eastAsia" w:eastAsia="宋体" w:ascii="Times New Roman" w:hAnsi="Times New Roman" w:cs="Times New Roman"/>
        </w:rPr>
        <w:t xml:space="preserve">权限点”的控制方式。演示环境建议使用管理员账号完成全流程，以便截图覆盖全部模块。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权限口径说明：</w:t>
      </w:r>
    </w:p>
    <w:p>
      <w:pPr>
        <w:pStyle w:val="Compact"/>
        <w:keepNext w:val="0"/>
        <w:keepLines w:val="0"/>
        <w:pageBreakBefore w:val="0"/>
        <w:numPr>
          <w:ilvl w:val="0"/>
          <w:numId w:val="1007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projects:*</w:t>
      </w:r>
      <w:r>
        <w:rPr>
          <w:rFonts w:hint="eastAsia" w:eastAsia="宋体" w:ascii="Times New Roman" w:hAnsi="Times New Roman" w:cs="Times New Roman"/>
        </w:rPr>
        <w:t xml:space="preserve">：项目台账的新增/编辑/删除</w:t>
      </w:r>
    </w:p>
    <w:p>
      <w:pPr>
        <w:pStyle w:val="Compact"/>
        <w:keepNext w:val="0"/>
        <w:keepLines w:val="0"/>
        <w:pageBreakBefore w:val="0"/>
        <w:numPr>
          <w:ilvl w:val="0"/>
          <w:numId w:val="1007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structures:*</w:t>
      </w:r>
      <w:r>
        <w:rPr>
          <w:rFonts w:hint="eastAsia" w:eastAsia="宋体" w:ascii="Times New Roman" w:hAnsi="Times New Roman" w:cs="Times New Roman"/>
        </w:rPr>
        <w:t xml:space="preserve">：结构对象的新增/编辑/删除</w:t>
      </w:r>
    </w:p>
    <w:p>
      <w:pPr>
        <w:pStyle w:val="Compact"/>
        <w:keepNext w:val="0"/>
        <w:keepLines w:val="0"/>
        <w:pageBreakBefore w:val="0"/>
        <w:numPr>
          <w:ilvl w:val="0"/>
          <w:numId w:val="1007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datasets:*</w:t>
      </w:r>
      <w:r>
        <w:rPr>
          <w:rFonts w:hint="eastAsia" w:eastAsia="宋体" w:ascii="Times New Roman" w:hAnsi="Times New Roman" w:cs="Times New Roman"/>
        </w:rPr>
        <w:t xml:space="preserve">：数据集治理（登记/版本）</w:t>
      </w:r>
    </w:p>
    <w:p>
      <w:pPr>
        <w:pStyle w:val="Compact"/>
        <w:keepNext w:val="0"/>
        <w:keepLines w:val="0"/>
        <w:pageBreakBefore w:val="0"/>
        <w:numPr>
          <w:ilvl w:val="0"/>
          <w:numId w:val="1007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quality:*</w:t>
      </w:r>
      <w:r>
        <w:rPr>
          <w:rFonts w:hint="eastAsia" w:eastAsia="宋体" w:ascii="Times New Roman" w:hAnsi="Times New Roman" w:cs="Times New Roman"/>
        </w:rPr>
        <w:t xml:space="preserve">：质量规则与质量检查执行</w:t>
      </w:r>
    </w:p>
    <w:p>
      <w:pPr>
        <w:pStyle w:val="Compact"/>
        <w:keepNext w:val="0"/>
        <w:keepLines w:val="0"/>
        <w:pageBreakBefore w:val="0"/>
        <w:numPr>
          <w:ilvl w:val="0"/>
          <w:numId w:val="1007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indicators:*</w:t>
      </w:r>
      <w:r>
        <w:rPr>
          <w:rFonts w:hint="eastAsia" w:eastAsia="宋体" w:ascii="Times New Roman" w:hAnsi="Times New Roman" w:cs="Times New Roman"/>
        </w:rPr>
        <w:t xml:space="preserve">：指标配置</w:t>
      </w:r>
    </w:p>
    <w:p>
      <w:pPr>
        <w:pStyle w:val="Compact"/>
        <w:keepNext w:val="0"/>
        <w:keepLines w:val="0"/>
        <w:pageBreakBefore w:val="0"/>
        <w:numPr>
          <w:ilvl w:val="0"/>
          <w:numId w:val="1007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assessments:*</w:t>
      </w:r>
      <w:r>
        <w:rPr>
          <w:rFonts w:hint="eastAsia" w:eastAsia="宋体" w:ascii="Times New Roman" w:hAnsi="Times New Roman" w:cs="Times New Roman"/>
        </w:rPr>
        <w:t xml:space="preserve">：评估记录提交与复核</w:t>
      </w:r>
    </w:p>
    <w:p>
      <w:pPr>
        <w:pStyle w:val="Compact"/>
        <w:keepNext w:val="0"/>
        <w:keepLines w:val="0"/>
        <w:pageBreakBefore w:val="0"/>
        <w:numPr>
          <w:ilvl w:val="0"/>
          <w:numId w:val="1007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knowledge:*</w:t>
      </w:r>
      <w:r>
        <w:rPr>
          <w:rFonts w:hint="eastAsia" w:eastAsia="宋体" w:ascii="Times New Roman" w:hAnsi="Times New Roman" w:cs="Times New Roman"/>
        </w:rPr>
        <w:t xml:space="preserve">：知识条目维护</w:t>
      </w:r>
    </w:p>
    <w:p>
      <w:pPr>
        <w:pStyle w:val="Compact"/>
        <w:keepNext w:val="0"/>
        <w:keepLines w:val="0"/>
        <w:pageBreakBefore w:val="0"/>
        <w:numPr>
          <w:ilvl w:val="0"/>
          <w:numId w:val="1007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audit:*</w:t>
      </w:r>
      <w:r>
        <w:rPr>
          <w:rFonts w:hint="eastAsia" w:eastAsia="宋体" w:ascii="Times New Roman" w:hAnsi="Times New Roman" w:cs="Times New Roman"/>
        </w:rPr>
        <w:t xml:space="preserve">：审计日志查询与导出</w:t>
      </w:r>
    </w:p>
    <w:bookmarkEnd w:id="22"/>
    <w:bookmarkEnd w:id="23"/>
    <w:bookmarkStart w:id="30" w:name="Xe33ceff4e39d3838b77c27fb27a7a1e5e3d8c8e"/>
    <w:p>
      <w:pPr>
        <w:pStyle w:val="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2. </w:t>
      </w:r>
      <w:r>
        <w:rPr>
          <w:rFonts w:hint="eastAsia" w:eastAsia="宋体" w:ascii="Times New Roman" w:hAnsi="Times New Roman" w:cs="Times New Roman"/>
        </w:rPr>
        <w:t xml:space="preserve">系统入口与登录</w:t>
      </w:r>
    </w:p>
    <w:bookmarkStart w:id="27" w:name="X18e22a693b7ca29020ef386f7ee91f051c326a7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2.1 </w:t>
      </w:r>
      <w:r>
        <w:rPr>
          <w:rFonts w:hint="eastAsia" w:eastAsia="宋体" w:ascii="Times New Roman" w:hAnsi="Times New Roman" w:cs="Times New Roman"/>
        </w:rPr>
        <w:t xml:space="preserve">访问入口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系统启动后，通过浏览器打开系统首页即可进入登录界面。登录成功后进入主界面（左侧导航</w:t>
      </w:r>
      <w:r>
        <w:rPr>
          <w:rFonts w:eastAsia="宋体" w:ascii="Times New Roman" w:hAnsi="Times New Roman" w:cs="Times New Roman"/>
        </w:rPr>
        <w:t xml:space="preserve"> + </w:t>
      </w:r>
      <w:r>
        <w:rPr>
          <w:rFonts w:hint="eastAsia" w:eastAsia="宋体" w:ascii="Times New Roman" w:hAnsi="Times New Roman" w:cs="Times New Roman"/>
        </w:rPr>
        <w:t xml:space="preserve">右侧业务区域）。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图示：图1-1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3429000"/>
            <wp:effectExtent b="0" l="0" r="0" t="0"/>
            <wp:docPr descr="fig-1-1-login-full.png" title="" id="25" name="Picture"/>
            <a:graphic>
              <a:graphicData uri="http://schemas.openxmlformats.org/drawingml/2006/picture">
                <pic:pic>
                  <pic:nvPicPr>
                    <pic:cNvPr descr="images/fig-1-1-login-full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28" w:name="Xd74c9630d27faf957821000eacc06adcd0f939a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2.2 </w:t>
      </w:r>
      <w:r>
        <w:rPr>
          <w:rFonts w:hint="eastAsia" w:eastAsia="宋体" w:ascii="Times New Roman" w:hAnsi="Times New Roman" w:cs="Times New Roman"/>
        </w:rPr>
        <w:t xml:space="preserve">登录步骤</w:t>
      </w:r>
    </w:p>
    <w:p>
      <w:pPr>
        <w:pStyle w:val="Compact"/>
        <w:keepNext w:val="0"/>
        <w:keepLines w:val="0"/>
        <w:pageBreakBefore w:val="0"/>
        <w:numPr>
          <w:ilvl w:val="0"/>
          <w:numId w:val="1008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在“用户名”输入框中输入账号，例如：</w:t>
      </w:r>
      <w:r>
        <w:rPr>
          <w:rStyle w:val="VerbatimChar"/>
          <w:rFonts w:eastAsia="宋体" w:ascii="Times New Roman" w:hAnsi="Times New Roman" w:cs="Times New Roman"/>
        </w:rPr>
        <w:t xml:space="preserve">admin</w:t>
      </w:r>
      <w:r>
        <w:rPr>
          <w:rFonts w:eastAsia="宋体" w:ascii="Times New Roman" w:hAnsi="Times New Roman" w:cs="Times New Roman"/>
        </w:rPr>
        <w:t xml:space="preserve">。</w:t>
      </w:r>
    </w:p>
    <w:p>
      <w:pPr>
        <w:pStyle w:val="Compact"/>
        <w:keepNext w:val="0"/>
        <w:keepLines w:val="0"/>
        <w:pageBreakBefore w:val="0"/>
        <w:numPr>
          <w:ilvl w:val="0"/>
          <w:numId w:val="1008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在“密码”输入框中输入密码，例如：</w:t>
      </w:r>
      <w:r>
        <w:rPr>
          <w:rStyle w:val="VerbatimChar"/>
          <w:rFonts w:eastAsia="宋体" w:ascii="Times New Roman" w:hAnsi="Times New Roman" w:cs="Times New Roman"/>
        </w:rPr>
        <w:t xml:space="preserve">admin123</w:t>
      </w:r>
      <w:r>
        <w:rPr>
          <w:rFonts w:eastAsia="宋体" w:ascii="Times New Roman" w:hAnsi="Times New Roman" w:cs="Times New Roman"/>
        </w:rPr>
        <w:t xml:space="preserve">。</w:t>
      </w:r>
    </w:p>
    <w:p>
      <w:pPr>
        <w:pStyle w:val="Compact"/>
        <w:keepNext w:val="0"/>
        <w:keepLines w:val="0"/>
        <w:pageBreakBefore w:val="0"/>
        <w:numPr>
          <w:ilvl w:val="0"/>
          <w:numId w:val="1008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点击“登录”。</w:t>
      </w:r>
    </w:p>
    <w:p>
      <w:pPr>
        <w:pStyle w:val="Compact"/>
        <w:keepNext w:val="0"/>
        <w:keepLines w:val="0"/>
        <w:pageBreakBefore w:val="0"/>
        <w:numPr>
          <w:ilvl w:val="0"/>
          <w:numId w:val="1008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登录成功后，右上角角色信息会显示当前用户与角色。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图示：图1-1</w:t>
      </w:r>
    </w:p>
    <w:bookmarkEnd w:id="28"/>
    <w:bookmarkStart w:id="29" w:name="X1708a5d463e5d335ea4755b8aa2d2bd0da078ad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2.3 </w:t>
      </w:r>
      <w:r>
        <w:rPr>
          <w:rFonts w:hint="eastAsia" w:eastAsia="宋体" w:ascii="Times New Roman" w:hAnsi="Times New Roman" w:cs="Times New Roman"/>
        </w:rPr>
        <w:t xml:space="preserve">退出登录</w:t>
      </w:r>
    </w:p>
    <w:p>
      <w:pPr>
        <w:pStyle w:val="Compact"/>
        <w:keepNext w:val="0"/>
        <w:keepLines w:val="0"/>
        <w:pageBreakBefore w:val="0"/>
        <w:numPr>
          <w:ilvl w:val="0"/>
          <w:numId w:val="1009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点击右上角“退出”。</w:t>
      </w:r>
    </w:p>
    <w:p>
      <w:pPr>
        <w:pStyle w:val="Compact"/>
        <w:keepNext w:val="0"/>
        <w:keepLines w:val="0"/>
        <w:pageBreakBefore w:val="0"/>
        <w:numPr>
          <w:ilvl w:val="0"/>
          <w:numId w:val="1009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系统返回登录界面。</w:t>
      </w:r>
    </w:p>
    <w:bookmarkEnd w:id="29"/>
    <w:bookmarkEnd w:id="30"/>
    <w:bookmarkStart w:id="36" w:name="X2d09a21963985660059372507b11635a203898d"/>
    <w:p>
      <w:pPr>
        <w:pStyle w:val="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3. </w:t>
      </w:r>
      <w:r>
        <w:rPr>
          <w:rFonts w:hint="eastAsia" w:eastAsia="宋体" w:ascii="Times New Roman" w:hAnsi="Times New Roman" w:cs="Times New Roman"/>
        </w:rPr>
        <w:t xml:space="preserve">首页概览与导航逻辑</w:t>
      </w:r>
    </w:p>
    <w:bookmarkStart w:id="34" w:name="X1b54d55c98a32caea76dcca5cd78d1dd73441ef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3.1 </w:t>
      </w:r>
      <w:r>
        <w:rPr>
          <w:rFonts w:hint="eastAsia" w:eastAsia="宋体" w:ascii="Times New Roman" w:hAnsi="Times New Roman" w:cs="Times New Roman"/>
        </w:rPr>
        <w:t xml:space="preserve">首页展示内容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首页用于快速了解数据与流程的总体状态，包含：</w:t>
      </w:r>
    </w:p>
    <w:p>
      <w:pPr>
        <w:pStyle w:val="Compact"/>
        <w:keepNext w:val="0"/>
        <w:keepLines w:val="0"/>
        <w:pageBreakBefore w:val="0"/>
        <w:numPr>
          <w:ilvl w:val="0"/>
          <w:numId w:val="1010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项目数量、结构对象数量、数据集数量、审计记录数量等概览卡片；</w:t>
      </w:r>
    </w:p>
    <w:p>
      <w:pPr>
        <w:pStyle w:val="Compact"/>
        <w:keepNext w:val="0"/>
        <w:keepLines w:val="0"/>
        <w:pageBreakBefore w:val="0"/>
        <w:numPr>
          <w:ilvl w:val="0"/>
          <w:numId w:val="1010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项目列表（工程台账风格），可点击“查看”打开详情弹窗；</w:t>
      </w:r>
    </w:p>
    <w:p>
      <w:pPr>
        <w:pStyle w:val="Compact"/>
        <w:keepNext w:val="0"/>
        <w:keepLines w:val="0"/>
        <w:pageBreakBefore w:val="0"/>
        <w:numPr>
          <w:ilvl w:val="0"/>
          <w:numId w:val="1010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强调“数据—质量—指标—评估”的链路意识：任何结论都应该能回到证据。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图示：图2-1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3429000"/>
            <wp:effectExtent b="0" l="0" r="0" t="0"/>
            <wp:docPr descr="fig-2-1-home-full.png" title="" id="32" name="Picture"/>
            <a:graphic>
              <a:graphicData uri="http://schemas.openxmlformats.org/drawingml/2006/picture">
                <pic:pic>
                  <pic:nvPicPr>
                    <pic:cNvPr descr="images/fig-2-1-home-full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5" w:name="X6d9006e78c6645566d3a96dcd782d8b7986d5f7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3.2 </w:t>
      </w:r>
      <w:r>
        <w:rPr>
          <w:rFonts w:hint="eastAsia" w:eastAsia="宋体" w:ascii="Times New Roman" w:hAnsi="Times New Roman" w:cs="Times New Roman"/>
        </w:rPr>
        <w:t xml:space="preserve">左侧导航与页面切换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系统使用左侧导航切换模块。每个模块的右上角包含：</w:t>
      </w:r>
    </w:p>
    <w:p>
      <w:pPr>
        <w:pStyle w:val="Compact"/>
        <w:keepNext w:val="0"/>
        <w:keepLines w:val="0"/>
        <w:pageBreakBefore w:val="0"/>
        <w:numPr>
          <w:ilvl w:val="0"/>
          <w:numId w:val="101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“刷新”：重新拉取数据；</w:t>
      </w:r>
    </w:p>
    <w:p>
      <w:pPr>
        <w:pStyle w:val="Compact"/>
        <w:keepNext w:val="0"/>
        <w:keepLines w:val="0"/>
        <w:pageBreakBefore w:val="0"/>
        <w:numPr>
          <w:ilvl w:val="0"/>
          <w:numId w:val="101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“新增”：在支持新增的模块中打开新增弹窗；</w:t>
      </w:r>
    </w:p>
    <w:p>
      <w:pPr>
        <w:pStyle w:val="Compact"/>
        <w:keepNext w:val="0"/>
        <w:keepLines w:val="0"/>
        <w:pageBreakBefore w:val="0"/>
        <w:numPr>
          <w:ilvl w:val="0"/>
          <w:numId w:val="101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某些只读模块（例如审计留痕）可能隐藏“新增”。</w:t>
      </w:r>
    </w:p>
    <w:bookmarkEnd w:id="35"/>
    <w:bookmarkEnd w:id="36"/>
    <w:bookmarkStart w:id="53" w:name="X2334435e91cbda06b19afa6cdf28144fdcad6b9"/>
    <w:p>
      <w:pPr>
        <w:pStyle w:val="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4. </w:t>
      </w:r>
      <w:r>
        <w:rPr>
          <w:rFonts w:hint="eastAsia" w:eastAsia="宋体" w:ascii="Times New Roman" w:hAnsi="Times New Roman" w:cs="Times New Roman"/>
        </w:rPr>
        <w:t xml:space="preserve">项目台账</w:t>
      </w:r>
    </w:p>
    <w:bookmarkStart w:id="40" w:name="Xed064a932b3768c10af2e8c315257fe607049cc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4.1 </w:t>
      </w:r>
      <w:r>
        <w:rPr>
          <w:rFonts w:hint="eastAsia" w:eastAsia="宋体" w:ascii="Times New Roman" w:hAnsi="Times New Roman" w:cs="Times New Roman"/>
        </w:rPr>
        <w:t xml:space="preserve">模块目的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项目台账是评估工作的顶层容器，用于承载结构对象与评估记录。建议在项目名称中体现区域、对象类型与任务背景，便于后续检索与交付归档。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图示：图3-1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3429000"/>
            <wp:effectExtent b="0" l="0" r="0" t="0"/>
            <wp:docPr descr="fig-3-1-projects.png" title="" id="38" name="Picture"/>
            <a:graphic>
              <a:graphicData uri="http://schemas.openxmlformats.org/drawingml/2006/picture">
                <pic:pic>
                  <pic:nvPicPr>
                    <pic:cNvPr descr="images/fig-3-1-projects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4" w:name="Xe5fef15e658b91ba280a67faffb8ab439ca1602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4.2 </w:t>
      </w:r>
      <w:r>
        <w:rPr>
          <w:rFonts w:hint="eastAsia" w:eastAsia="宋体" w:ascii="Times New Roman" w:hAnsi="Times New Roman" w:cs="Times New Roman"/>
        </w:rPr>
        <w:t xml:space="preserve">新增项目</w:t>
      </w:r>
    </w:p>
    <w:p>
      <w:pPr>
        <w:pStyle w:val="Compact"/>
        <w:keepNext w:val="0"/>
        <w:keepLines w:val="0"/>
        <w:pageBreakBefore w:val="0"/>
        <w:numPr>
          <w:ilvl w:val="0"/>
          <w:numId w:val="101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进入“项目台账”。</w:t>
      </w:r>
    </w:p>
    <w:p>
      <w:pPr>
        <w:pStyle w:val="Compact"/>
        <w:keepNext w:val="0"/>
        <w:keepLines w:val="0"/>
        <w:pageBreakBefore w:val="0"/>
        <w:numPr>
          <w:ilvl w:val="0"/>
          <w:numId w:val="101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点击右上角“新增”。</w:t>
      </w:r>
    </w:p>
    <w:p>
      <w:pPr>
        <w:pStyle w:val="Compact"/>
        <w:keepNext w:val="0"/>
        <w:keepLines w:val="0"/>
        <w:pageBreakBefore w:val="0"/>
        <w:numPr>
          <w:ilvl w:val="0"/>
          <w:numId w:val="101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在弹窗中填写项目名称、区域、场地类别、重要性等级。</w:t>
      </w:r>
    </w:p>
    <w:p>
      <w:pPr>
        <w:pStyle w:val="Compact"/>
        <w:keepNext w:val="0"/>
        <w:keepLines w:val="0"/>
        <w:pageBreakBefore w:val="0"/>
        <w:numPr>
          <w:ilvl w:val="0"/>
          <w:numId w:val="101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点击“提交”完成新增。</w:t>
      </w:r>
    </w:p>
    <w:p>
      <w:pPr>
        <w:pStyle w:val="Compact"/>
        <w:keepNext w:val="0"/>
        <w:keepLines w:val="0"/>
        <w:pageBreakBefore w:val="0"/>
        <w:numPr>
          <w:ilvl w:val="0"/>
          <w:numId w:val="101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新增成功后刷新列表，项目会出现在列表顶部。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图示：图3-2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3429000"/>
            <wp:effectExtent b="0" l="0" r="0" t="0"/>
            <wp:docPr descr="fig-3-2-projects-create.png" title="" id="42" name="Picture"/>
            <a:graphic>
              <a:graphicData uri="http://schemas.openxmlformats.org/drawingml/2006/picture">
                <pic:pic>
                  <pic:nvPicPr>
                    <pic:cNvPr descr="images/fig-3-2-projects-create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说明：新增动作属于关键操作，会写入审计日志，便于追溯“是谁在什么时间创建了项目”。</w:t>
      </w:r>
    </w:p>
    <w:bookmarkEnd w:id="44"/>
    <w:bookmarkStart w:id="48" w:name="X925b87f5ac5c6fb862d4df857929fcd7f2ed77e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4.3 </w:t>
      </w:r>
      <w:r>
        <w:rPr>
          <w:rFonts w:hint="eastAsia" w:eastAsia="宋体" w:ascii="Times New Roman" w:hAnsi="Times New Roman" w:cs="Times New Roman"/>
        </w:rPr>
        <w:t xml:space="preserve">编辑项目</w:t>
      </w:r>
    </w:p>
    <w:p>
      <w:pPr>
        <w:pStyle w:val="Compact"/>
        <w:keepNext w:val="0"/>
        <w:keepLines w:val="0"/>
        <w:pageBreakBefore w:val="0"/>
        <w:numPr>
          <w:ilvl w:val="0"/>
          <w:numId w:val="101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在项目列表行内找到目标项目。</w:t>
      </w:r>
    </w:p>
    <w:p>
      <w:pPr>
        <w:pStyle w:val="Compact"/>
        <w:keepNext w:val="0"/>
        <w:keepLines w:val="0"/>
        <w:pageBreakBefore w:val="0"/>
        <w:numPr>
          <w:ilvl w:val="0"/>
          <w:numId w:val="101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点击“编辑”。</w:t>
      </w:r>
    </w:p>
    <w:p>
      <w:pPr>
        <w:pStyle w:val="Compact"/>
        <w:keepNext w:val="0"/>
        <w:keepLines w:val="0"/>
        <w:pageBreakBefore w:val="0"/>
        <w:numPr>
          <w:ilvl w:val="0"/>
          <w:numId w:val="101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在弹窗中修改字段，点击“提交”。</w:t>
      </w:r>
    </w:p>
    <w:p>
      <w:pPr>
        <w:pStyle w:val="Compact"/>
        <w:keepNext w:val="0"/>
        <w:keepLines w:val="0"/>
        <w:pageBreakBefore w:val="0"/>
        <w:numPr>
          <w:ilvl w:val="0"/>
          <w:numId w:val="101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修改成功后刷新列表，检查字段是否更新。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图示：图3-2a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3429000"/>
            <wp:effectExtent b="0" l="0" r="0" t="0"/>
            <wp:docPr descr="fig-3-2a-projects-edit.png" title="" id="46" name="Picture"/>
            <a:graphic>
              <a:graphicData uri="http://schemas.openxmlformats.org/drawingml/2006/picture">
                <pic:pic>
                  <pic:nvPicPr>
                    <pic:cNvPr descr="images/fig-3-2a-projects-edit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建议：编辑前先明确变更原因（例如“场地类别口径纠正”），并在团队流程中保留变更说明；本版本审计日志会记录动作与对象，便于后续人工补充说明。</w:t>
      </w:r>
    </w:p>
    <w:bookmarkEnd w:id="48"/>
    <w:bookmarkStart w:id="52" w:name="X52ebd193934e01fb5836362f6db57313805a01b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4.4 </w:t>
      </w:r>
      <w:r>
        <w:rPr>
          <w:rFonts w:hint="eastAsia" w:eastAsia="宋体" w:ascii="Times New Roman" w:hAnsi="Times New Roman" w:cs="Times New Roman"/>
        </w:rPr>
        <w:t xml:space="preserve">删除项目（二次确认）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删除会影响后续结构对象与评估记录，需谨慎操作。</w:t>
      </w:r>
    </w:p>
    <w:p>
      <w:pPr>
        <w:pStyle w:val="Compact"/>
        <w:keepNext w:val="0"/>
        <w:keepLines w:val="0"/>
        <w:pageBreakBefore w:val="0"/>
        <w:numPr>
          <w:ilvl w:val="0"/>
          <w:numId w:val="101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在项目列表行内点击“删除”。</w:t>
      </w:r>
    </w:p>
    <w:p>
      <w:pPr>
        <w:pStyle w:val="Compact"/>
        <w:keepNext w:val="0"/>
        <w:keepLines w:val="0"/>
        <w:pageBreakBefore w:val="0"/>
        <w:numPr>
          <w:ilvl w:val="0"/>
          <w:numId w:val="101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系统弹出删除确认对话框。</w:t>
      </w:r>
    </w:p>
    <w:p>
      <w:pPr>
        <w:pStyle w:val="Compact"/>
        <w:keepNext w:val="0"/>
        <w:keepLines w:val="0"/>
        <w:pageBreakBefore w:val="0"/>
        <w:numPr>
          <w:ilvl w:val="0"/>
          <w:numId w:val="101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确认无误后点击确认按钮完成删除。</w:t>
      </w:r>
    </w:p>
    <w:p>
      <w:pPr>
        <w:pStyle w:val="Compact"/>
        <w:keepNext w:val="0"/>
        <w:keepLines w:val="0"/>
        <w:pageBreakBefore w:val="0"/>
        <w:numPr>
          <w:ilvl w:val="0"/>
          <w:numId w:val="101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删除成功后，项目从列表中移除。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图示：图3-2b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3429000"/>
            <wp:effectExtent b="0" l="0" r="0" t="0"/>
            <wp:docPr descr="fig-3-2b-projects-delete.png" title="" id="50" name="Picture"/>
            <a:graphic>
              <a:graphicData uri="http://schemas.openxmlformats.org/drawingml/2006/picture">
                <pic:pic>
                  <pic:nvPicPr>
                    <pic:cNvPr descr="images/fig-3-2b-projects-delete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注意：删除为关键操作，会写入审计日志。若项目下已存在结构对象，本版本会执行级联删除（用于演示闭环，不建议在真实生产环境无差别级联）。</w:t>
      </w:r>
    </w:p>
    <w:bookmarkEnd w:id="52"/>
    <w:bookmarkEnd w:id="53"/>
    <w:bookmarkStart w:id="63" w:name="X34667bc3c5bac12fbf1ee2a5036f61bfcc51ee6"/>
    <w:p>
      <w:pPr>
        <w:pStyle w:val="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5. </w:t>
      </w:r>
      <w:r>
        <w:rPr>
          <w:rFonts w:hint="eastAsia" w:eastAsia="宋体" w:ascii="Times New Roman" w:hAnsi="Times New Roman" w:cs="Times New Roman"/>
        </w:rPr>
        <w:t xml:space="preserve">结构对象</w:t>
      </w:r>
    </w:p>
    <w:bookmarkStart w:id="57" w:name="X72a1da7c5ba85f33d15171f653ae21f82f2c544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5.1 </w:t>
      </w:r>
      <w:r>
        <w:rPr>
          <w:rFonts w:hint="eastAsia" w:eastAsia="宋体" w:ascii="Times New Roman" w:hAnsi="Times New Roman" w:cs="Times New Roman"/>
        </w:rPr>
        <w:t xml:space="preserve">模块目的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结构对象是评估工作的“主键对象”。指标、评估记录、知识条目都应围绕结构对象沉淀。结构对象字段建议保持工程口径一致，例如结构体系、建成年代、设防烈度等。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图示：图3-3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3429000"/>
            <wp:effectExtent b="0" l="0" r="0" t="0"/>
            <wp:docPr descr="fig-3-3-structures.png" title="" id="55" name="Picture"/>
            <a:graphic>
              <a:graphicData uri="http://schemas.openxmlformats.org/drawingml/2006/picture">
                <pic:pic>
                  <pic:nvPicPr>
                    <pic:cNvPr descr="images/fig-3-3-structures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7"/>
    <w:bookmarkStart w:id="61" w:name="X97baccb8e9236dba79019fd1c9fa17851fff330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5.2 </w:t>
      </w:r>
      <w:r>
        <w:rPr>
          <w:rFonts w:hint="eastAsia" w:eastAsia="宋体" w:ascii="Times New Roman" w:hAnsi="Times New Roman" w:cs="Times New Roman"/>
        </w:rPr>
        <w:t xml:space="preserve">查看结构对象</w:t>
      </w:r>
    </w:p>
    <w:p>
      <w:pPr>
        <w:pStyle w:val="Compact"/>
        <w:keepNext w:val="0"/>
        <w:keepLines w:val="0"/>
        <w:pageBreakBefore w:val="0"/>
        <w:numPr>
          <w:ilvl w:val="0"/>
          <w:numId w:val="1015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进入“结构对象”模块。</w:t>
      </w:r>
    </w:p>
    <w:p>
      <w:pPr>
        <w:pStyle w:val="Compact"/>
        <w:keepNext w:val="0"/>
        <w:keepLines w:val="0"/>
        <w:pageBreakBefore w:val="0"/>
        <w:numPr>
          <w:ilvl w:val="0"/>
          <w:numId w:val="1015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在列表中选择一条结构对象记录。</w:t>
      </w:r>
    </w:p>
    <w:p>
      <w:pPr>
        <w:pStyle w:val="Compact"/>
        <w:keepNext w:val="0"/>
        <w:keepLines w:val="0"/>
        <w:pageBreakBefore w:val="0"/>
        <w:numPr>
          <w:ilvl w:val="0"/>
          <w:numId w:val="1015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点击“查看”打开详情弹窗。</w:t>
      </w:r>
    </w:p>
    <w:p>
      <w:pPr>
        <w:pStyle w:val="Compact"/>
        <w:keepNext w:val="0"/>
        <w:keepLines w:val="0"/>
        <w:pageBreakBefore w:val="0"/>
        <w:numPr>
          <w:ilvl w:val="0"/>
          <w:numId w:val="1015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在弹窗中核对字段，例如结构类型、层数、材料体系、设防烈度等。</w:t>
      </w:r>
    </w:p>
    <w:p>
      <w:pPr>
        <w:pStyle w:val="Compact"/>
        <w:keepNext w:val="0"/>
        <w:keepLines w:val="0"/>
        <w:pageBreakBefore w:val="0"/>
        <w:numPr>
          <w:ilvl w:val="0"/>
          <w:numId w:val="1015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点击弹窗右上角关闭按钮返回列表。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图示：图3-4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3429000"/>
            <wp:effectExtent b="0" l="0" r="0" t="0"/>
            <wp:docPr descr="fig-3-4-structures-view.png" title="" id="59" name="Picture"/>
            <a:graphic>
              <a:graphicData uri="http://schemas.openxmlformats.org/drawingml/2006/picture">
                <pic:pic>
                  <pic:nvPicPr>
                    <pic:cNvPr descr="images/fig-3-4-structures-view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说明：查看弹窗主要用于复核与抽检；复核人员可通过查看字段确认建模口径是否一致。</w:t>
      </w:r>
    </w:p>
    <w:bookmarkEnd w:id="61"/>
    <w:bookmarkStart w:id="62" w:name="Xba31d14d7bf89893055d2679efe83012280ae5e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5.3 </w:t>
      </w:r>
      <w:r>
        <w:rPr>
          <w:rFonts w:hint="eastAsia" w:eastAsia="宋体" w:ascii="Times New Roman" w:hAnsi="Times New Roman" w:cs="Times New Roman"/>
        </w:rPr>
        <w:t xml:space="preserve">新增结构对象</w:t>
      </w:r>
    </w:p>
    <w:p>
      <w:pPr>
        <w:pStyle w:val="Compact"/>
        <w:keepNext w:val="0"/>
        <w:keepLines w:val="0"/>
        <w:pageBreakBefore w:val="0"/>
        <w:numPr>
          <w:ilvl w:val="0"/>
          <w:numId w:val="101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点击右上角“新增”。</w:t>
      </w:r>
    </w:p>
    <w:p>
      <w:pPr>
        <w:pStyle w:val="Compact"/>
        <w:keepNext w:val="0"/>
        <w:keepLines w:val="0"/>
        <w:pageBreakBefore w:val="0"/>
        <w:numPr>
          <w:ilvl w:val="0"/>
          <w:numId w:val="101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在弹窗中填写项目ID、结构名称、结构类型、建成年代、层数、材料体系、设防烈度。</w:t>
      </w:r>
    </w:p>
    <w:p>
      <w:pPr>
        <w:pStyle w:val="Compact"/>
        <w:keepNext w:val="0"/>
        <w:keepLines w:val="0"/>
        <w:pageBreakBefore w:val="0"/>
        <w:numPr>
          <w:ilvl w:val="0"/>
          <w:numId w:val="101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点击“提交”完成新增。</w:t>
      </w:r>
    </w:p>
    <w:p>
      <w:pPr>
        <w:pStyle w:val="Compact"/>
        <w:keepNext w:val="0"/>
        <w:keepLines w:val="0"/>
        <w:pageBreakBefore w:val="0"/>
        <w:numPr>
          <w:ilvl w:val="0"/>
          <w:numId w:val="101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刷新列表确认新增成功。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补充建议：</w:t>
      </w:r>
    </w:p>
    <w:p>
      <w:pPr>
        <w:pStyle w:val="Compact"/>
        <w:keepNext w:val="0"/>
        <w:keepLines w:val="0"/>
        <w:pageBreakBefore w:val="0"/>
        <w:numPr>
          <w:ilvl w:val="0"/>
          <w:numId w:val="101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结构名称建议包含分区/楼号/桥号等信息，便于与现场资料对照；</w:t>
      </w:r>
    </w:p>
    <w:p>
      <w:pPr>
        <w:pStyle w:val="Compact"/>
        <w:keepNext w:val="0"/>
        <w:keepLines w:val="0"/>
        <w:pageBreakBefore w:val="0"/>
        <w:numPr>
          <w:ilvl w:val="0"/>
          <w:numId w:val="101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建成年代用于后续“规范版本/材料标准”的口径判断；</w:t>
      </w:r>
    </w:p>
    <w:p>
      <w:pPr>
        <w:pStyle w:val="Compact"/>
        <w:keepNext w:val="0"/>
        <w:keepLines w:val="0"/>
        <w:pageBreakBefore w:val="0"/>
        <w:numPr>
          <w:ilvl w:val="0"/>
          <w:numId w:val="101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设防烈度与场地类别会影响指标解释与韧性结论表述。</w:t>
      </w:r>
    </w:p>
    <w:bookmarkEnd w:id="62"/>
    <w:bookmarkEnd w:id="63"/>
    <w:bookmarkStart w:id="73" w:name="Xafe5a5b6709e81a9ca80816a112c19747b65bf3"/>
    <w:p>
      <w:pPr>
        <w:pStyle w:val="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6. </w:t>
      </w:r>
      <w:r>
        <w:rPr>
          <w:rFonts w:hint="eastAsia" w:eastAsia="宋体" w:ascii="Times New Roman" w:hAnsi="Times New Roman" w:cs="Times New Roman"/>
        </w:rPr>
        <w:t xml:space="preserve">数据集治理（登记/版本）</w:t>
      </w:r>
    </w:p>
    <w:bookmarkStart w:id="67" w:name="X1f9267252a213d08e6cfeedb0f13505e08b170d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6.1 </w:t>
      </w:r>
      <w:r>
        <w:rPr>
          <w:rFonts w:hint="eastAsia" w:eastAsia="宋体" w:ascii="Times New Roman" w:hAnsi="Times New Roman" w:cs="Times New Roman"/>
        </w:rPr>
        <w:t xml:space="preserve">模块目的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数据集治理用于把“评估所用的数据”变成可管理资产。建议把数据集分为：构件台账、材料检测、监测数据、震害样本、场地条件、加固方案等类别，并为每个数据集维护来源说明与敏感级别。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图示：图3-5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3429000"/>
            <wp:effectExtent b="0" l="0" r="0" t="0"/>
            <wp:docPr descr="fig-3-5-datasets.png" title="" id="65" name="Picture"/>
            <a:graphic>
              <a:graphicData uri="http://schemas.openxmlformats.org/drawingml/2006/picture">
                <pic:pic>
                  <pic:nvPicPr>
                    <pic:cNvPr descr="images/fig-3-5-datasets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7"/>
    <w:bookmarkStart w:id="71" w:name="X2b6f65d8191e31753cba7c89fd732fd7eb7e354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6.2 </w:t>
      </w:r>
      <w:r>
        <w:rPr>
          <w:rFonts w:hint="eastAsia" w:eastAsia="宋体" w:ascii="Times New Roman" w:hAnsi="Times New Roman" w:cs="Times New Roman"/>
        </w:rPr>
        <w:t xml:space="preserve">新增数据集</w:t>
      </w:r>
    </w:p>
    <w:p>
      <w:pPr>
        <w:pStyle w:val="Compact"/>
        <w:keepNext w:val="0"/>
        <w:keepLines w:val="0"/>
        <w:pageBreakBefore w:val="0"/>
        <w:numPr>
          <w:ilvl w:val="0"/>
          <w:numId w:val="1018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进入“数据集治理”。</w:t>
      </w:r>
    </w:p>
    <w:p>
      <w:pPr>
        <w:pStyle w:val="Compact"/>
        <w:keepNext w:val="0"/>
        <w:keepLines w:val="0"/>
        <w:pageBreakBefore w:val="0"/>
        <w:numPr>
          <w:ilvl w:val="0"/>
          <w:numId w:val="1018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点击右上角“新增”。</w:t>
      </w:r>
    </w:p>
    <w:p>
      <w:pPr>
        <w:pStyle w:val="Compact"/>
        <w:keepNext w:val="0"/>
        <w:keepLines w:val="0"/>
        <w:pageBreakBefore w:val="0"/>
        <w:numPr>
          <w:ilvl w:val="0"/>
          <w:numId w:val="1018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在弹窗中填写数据集名称、类别、来源说明、敏感级别。</w:t>
      </w:r>
    </w:p>
    <w:p>
      <w:pPr>
        <w:pStyle w:val="Compact"/>
        <w:keepNext w:val="0"/>
        <w:keepLines w:val="0"/>
        <w:pageBreakBefore w:val="0"/>
        <w:numPr>
          <w:ilvl w:val="0"/>
          <w:numId w:val="1018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点击“提交”完成新增。</w:t>
      </w:r>
    </w:p>
    <w:p>
      <w:pPr>
        <w:pStyle w:val="Compact"/>
        <w:keepNext w:val="0"/>
        <w:keepLines w:val="0"/>
        <w:pageBreakBefore w:val="0"/>
        <w:numPr>
          <w:ilvl w:val="0"/>
          <w:numId w:val="1018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刷新列表确认新增成功。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图示：图3-6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3429000"/>
            <wp:effectExtent b="0" l="0" r="0" t="0"/>
            <wp:docPr descr="fig-3-6-datasets-create.png" title="" id="69" name="Picture"/>
            <a:graphic>
              <a:graphicData uri="http://schemas.openxmlformats.org/drawingml/2006/picture">
                <pic:pic>
                  <pic:nvPicPr>
                    <pic:cNvPr descr="images/fig-3-6-datasets-create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建议的来源说明写法：</w:t>
      </w:r>
    </w:p>
    <w:p>
      <w:pPr>
        <w:pStyle w:val="Compact"/>
        <w:keepNext w:val="0"/>
        <w:keepLines w:val="0"/>
        <w:pageBreakBefore w:val="0"/>
        <w:numPr>
          <w:ilvl w:val="0"/>
          <w:numId w:val="1019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“现场核查：日期、范围、抽样策略、责任人”；</w:t>
      </w:r>
    </w:p>
    <w:p>
      <w:pPr>
        <w:pStyle w:val="Compact"/>
        <w:keepNext w:val="0"/>
        <w:keepLines w:val="0"/>
        <w:pageBreakBefore w:val="0"/>
        <w:numPr>
          <w:ilvl w:val="0"/>
          <w:numId w:val="1019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“第三方检测：报告编号、抽样构件与位置”；</w:t>
      </w:r>
    </w:p>
    <w:p>
      <w:pPr>
        <w:pStyle w:val="Compact"/>
        <w:keepNext w:val="0"/>
        <w:keepLines w:val="0"/>
        <w:pageBreakBefore w:val="0"/>
        <w:numPr>
          <w:ilvl w:val="0"/>
          <w:numId w:val="1019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“监测数据：传感器布设、采样频率、时间窗”。</w:t>
      </w:r>
    </w:p>
    <w:bookmarkEnd w:id="71"/>
    <w:bookmarkStart w:id="72" w:name="Xd4af04f383e74ab609b672bd2e12117431d5db5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6.3 </w:t>
      </w:r>
      <w:r>
        <w:rPr>
          <w:rFonts w:hint="eastAsia" w:eastAsia="宋体" w:ascii="Times New Roman" w:hAnsi="Times New Roman" w:cs="Times New Roman"/>
        </w:rPr>
        <w:t xml:space="preserve">查看数据集与版本列表</w:t>
      </w:r>
    </w:p>
    <w:p>
      <w:pPr>
        <w:pStyle w:val="Compact"/>
        <w:keepNext w:val="0"/>
        <w:keepLines w:val="0"/>
        <w:pageBreakBefore w:val="0"/>
        <w:numPr>
          <w:ilvl w:val="0"/>
          <w:numId w:val="1020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在数据集列表点击“查看”。</w:t>
      </w:r>
    </w:p>
    <w:p>
      <w:pPr>
        <w:pStyle w:val="Compact"/>
        <w:keepNext w:val="0"/>
        <w:keepLines w:val="0"/>
        <w:pageBreakBefore w:val="0"/>
        <w:numPr>
          <w:ilvl w:val="0"/>
          <w:numId w:val="1020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系统弹窗展示数据集详情与版本列表（若已创建版本）。</w:t>
      </w:r>
    </w:p>
    <w:p>
      <w:pPr>
        <w:pStyle w:val="Compact"/>
        <w:keepNext w:val="0"/>
        <w:keepLines w:val="0"/>
        <w:pageBreakBefore w:val="0"/>
        <w:numPr>
          <w:ilvl w:val="0"/>
          <w:numId w:val="1020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复核时重点关注：版本号、变更说明、创建时间。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本版本版本管理用于演示“版本化口径”，具体的字段级对比以简化文本方式呈现。</w:t>
      </w:r>
    </w:p>
    <w:bookmarkEnd w:id="72"/>
    <w:bookmarkEnd w:id="73"/>
    <w:bookmarkStart w:id="83" w:name="Xaabac915d3f5ea96eceb57bab47eb385edf1a25"/>
    <w:p>
      <w:pPr>
        <w:pStyle w:val="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7. </w:t>
      </w:r>
      <w:r>
        <w:rPr>
          <w:rFonts w:hint="eastAsia" w:eastAsia="宋体" w:ascii="Times New Roman" w:hAnsi="Times New Roman" w:cs="Times New Roman"/>
        </w:rPr>
        <w:t xml:space="preserve">质量规则与质量检查</w:t>
      </w:r>
    </w:p>
    <w:bookmarkStart w:id="77" w:name="X32d10cbc7ea5abaffcc2799188c7528b68e56f5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7.1 </w:t>
      </w:r>
      <w:r>
        <w:rPr>
          <w:rFonts w:hint="eastAsia" w:eastAsia="宋体" w:ascii="Times New Roman" w:hAnsi="Times New Roman" w:cs="Times New Roman"/>
        </w:rPr>
        <w:t xml:space="preserve">模块目的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质量检查用于把“数据能不能用”变成可度量证据。典型质量规则包括：</w:t>
      </w:r>
    </w:p>
    <w:p>
      <w:pPr>
        <w:pStyle w:val="Compact"/>
        <w:keepNext w:val="0"/>
        <w:keepLines w:val="0"/>
        <w:pageBreakBefore w:val="0"/>
        <w:numPr>
          <w:ilvl w:val="0"/>
          <w:numId w:val="102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必填字段：关键字段不能为空；</w:t>
      </w:r>
    </w:p>
    <w:p>
      <w:pPr>
        <w:pStyle w:val="Compact"/>
        <w:keepNext w:val="0"/>
        <w:keepLines w:val="0"/>
        <w:pageBreakBefore w:val="0"/>
        <w:numPr>
          <w:ilvl w:val="0"/>
          <w:numId w:val="102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最小条目数：记录数过少无法支撑结论；</w:t>
      </w:r>
    </w:p>
    <w:p>
      <w:pPr>
        <w:pStyle w:val="Compact"/>
        <w:keepNext w:val="0"/>
        <w:keepLines w:val="0"/>
        <w:pageBreakBefore w:val="0"/>
        <w:numPr>
          <w:ilvl w:val="0"/>
          <w:numId w:val="102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枚举口径：字段值必须落在约定集合；</w:t>
      </w:r>
    </w:p>
    <w:p>
      <w:pPr>
        <w:pStyle w:val="Compact"/>
        <w:keepNext w:val="0"/>
        <w:keepLines w:val="0"/>
        <w:pageBreakBefore w:val="0"/>
        <w:numPr>
          <w:ilvl w:val="0"/>
          <w:numId w:val="102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关联一致性：主外键或引用关系必须存在。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图示：图3-7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3429000"/>
            <wp:effectExtent b="0" l="0" r="0" t="0"/>
            <wp:docPr descr="fig-3-7-quality.png" title="" id="75" name="Picture"/>
            <a:graphic>
              <a:graphicData uri="http://schemas.openxmlformats.org/drawingml/2006/picture">
                <pic:pic>
                  <pic:nvPicPr>
                    <pic:cNvPr descr="images/fig-3-7-quality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7"/>
    <w:bookmarkStart w:id="78" w:name="X913665e0b521acc5f5e731e401a98a459d8d780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7.2 </w:t>
      </w:r>
      <w:r>
        <w:rPr>
          <w:rFonts w:hint="eastAsia" w:eastAsia="宋体" w:ascii="Times New Roman" w:hAnsi="Times New Roman" w:cs="Times New Roman"/>
        </w:rPr>
        <w:t xml:space="preserve">新增质量规则</w:t>
      </w:r>
    </w:p>
    <w:p>
      <w:pPr>
        <w:pStyle w:val="Compact"/>
        <w:keepNext w:val="0"/>
        <w:keepLines w:val="0"/>
        <w:pageBreakBefore w:val="0"/>
        <w:numPr>
          <w:ilvl w:val="0"/>
          <w:numId w:val="102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进入“质量检查”模块。</w:t>
      </w:r>
    </w:p>
    <w:p>
      <w:pPr>
        <w:pStyle w:val="Compact"/>
        <w:keepNext w:val="0"/>
        <w:keepLines w:val="0"/>
        <w:pageBreakBefore w:val="0"/>
        <w:numPr>
          <w:ilvl w:val="0"/>
          <w:numId w:val="102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点击右上角“新增”。</w:t>
      </w:r>
    </w:p>
    <w:p>
      <w:pPr>
        <w:pStyle w:val="Compact"/>
        <w:keepNext w:val="0"/>
        <w:keepLines w:val="0"/>
        <w:pageBreakBefore w:val="0"/>
        <w:numPr>
          <w:ilvl w:val="0"/>
          <w:numId w:val="102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在弹窗中填写数据集ID、规则类型、规则表达式、严重性。</w:t>
      </w:r>
    </w:p>
    <w:p>
      <w:pPr>
        <w:pStyle w:val="Compact"/>
        <w:keepNext w:val="0"/>
        <w:keepLines w:val="0"/>
        <w:pageBreakBefore w:val="0"/>
        <w:numPr>
          <w:ilvl w:val="0"/>
          <w:numId w:val="102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点击“提交”。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示例（口径建议）：</w:t>
      </w:r>
    </w:p>
    <w:p>
      <w:pPr>
        <w:pStyle w:val="Compact"/>
        <w:keepNext w:val="0"/>
        <w:keepLines w:val="0"/>
        <w:pageBreakBefore w:val="0"/>
        <w:numPr>
          <w:ilvl w:val="0"/>
          <w:numId w:val="1023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required_field</w:t>
      </w:r>
      <w:r>
        <w:rPr>
          <w:rFonts w:hint="eastAsia" w:eastAsia="宋体" w:ascii="Times New Roman" w:hAnsi="Times New Roman" w:cs="Times New Roman"/>
        </w:rPr>
        <w:t xml:space="preserve">：</w:t>
      </w:r>
      <w:r>
        <w:rPr>
          <w:rStyle w:val="VerbatimChar"/>
          <w:rFonts w:eastAsia="宋体" w:ascii="Times New Roman" w:hAnsi="Times New Roman" w:cs="Times New Roman"/>
        </w:rPr>
        <w:t xml:space="preserve">items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表示</w:t>
      </w:r>
      <w:r>
        <w:rPr>
          <w:rFonts w:eastAsia="宋体" w:ascii="Times New Roman" w:hAnsi="Times New Roman" w:cs="Times New Roman"/>
        </w:rPr>
        <w:t xml:space="preserve"> payload </w:t>
      </w:r>
      <w:r>
        <w:rPr>
          <w:rFonts w:hint="eastAsia" w:eastAsia="宋体" w:ascii="Times New Roman" w:hAnsi="Times New Roman" w:cs="Times New Roman"/>
        </w:rPr>
        <w:t xml:space="preserve">中必须包含</w:t>
      </w:r>
      <w:r>
        <w:rPr>
          <w:rFonts w:eastAsia="宋体" w:ascii="Times New Roman" w:hAnsi="Times New Roman" w:cs="Times New Roman"/>
        </w:rPr>
        <w:t xml:space="preserve"> items </w:t>
      </w:r>
      <w:r>
        <w:rPr>
          <w:rFonts w:hint="eastAsia" w:eastAsia="宋体" w:ascii="Times New Roman" w:hAnsi="Times New Roman" w:cs="Times New Roman"/>
        </w:rPr>
        <w:t xml:space="preserve">字段；</w:t>
      </w:r>
    </w:p>
    <w:p>
      <w:pPr>
        <w:pStyle w:val="Compact"/>
        <w:keepNext w:val="0"/>
        <w:keepLines w:val="0"/>
        <w:pageBreakBefore w:val="0"/>
        <w:numPr>
          <w:ilvl w:val="0"/>
          <w:numId w:val="1023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min_items</w:t>
      </w:r>
      <w:r>
        <w:rPr>
          <w:rFonts w:hint="eastAsia" w:eastAsia="宋体" w:ascii="Times New Roman" w:hAnsi="Times New Roman" w:cs="Times New Roman"/>
        </w:rPr>
        <w:t xml:space="preserve">：</w:t>
      </w:r>
      <w:r>
        <w:rPr>
          <w:rStyle w:val="VerbatimChar"/>
          <w:rFonts w:eastAsia="宋体" w:ascii="Times New Roman" w:hAnsi="Times New Roman" w:cs="Times New Roman"/>
        </w:rPr>
        <w:t xml:space="preserve">items,2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表示</w:t>
      </w:r>
      <w:r>
        <w:rPr>
          <w:rFonts w:eastAsia="宋体" w:ascii="Times New Roman" w:hAnsi="Times New Roman" w:cs="Times New Roman"/>
        </w:rPr>
        <w:t xml:space="preserve"> items </w:t>
      </w:r>
      <w:r>
        <w:rPr>
          <w:rFonts w:hint="eastAsia" w:eastAsia="宋体" w:ascii="Times New Roman" w:hAnsi="Times New Roman" w:cs="Times New Roman"/>
        </w:rPr>
        <w:t xml:space="preserve">列表长度至少为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2；</w:t>
      </w:r>
    </w:p>
    <w:p>
      <w:pPr>
        <w:pStyle w:val="Compact"/>
        <w:keepNext w:val="0"/>
        <w:keepLines w:val="0"/>
        <w:pageBreakBefore w:val="0"/>
        <w:numPr>
          <w:ilvl w:val="0"/>
          <w:numId w:val="1023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enum</w:t>
      </w:r>
      <w:r>
        <w:rPr>
          <w:rFonts w:hint="eastAsia" w:eastAsia="宋体" w:ascii="Times New Roman" w:hAnsi="Times New Roman" w:cs="Times New Roman"/>
        </w:rPr>
        <w:t xml:space="preserve">：</w:t>
      </w:r>
      <w:r>
        <w:rPr>
          <w:rStyle w:val="VerbatimChar"/>
          <w:rFonts w:eastAsia="宋体" w:ascii="Times New Roman" w:hAnsi="Times New Roman" w:cs="Times New Roman"/>
        </w:rPr>
        <w:t xml:space="preserve">site_class=I|II|III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表示场地类别口径必须落在</w:t>
      </w:r>
      <w:r>
        <w:rPr>
          <w:rFonts w:eastAsia="宋体" w:ascii="Times New Roman" w:hAnsi="Times New Roman" w:cs="Times New Roman"/>
        </w:rPr>
        <w:t xml:space="preserve"> I/II/III。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说明：该弹窗属于关键配置动作，建议在团队内形成“口径规则清单”，并定期复核。</w:t>
      </w:r>
    </w:p>
    <w:bookmarkEnd w:id="78"/>
    <w:bookmarkStart w:id="82" w:name="X2c5e1c2a0d411e78bd639e60baace4229354d5a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7.3 </w:t>
      </w:r>
      <w:r>
        <w:rPr>
          <w:rFonts w:hint="eastAsia" w:eastAsia="宋体" w:ascii="Times New Roman" w:hAnsi="Times New Roman" w:cs="Times New Roman"/>
        </w:rPr>
        <w:t xml:space="preserve">触发质量检查（查看与执行）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本版本提供“示例执行入口”用于展示质量检查执行与结果呈现：</w:t>
      </w:r>
    </w:p>
    <w:p>
      <w:pPr>
        <w:pStyle w:val="Compact"/>
        <w:keepNext w:val="0"/>
        <w:keepLines w:val="0"/>
        <w:pageBreakBefore w:val="0"/>
        <w:numPr>
          <w:ilvl w:val="0"/>
          <w:numId w:val="102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在质量检查页面点击“查看”。</w:t>
      </w:r>
    </w:p>
    <w:p>
      <w:pPr>
        <w:pStyle w:val="Compact"/>
        <w:keepNext w:val="0"/>
        <w:keepLines w:val="0"/>
        <w:pageBreakBefore w:val="0"/>
        <w:numPr>
          <w:ilvl w:val="0"/>
          <w:numId w:val="102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系统弹出对话框，提示可触发一次质量检查。</w:t>
      </w:r>
    </w:p>
    <w:p>
      <w:pPr>
        <w:pStyle w:val="Compact"/>
        <w:keepNext w:val="0"/>
        <w:keepLines w:val="0"/>
        <w:pageBreakBefore w:val="0"/>
        <w:numPr>
          <w:ilvl w:val="0"/>
          <w:numId w:val="102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点击弹窗中的“执行质量检查”。</w:t>
      </w:r>
    </w:p>
    <w:p>
      <w:pPr>
        <w:pStyle w:val="Compact"/>
        <w:keepNext w:val="0"/>
        <w:keepLines w:val="0"/>
        <w:pageBreakBefore w:val="0"/>
        <w:numPr>
          <w:ilvl w:val="0"/>
          <w:numId w:val="102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系统返回一次执行结果（评分</w:t>
      </w:r>
      <w:r>
        <w:rPr>
          <w:rFonts w:eastAsia="宋体" w:ascii="Times New Roman" w:hAnsi="Times New Roman" w:cs="Times New Roman"/>
        </w:rPr>
        <w:t xml:space="preserve"> + </w:t>
      </w:r>
      <w:r>
        <w:rPr>
          <w:rFonts w:hint="eastAsia" w:eastAsia="宋体" w:ascii="Times New Roman" w:hAnsi="Times New Roman" w:cs="Times New Roman"/>
        </w:rPr>
        <w:t xml:space="preserve">问题列表）。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图示：图3-8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3429000"/>
            <wp:effectExtent b="0" l="0" r="0" t="0"/>
            <wp:docPr descr="fig-3-8-quality-run.png" title="" id="80" name="Picture"/>
            <a:graphic>
              <a:graphicData uri="http://schemas.openxmlformats.org/drawingml/2006/picture">
                <pic:pic>
                  <pic:nvPicPr>
                    <pic:cNvPr descr="images/fig-3-8-quality-run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说明：质量检查结果会被用于评估链路的证据引用。若质量失败但仍需要出具阶段性结论，应在评估摘要中明确风险说明与补充计划。</w:t>
      </w:r>
    </w:p>
    <w:bookmarkEnd w:id="82"/>
    <w:bookmarkEnd w:id="83"/>
    <w:bookmarkStart w:id="89" w:name="Xd092200e02d1c04a5ba491579f3b86fdb342f32"/>
    <w:p>
      <w:pPr>
        <w:pStyle w:val="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8. </w:t>
      </w:r>
      <w:r>
        <w:rPr>
          <w:rFonts w:hint="eastAsia" w:eastAsia="宋体" w:ascii="Times New Roman" w:hAnsi="Times New Roman" w:cs="Times New Roman"/>
        </w:rPr>
        <w:t xml:space="preserve">指标配置与数据绑定</w:t>
      </w:r>
    </w:p>
    <w:bookmarkStart w:id="87" w:name="X8df1a4a2dfa887a940b0f495d329393a5995979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8.1 </w:t>
      </w:r>
      <w:r>
        <w:rPr>
          <w:rFonts w:hint="eastAsia" w:eastAsia="宋体" w:ascii="Times New Roman" w:hAnsi="Times New Roman" w:cs="Times New Roman"/>
        </w:rPr>
        <w:t xml:space="preserve">模块目的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指标配置用于把“评估要看的指标”与“数据版本”绑定起来。指标不是孤立数字，必须能回答：</w:t>
      </w:r>
    </w:p>
    <w:p>
      <w:pPr>
        <w:pStyle w:val="Compact"/>
        <w:keepNext w:val="0"/>
        <w:keepLines w:val="0"/>
        <w:pageBreakBefore w:val="0"/>
        <w:numPr>
          <w:ilvl w:val="0"/>
          <w:numId w:val="1025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这个指标是基于哪份数据版本得到的？</w:t>
      </w:r>
    </w:p>
    <w:p>
      <w:pPr>
        <w:pStyle w:val="Compact"/>
        <w:keepNext w:val="0"/>
        <w:keepLines w:val="0"/>
        <w:pageBreakBefore w:val="0"/>
        <w:numPr>
          <w:ilvl w:val="0"/>
          <w:numId w:val="1025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采用了什么方法（公式/脚本/人工录入）？</w:t>
      </w:r>
    </w:p>
    <w:p>
      <w:pPr>
        <w:pStyle w:val="Compact"/>
        <w:keepNext w:val="0"/>
        <w:keepLines w:val="0"/>
        <w:pageBreakBefore w:val="0"/>
        <w:numPr>
          <w:ilvl w:val="0"/>
          <w:numId w:val="1025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关键假设是什么，是否被复核？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图示：图3-9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3429000"/>
            <wp:effectExtent b="0" l="0" r="0" t="0"/>
            <wp:docPr descr="fig-3-9-indicators.png" title="" id="85" name="Picture"/>
            <a:graphic>
              <a:graphicData uri="http://schemas.openxmlformats.org/drawingml/2006/picture">
                <pic:pic>
                  <pic:nvPicPr>
                    <pic:cNvPr descr="images/fig-3-9-indicators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7"/>
    <w:bookmarkStart w:id="88" w:name="X42dec252ec7071022ea1d61bd9b2150565ab9c2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8.2 </w:t>
      </w:r>
      <w:r>
        <w:rPr>
          <w:rFonts w:hint="eastAsia" w:eastAsia="宋体" w:ascii="Times New Roman" w:hAnsi="Times New Roman" w:cs="Times New Roman"/>
        </w:rPr>
        <w:t xml:space="preserve">新增指标</w:t>
      </w:r>
    </w:p>
    <w:p>
      <w:pPr>
        <w:pStyle w:val="Compact"/>
        <w:keepNext w:val="0"/>
        <w:keepLines w:val="0"/>
        <w:pageBreakBefore w:val="0"/>
        <w:numPr>
          <w:ilvl w:val="0"/>
          <w:numId w:val="102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进入“指标配置”。</w:t>
      </w:r>
    </w:p>
    <w:p>
      <w:pPr>
        <w:pStyle w:val="Compact"/>
        <w:keepNext w:val="0"/>
        <w:keepLines w:val="0"/>
        <w:pageBreakBefore w:val="0"/>
        <w:numPr>
          <w:ilvl w:val="0"/>
          <w:numId w:val="102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点击右上角“新增”。</w:t>
      </w:r>
    </w:p>
    <w:p>
      <w:pPr>
        <w:pStyle w:val="Compact"/>
        <w:keepNext w:val="0"/>
        <w:keepLines w:val="0"/>
        <w:pageBreakBefore w:val="0"/>
        <w:numPr>
          <w:ilvl w:val="0"/>
          <w:numId w:val="102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填写结构ID、指标名称、方法、单位。</w:t>
      </w:r>
    </w:p>
    <w:p>
      <w:pPr>
        <w:pStyle w:val="Compact"/>
        <w:keepNext w:val="0"/>
        <w:keepLines w:val="0"/>
        <w:pageBreakBefore w:val="0"/>
        <w:numPr>
          <w:ilvl w:val="0"/>
          <w:numId w:val="102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点击“提交”。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示例指标（建议写法）：</w:t>
      </w:r>
    </w:p>
    <w:p>
      <w:pPr>
        <w:pStyle w:val="Compact"/>
        <w:keepNext w:val="0"/>
        <w:keepLines w:val="0"/>
        <w:pageBreakBefore w:val="0"/>
        <w:numPr>
          <w:ilvl w:val="0"/>
          <w:numId w:val="102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指标名称：层间位移角（限值比）</w:t>
      </w:r>
    </w:p>
    <w:p>
      <w:pPr>
        <w:pStyle w:val="Compact"/>
        <w:keepNext w:val="0"/>
        <w:keepLines w:val="0"/>
        <w:pageBreakBefore w:val="0"/>
        <w:numPr>
          <w:ilvl w:val="0"/>
          <w:numId w:val="102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方法：manual_or_formula（表示可由人工或公式计算）</w:t>
      </w:r>
    </w:p>
    <w:p>
      <w:pPr>
        <w:pStyle w:val="Compact"/>
        <w:keepNext w:val="0"/>
        <w:keepLines w:val="0"/>
        <w:pageBreakBefore w:val="0"/>
        <w:numPr>
          <w:ilvl w:val="0"/>
          <w:numId w:val="102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单位：ratio</w:t>
      </w:r>
    </w:p>
    <w:p>
      <w:pPr>
        <w:pStyle w:val="Compact"/>
        <w:keepNext w:val="0"/>
        <w:keepLines w:val="0"/>
        <w:pageBreakBefore w:val="0"/>
        <w:numPr>
          <w:ilvl w:val="0"/>
          <w:numId w:val="102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绑定：dataset_version_id=1，fields=["story_drift_angle"]（示例）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说明：本版本的绑定以示例</w:t>
      </w:r>
      <w:r>
        <w:rPr>
          <w:rFonts w:eastAsia="宋体" w:ascii="Times New Roman" w:hAnsi="Times New Roman" w:cs="Times New Roman"/>
        </w:rPr>
        <w:t xml:space="preserve"> JSON </w:t>
      </w:r>
      <w:r>
        <w:rPr>
          <w:rFonts w:hint="eastAsia" w:eastAsia="宋体" w:ascii="Times New Roman" w:hAnsi="Times New Roman" w:cs="Times New Roman"/>
        </w:rPr>
        <w:t xml:space="preserve">表达为主，目标是把“指标—数据版本”的关系固化为可追溯信息。</w:t>
      </w:r>
    </w:p>
    <w:bookmarkEnd w:id="88"/>
    <w:bookmarkEnd w:id="89"/>
    <w:bookmarkStart w:id="96" w:name="X31785f99408a4171f7d4bf16186e3b95aff6222"/>
    <w:p>
      <w:pPr>
        <w:pStyle w:val="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9. </w:t>
      </w:r>
      <w:r>
        <w:rPr>
          <w:rFonts w:hint="eastAsia" w:eastAsia="宋体" w:ascii="Times New Roman" w:hAnsi="Times New Roman" w:cs="Times New Roman"/>
        </w:rPr>
        <w:t xml:space="preserve">评估记录与复核</w:t>
      </w:r>
    </w:p>
    <w:bookmarkStart w:id="93" w:name="X205d9abf6af5f04ede5f3eba62aca5867d6c3fb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9.1 </w:t>
      </w:r>
      <w:r>
        <w:rPr>
          <w:rFonts w:hint="eastAsia" w:eastAsia="宋体" w:ascii="Times New Roman" w:hAnsi="Times New Roman" w:cs="Times New Roman"/>
        </w:rPr>
        <w:t xml:space="preserve">模块目的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评估记录用于把指标与工程判断形成可交付结论。建议评估摘要包含：</w:t>
      </w:r>
    </w:p>
    <w:p>
      <w:pPr>
        <w:pStyle w:val="Compact"/>
        <w:keepNext w:val="0"/>
        <w:keepLines w:val="0"/>
        <w:pageBreakBefore w:val="0"/>
        <w:numPr>
          <w:ilvl w:val="0"/>
          <w:numId w:val="1028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结构对象与设防背景简述；</w:t>
      </w:r>
    </w:p>
    <w:p>
      <w:pPr>
        <w:pStyle w:val="Compact"/>
        <w:keepNext w:val="0"/>
        <w:keepLines w:val="0"/>
        <w:pageBreakBefore w:val="0"/>
        <w:numPr>
          <w:ilvl w:val="0"/>
          <w:numId w:val="1028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关键指标与证据来源；</w:t>
      </w:r>
    </w:p>
    <w:p>
      <w:pPr>
        <w:pStyle w:val="Compact"/>
        <w:keepNext w:val="0"/>
        <w:keepLines w:val="0"/>
        <w:pageBreakBefore w:val="0"/>
        <w:numPr>
          <w:ilvl w:val="0"/>
          <w:numId w:val="1028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风险点与建议处置（如补测、复核、加固方案比选）。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图示：图3-10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3429000"/>
            <wp:effectExtent b="0" l="0" r="0" t="0"/>
            <wp:docPr descr="fig-3-10-assessments.png" title="" id="91" name="Picture"/>
            <a:graphic>
              <a:graphicData uri="http://schemas.openxmlformats.org/drawingml/2006/picture">
                <pic:pic>
                  <pic:nvPicPr>
                    <pic:cNvPr descr="images/fig-3-10-assessments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3"/>
    <w:bookmarkStart w:id="94" w:name="X17db614ccb0ebd494d5d31ad0a6eb7567fe6133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9.2 </w:t>
      </w:r>
      <w:r>
        <w:rPr>
          <w:rFonts w:hint="eastAsia" w:eastAsia="宋体" w:ascii="Times New Roman" w:hAnsi="Times New Roman" w:cs="Times New Roman"/>
        </w:rPr>
        <w:t xml:space="preserve">新增评估记录</w:t>
      </w:r>
    </w:p>
    <w:p>
      <w:pPr>
        <w:pStyle w:val="Compact"/>
        <w:keepNext w:val="0"/>
        <w:keepLines w:val="0"/>
        <w:pageBreakBefore w:val="0"/>
        <w:numPr>
          <w:ilvl w:val="0"/>
          <w:numId w:val="1029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进入“评估记录”。</w:t>
      </w:r>
    </w:p>
    <w:p>
      <w:pPr>
        <w:pStyle w:val="Compact"/>
        <w:keepNext w:val="0"/>
        <w:keepLines w:val="0"/>
        <w:pageBreakBefore w:val="0"/>
        <w:numPr>
          <w:ilvl w:val="0"/>
          <w:numId w:val="1029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点击右上角“新增”。</w:t>
      </w:r>
    </w:p>
    <w:p>
      <w:pPr>
        <w:pStyle w:val="Compact"/>
        <w:keepNext w:val="0"/>
        <w:keepLines w:val="0"/>
        <w:pageBreakBefore w:val="0"/>
        <w:numPr>
          <w:ilvl w:val="0"/>
          <w:numId w:val="1029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填写结构ID、评估摘要、指标ID列表。</w:t>
      </w:r>
    </w:p>
    <w:p>
      <w:pPr>
        <w:pStyle w:val="Compact"/>
        <w:keepNext w:val="0"/>
        <w:keepLines w:val="0"/>
        <w:pageBreakBefore w:val="0"/>
        <w:numPr>
          <w:ilvl w:val="0"/>
          <w:numId w:val="1029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点击“提交”形成一条评估记录（状态为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submitted）。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建议的摘要写法示例：</w:t>
      </w:r>
    </w:p>
    <w:p>
      <w:pPr>
        <w:pStyle w:val="Compact"/>
        <w:keepNext w:val="0"/>
        <w:keepLines w:val="0"/>
        <w:pageBreakBefore w:val="0"/>
        <w:numPr>
          <w:ilvl w:val="0"/>
          <w:numId w:val="1030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“在设防地震水平下结构整体延性满足要求，但关键连梁延性指标偏弱；建议补充构造复核与局部加固比选。”</w:t>
      </w:r>
    </w:p>
    <w:bookmarkEnd w:id="94"/>
    <w:bookmarkStart w:id="95" w:name="Xbde4b7e7eb082b9d701a009b1408e84737cb35c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9.3 </w:t>
      </w:r>
      <w:r>
        <w:rPr>
          <w:rFonts w:hint="eastAsia" w:eastAsia="宋体" w:ascii="Times New Roman" w:hAnsi="Times New Roman" w:cs="Times New Roman"/>
        </w:rPr>
        <w:t xml:space="preserve">复核口径（通过/驳回）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复核人员建议按以下清单抽检：</w:t>
      </w:r>
    </w:p>
    <w:p>
      <w:pPr>
        <w:pStyle w:val="Compact"/>
        <w:keepNext w:val="0"/>
        <w:keepLines w:val="0"/>
        <w:pageBreakBefore w:val="0"/>
        <w:numPr>
          <w:ilvl w:val="0"/>
          <w:numId w:val="103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数据来源：是否绑定到明确的数据版本；</w:t>
      </w:r>
    </w:p>
    <w:p>
      <w:pPr>
        <w:pStyle w:val="Compact"/>
        <w:keepNext w:val="0"/>
        <w:keepLines w:val="0"/>
        <w:pageBreakBefore w:val="0"/>
        <w:numPr>
          <w:ilvl w:val="0"/>
          <w:numId w:val="103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质量证据：质量检查是否通过，若未通过是否在摘要中说明；</w:t>
      </w:r>
    </w:p>
    <w:p>
      <w:pPr>
        <w:pStyle w:val="Compact"/>
        <w:keepNext w:val="0"/>
        <w:keepLines w:val="0"/>
        <w:pageBreakBefore w:val="0"/>
        <w:numPr>
          <w:ilvl w:val="0"/>
          <w:numId w:val="103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指标口径：方法与单位是否一致，是否存在混用；</w:t>
      </w:r>
    </w:p>
    <w:p>
      <w:pPr>
        <w:pStyle w:val="Compact"/>
        <w:keepNext w:val="0"/>
        <w:keepLines w:val="0"/>
        <w:pageBreakBefore w:val="0"/>
        <w:numPr>
          <w:ilvl w:val="0"/>
          <w:numId w:val="103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结论一致性：摘要是否能被指标与证据支撑。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说明：本版本提供复核接口与审计留痕，但前端界面以演示闭环为主；实际团队流程可在此基础上扩展复核工作流。</w:t>
      </w:r>
    </w:p>
    <w:bookmarkEnd w:id="95"/>
    <w:bookmarkEnd w:id="96"/>
    <w:bookmarkStart w:id="103" w:name="X58fe4a28268019ed049b0c2817b96fcf2ff5352"/>
    <w:p>
      <w:pPr>
        <w:pStyle w:val="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10. </w:t>
      </w:r>
      <w:r>
        <w:rPr>
          <w:rFonts w:hint="eastAsia" w:eastAsia="宋体" w:ascii="Times New Roman" w:hAnsi="Times New Roman" w:cs="Times New Roman"/>
        </w:rPr>
        <w:t xml:space="preserve">知识条目沉淀与检索</w:t>
      </w:r>
    </w:p>
    <w:bookmarkStart w:id="100" w:name="X26bb951d1d0d512b6aaedff4abe5e6e3dee22d7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10.1 </w:t>
      </w:r>
      <w:r>
        <w:rPr>
          <w:rFonts w:hint="eastAsia" w:eastAsia="宋体" w:ascii="Times New Roman" w:hAnsi="Times New Roman" w:cs="Times New Roman"/>
        </w:rPr>
        <w:t xml:space="preserve">模块目的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知识条目用于把“可复用的经验”沉淀下来。建议一个条目包含：</w:t>
      </w:r>
    </w:p>
    <w:p>
      <w:pPr>
        <w:pStyle w:val="Compact"/>
        <w:keepNext w:val="0"/>
        <w:keepLines w:val="0"/>
        <w:pageBreakBefore w:val="0"/>
        <w:numPr>
          <w:ilvl w:val="0"/>
          <w:numId w:val="103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结论摘要（可复用表达）；</w:t>
      </w:r>
    </w:p>
    <w:p>
      <w:pPr>
        <w:pStyle w:val="Compact"/>
        <w:keepNext w:val="0"/>
        <w:keepLines w:val="0"/>
        <w:pageBreakBefore w:val="0"/>
        <w:numPr>
          <w:ilvl w:val="0"/>
          <w:numId w:val="103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适用条件（结构类型、区域、设防水平、数据口径）；</w:t>
      </w:r>
    </w:p>
    <w:p>
      <w:pPr>
        <w:pStyle w:val="Compact"/>
        <w:keepNext w:val="0"/>
        <w:keepLines w:val="0"/>
        <w:pageBreakBefore w:val="0"/>
        <w:numPr>
          <w:ilvl w:val="0"/>
          <w:numId w:val="103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证据引用（数据版本、质量记录、关键指标）；</w:t>
      </w:r>
    </w:p>
    <w:p>
      <w:pPr>
        <w:pStyle w:val="Compact"/>
        <w:keepNext w:val="0"/>
        <w:keepLines w:val="0"/>
        <w:pageBreakBefore w:val="0"/>
        <w:numPr>
          <w:ilvl w:val="0"/>
          <w:numId w:val="103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风险提示（不适用情况与注意事项）。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图示：图3-11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3429000"/>
            <wp:effectExtent b="0" l="0" r="0" t="0"/>
            <wp:docPr descr="fig-3-11-knowledge.png" title="" id="98" name="Picture"/>
            <a:graphic>
              <a:graphicData uri="http://schemas.openxmlformats.org/drawingml/2006/picture">
                <pic:pic>
                  <pic:nvPicPr>
                    <pic:cNvPr descr="images/fig-3-11-knowledge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0"/>
    <w:bookmarkStart w:id="101" w:name="X63af433a84f04132ebb2b9e7e4a0605c9f2c330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10.2 </w:t>
      </w:r>
      <w:r>
        <w:rPr>
          <w:rFonts w:hint="eastAsia" w:eastAsia="宋体" w:ascii="Times New Roman" w:hAnsi="Times New Roman" w:cs="Times New Roman"/>
        </w:rPr>
        <w:t xml:space="preserve">新增知识条目</w:t>
      </w:r>
    </w:p>
    <w:p>
      <w:pPr>
        <w:pStyle w:val="Compact"/>
        <w:keepNext w:val="0"/>
        <w:keepLines w:val="0"/>
        <w:pageBreakBefore w:val="0"/>
        <w:numPr>
          <w:ilvl w:val="0"/>
          <w:numId w:val="103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进入“知识条目”。</w:t>
      </w:r>
    </w:p>
    <w:p>
      <w:pPr>
        <w:pStyle w:val="Compact"/>
        <w:keepNext w:val="0"/>
        <w:keepLines w:val="0"/>
        <w:pageBreakBefore w:val="0"/>
        <w:numPr>
          <w:ilvl w:val="0"/>
          <w:numId w:val="103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点击右上角“新增”。</w:t>
      </w:r>
    </w:p>
    <w:p>
      <w:pPr>
        <w:pStyle w:val="Compact"/>
        <w:keepNext w:val="0"/>
        <w:keepLines w:val="0"/>
        <w:pageBreakBefore w:val="0"/>
        <w:numPr>
          <w:ilvl w:val="0"/>
          <w:numId w:val="103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填写标题、标签、摘要。</w:t>
      </w:r>
    </w:p>
    <w:p>
      <w:pPr>
        <w:pStyle w:val="Compact"/>
        <w:keepNext w:val="0"/>
        <w:keepLines w:val="0"/>
        <w:pageBreakBefore w:val="0"/>
        <w:numPr>
          <w:ilvl w:val="0"/>
          <w:numId w:val="103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点击“提交”。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标签建议：</w:t>
      </w:r>
    </w:p>
    <w:p>
      <w:pPr>
        <w:pStyle w:val="Compact"/>
        <w:keepNext w:val="0"/>
        <w:keepLines w:val="0"/>
        <w:pageBreakBefore w:val="0"/>
        <w:numPr>
          <w:ilvl w:val="0"/>
          <w:numId w:val="103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结构体系（框剪/连续梁/地下结构等）</w:t>
      </w:r>
    </w:p>
    <w:p>
      <w:pPr>
        <w:pStyle w:val="Compact"/>
        <w:keepNext w:val="0"/>
        <w:keepLines w:val="0"/>
        <w:pageBreakBefore w:val="0"/>
        <w:numPr>
          <w:ilvl w:val="0"/>
          <w:numId w:val="103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区域与场地类别</w:t>
      </w:r>
    </w:p>
    <w:p>
      <w:pPr>
        <w:pStyle w:val="Compact"/>
        <w:keepNext w:val="0"/>
        <w:keepLines w:val="0"/>
        <w:pageBreakBefore w:val="0"/>
        <w:numPr>
          <w:ilvl w:val="0"/>
          <w:numId w:val="103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指标关键词（层间位移角/延性/恢复时间等）</w:t>
      </w:r>
    </w:p>
    <w:bookmarkEnd w:id="101"/>
    <w:bookmarkStart w:id="102" w:name="X79948d75827f15b479940277f0165254f741841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10.3 </w:t>
      </w:r>
      <w:r>
        <w:rPr>
          <w:rFonts w:hint="eastAsia" w:eastAsia="宋体" w:ascii="Times New Roman" w:hAnsi="Times New Roman" w:cs="Times New Roman"/>
        </w:rPr>
        <w:t xml:space="preserve">检索建议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检索时建议从“结构体系</w:t>
      </w:r>
      <w:r>
        <w:rPr>
          <w:rFonts w:eastAsia="宋体" w:ascii="Times New Roman" w:hAnsi="Times New Roman" w:cs="Times New Roman"/>
        </w:rPr>
        <w:t xml:space="preserve"> + </w:t>
      </w:r>
      <w:r>
        <w:rPr>
          <w:rFonts w:hint="eastAsia" w:eastAsia="宋体" w:ascii="Times New Roman" w:hAnsi="Times New Roman" w:cs="Times New Roman"/>
        </w:rPr>
        <w:t xml:space="preserve">指标关键词</w:t>
      </w:r>
      <w:r>
        <w:rPr>
          <w:rFonts w:eastAsia="宋体" w:ascii="Times New Roman" w:hAnsi="Times New Roman" w:cs="Times New Roman"/>
        </w:rPr>
        <w:t xml:space="preserve"> + </w:t>
      </w:r>
      <w:r>
        <w:rPr>
          <w:rFonts w:hint="eastAsia" w:eastAsia="宋体" w:ascii="Times New Roman" w:hAnsi="Times New Roman" w:cs="Times New Roman"/>
        </w:rPr>
        <w:t xml:space="preserve">区域”组合开始，逐步缩小范围；当条目积累较多时，可约定统一标签字典以提升命中率。</w:t>
      </w:r>
    </w:p>
    <w:bookmarkEnd w:id="102"/>
    <w:bookmarkEnd w:id="103"/>
    <w:bookmarkStart w:id="110" w:name="Xa06ab342bd774689c6ac8b24f5ad5203b761226"/>
    <w:p>
      <w:pPr>
        <w:pStyle w:val="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11. </w:t>
      </w:r>
      <w:r>
        <w:rPr>
          <w:rFonts w:hint="eastAsia" w:eastAsia="宋体" w:ascii="Times New Roman" w:hAnsi="Times New Roman" w:cs="Times New Roman"/>
        </w:rPr>
        <w:t xml:space="preserve">审计留痕与导出</w:t>
      </w:r>
    </w:p>
    <w:bookmarkStart w:id="107" w:name="Xc243df7f836229b322a0d77e09acf5c4b62a7a9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11.1 </w:t>
      </w:r>
      <w:r>
        <w:rPr>
          <w:rFonts w:hint="eastAsia" w:eastAsia="宋体" w:ascii="Times New Roman" w:hAnsi="Times New Roman" w:cs="Times New Roman"/>
        </w:rPr>
        <w:t xml:space="preserve">审计留痕用途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审计模块用于查看关键操作记录，例如：新增、编辑、删除、执行质量检查、提交评估、复核、登录等。审计信息通常用于：</w:t>
      </w:r>
    </w:p>
    <w:p>
      <w:pPr>
        <w:pStyle w:val="Compact"/>
        <w:keepNext w:val="0"/>
        <w:keepLines w:val="0"/>
        <w:pageBreakBefore w:val="0"/>
        <w:numPr>
          <w:ilvl w:val="0"/>
          <w:numId w:val="1035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复核抽检：确认关键字段是谁在何时改动；</w:t>
      </w:r>
    </w:p>
    <w:p>
      <w:pPr>
        <w:pStyle w:val="Compact"/>
        <w:keepNext w:val="0"/>
        <w:keepLines w:val="0"/>
        <w:pageBreakBefore w:val="0"/>
        <w:numPr>
          <w:ilvl w:val="0"/>
          <w:numId w:val="1035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责任追踪：出现口径偏差时定位变更源头；</w:t>
      </w:r>
    </w:p>
    <w:p>
      <w:pPr>
        <w:pStyle w:val="Compact"/>
        <w:keepNext w:val="0"/>
        <w:keepLines w:val="0"/>
        <w:pageBreakBefore w:val="0"/>
        <w:numPr>
          <w:ilvl w:val="0"/>
          <w:numId w:val="1035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对外交付：解释结论形成过程与证据链。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追溯核对建议（用于减少争议与返工）：</w:t>
      </w:r>
    </w:p>
    <w:p>
      <w:pPr>
        <w:pStyle w:val="Compact"/>
        <w:keepNext w:val="0"/>
        <w:keepLines w:val="0"/>
        <w:pageBreakBefore w:val="0"/>
        <w:numPr>
          <w:ilvl w:val="0"/>
          <w:numId w:val="103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数据集版本：评估记录引用的数据集版本号是否与“已发布版本”一致，避免把草稿版本当成正式结论依据。</w:t>
      </w:r>
    </w:p>
    <w:p>
      <w:pPr>
        <w:pStyle w:val="Compact"/>
        <w:keepNext w:val="0"/>
        <w:keepLines w:val="0"/>
        <w:pageBreakBefore w:val="0"/>
        <w:numPr>
          <w:ilvl w:val="0"/>
          <w:numId w:val="103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质量证据：该版本是否已执行质量检查，质量报告中是否存在未处理的高风险项（如关键字段缺失、重复率异常、指标字段映射冲突）。</w:t>
      </w:r>
    </w:p>
    <w:p>
      <w:pPr>
        <w:pStyle w:val="Compact"/>
        <w:keepNext w:val="0"/>
        <w:keepLines w:val="0"/>
        <w:pageBreakBefore w:val="0"/>
        <w:numPr>
          <w:ilvl w:val="0"/>
          <w:numId w:val="103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指标口径：指标配置是否在评估提交前已固定，是否存在“提交后改口径”的情况；建议在团队流程中对口径变更做备注并保留记录。</w:t>
      </w:r>
    </w:p>
    <w:p>
      <w:pPr>
        <w:pStyle w:val="Compact"/>
        <w:keepNext w:val="0"/>
        <w:keepLines w:val="0"/>
        <w:pageBreakBefore w:val="0"/>
        <w:numPr>
          <w:ilvl w:val="0"/>
          <w:numId w:val="103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复核意见：复核人是否对“主要结论</w:t>
      </w:r>
      <w:r>
        <w:rPr>
          <w:rFonts w:eastAsia="宋体" w:ascii="Times New Roman" w:hAnsi="Times New Roman" w:cs="Times New Roman"/>
        </w:rPr>
        <w:t xml:space="preserve"> + </w:t>
      </w:r>
      <w:r>
        <w:rPr>
          <w:rFonts w:hint="eastAsia" w:eastAsia="宋体" w:ascii="Times New Roman" w:hAnsi="Times New Roman" w:cs="Times New Roman"/>
        </w:rPr>
        <w:t xml:space="preserve">证据链”做过确认，必要时补充不确定性说明（例如数据缺失导致的偏差风险）。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图示：图3-12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16808958"/>
            <wp:effectExtent b="0" l="0" r="0" t="0"/>
            <wp:docPr descr="fig-3-12-audit.png" title="" id="105" name="Picture"/>
            <a:graphic>
              <a:graphicData uri="http://schemas.openxmlformats.org/drawingml/2006/picture">
                <pic:pic>
                  <pic:nvPicPr>
                    <pic:cNvPr descr="images/fig-3-12-audit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808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7"/>
    <w:bookmarkStart w:id="108" w:name="X34b90b3fb7e19715094dc7ac5d09fed2154d1a7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11.2 </w:t>
      </w:r>
      <w:r>
        <w:rPr>
          <w:rFonts w:hint="eastAsia" w:eastAsia="宋体" w:ascii="Times New Roman" w:hAnsi="Times New Roman" w:cs="Times New Roman"/>
        </w:rPr>
        <w:t xml:space="preserve">查看审计日志</w:t>
      </w:r>
    </w:p>
    <w:p>
      <w:pPr>
        <w:pStyle w:val="Compact"/>
        <w:keepNext w:val="0"/>
        <w:keepLines w:val="0"/>
        <w:pageBreakBefore w:val="0"/>
        <w:numPr>
          <w:ilvl w:val="0"/>
          <w:numId w:val="103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进入“审计留痕”。</w:t>
      </w:r>
    </w:p>
    <w:p>
      <w:pPr>
        <w:pStyle w:val="Compact"/>
        <w:keepNext w:val="0"/>
        <w:keepLines w:val="0"/>
        <w:pageBreakBefore w:val="0"/>
        <w:numPr>
          <w:ilvl w:val="0"/>
          <w:numId w:val="103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在列表点击“查看”。</w:t>
      </w:r>
    </w:p>
    <w:p>
      <w:pPr>
        <w:pStyle w:val="Compact"/>
        <w:keepNext w:val="0"/>
        <w:keepLines w:val="0"/>
        <w:pageBreakBefore w:val="0"/>
        <w:numPr>
          <w:ilvl w:val="0"/>
          <w:numId w:val="103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弹窗展示该条审计记录的完整字段。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建议抽检字段：</w:t>
      </w:r>
    </w:p>
    <w:p>
      <w:pPr>
        <w:pStyle w:val="Compact"/>
        <w:keepNext w:val="0"/>
        <w:keepLines w:val="0"/>
        <w:pageBreakBefore w:val="0"/>
        <w:numPr>
          <w:ilvl w:val="0"/>
          <w:numId w:val="1038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actor（操作者）</w:t>
      </w:r>
    </w:p>
    <w:p>
      <w:pPr>
        <w:pStyle w:val="Compact"/>
        <w:keepNext w:val="0"/>
        <w:keepLines w:val="0"/>
        <w:pageBreakBefore w:val="0"/>
        <w:numPr>
          <w:ilvl w:val="0"/>
          <w:numId w:val="1038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action（动作）</w:t>
      </w:r>
    </w:p>
    <w:p>
      <w:pPr>
        <w:pStyle w:val="Compact"/>
        <w:keepNext w:val="0"/>
        <w:keepLines w:val="0"/>
        <w:pageBreakBefore w:val="0"/>
        <w:numPr>
          <w:ilvl w:val="0"/>
          <w:numId w:val="1038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object_type/object_id（对象类型与ID）</w:t>
      </w:r>
    </w:p>
    <w:p>
      <w:pPr>
        <w:pStyle w:val="Compact"/>
        <w:keepNext w:val="0"/>
        <w:keepLines w:val="0"/>
        <w:pageBreakBefore w:val="0"/>
        <w:numPr>
          <w:ilvl w:val="0"/>
          <w:numId w:val="1038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at（时间戳）</w:t>
      </w:r>
    </w:p>
    <w:bookmarkEnd w:id="108"/>
    <w:bookmarkStart w:id="109" w:name="Xc4ce19ca727e9167ff1712c7414c0b912f29186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11.3 </w:t>
      </w:r>
      <w:r>
        <w:rPr>
          <w:rFonts w:hint="eastAsia" w:eastAsia="宋体" w:ascii="Times New Roman" w:hAnsi="Times New Roman" w:cs="Times New Roman"/>
        </w:rPr>
        <w:t xml:space="preserve">导出建议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本版本提供导出接口与示例输出。若用于项目交付，建议导出内容包括：</w:t>
      </w:r>
    </w:p>
    <w:p>
      <w:pPr>
        <w:pStyle w:val="Compact"/>
        <w:keepNext w:val="0"/>
        <w:keepLines w:val="0"/>
        <w:pageBreakBefore w:val="0"/>
        <w:numPr>
          <w:ilvl w:val="0"/>
          <w:numId w:val="1039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项目概览（项目字段与结构对象清单）；</w:t>
      </w:r>
    </w:p>
    <w:p>
      <w:pPr>
        <w:pStyle w:val="Compact"/>
        <w:keepNext w:val="0"/>
        <w:keepLines w:val="0"/>
        <w:pageBreakBefore w:val="0"/>
        <w:numPr>
          <w:ilvl w:val="0"/>
          <w:numId w:val="1039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数据集版本与质量检查结果；</w:t>
      </w:r>
    </w:p>
    <w:p>
      <w:pPr>
        <w:pStyle w:val="Compact"/>
        <w:keepNext w:val="0"/>
        <w:keepLines w:val="0"/>
        <w:pageBreakBefore w:val="0"/>
        <w:numPr>
          <w:ilvl w:val="0"/>
          <w:numId w:val="1039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评估记录与复核意见；</w:t>
      </w:r>
    </w:p>
    <w:p>
      <w:pPr>
        <w:pStyle w:val="Compact"/>
        <w:keepNext w:val="0"/>
        <w:keepLines w:val="0"/>
        <w:pageBreakBefore w:val="0"/>
        <w:numPr>
          <w:ilvl w:val="0"/>
          <w:numId w:val="1039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关键审计记录摘要。</w:t>
      </w:r>
    </w:p>
    <w:bookmarkEnd w:id="109"/>
    <w:bookmarkEnd w:id="110"/>
    <w:bookmarkStart w:id="115" w:name="X7f6c6247784f137b0422ab5f63ae025c7374dae"/>
    <w:p>
      <w:pPr>
        <w:pStyle w:val="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12. </w:t>
      </w:r>
      <w:r>
        <w:rPr>
          <w:rFonts w:hint="eastAsia" w:eastAsia="宋体" w:ascii="Times New Roman" w:hAnsi="Times New Roman" w:cs="Times New Roman"/>
        </w:rPr>
        <w:t xml:space="preserve">常见问题与排错</w:t>
      </w:r>
    </w:p>
    <w:bookmarkStart w:id="111" w:name="Xee7763aaf0f7d5570f84492df4177ca77121d50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12.1 </w:t>
      </w:r>
      <w:r>
        <w:rPr>
          <w:rFonts w:hint="eastAsia" w:eastAsia="宋体" w:ascii="Times New Roman" w:hAnsi="Times New Roman" w:cs="Times New Roman"/>
        </w:rPr>
        <w:t xml:space="preserve">登录失败</w:t>
      </w:r>
    </w:p>
    <w:p>
      <w:pPr>
        <w:pStyle w:val="Compact"/>
        <w:keepNext w:val="0"/>
        <w:keepLines w:val="0"/>
        <w:pageBreakBefore w:val="0"/>
        <w:numPr>
          <w:ilvl w:val="0"/>
          <w:numId w:val="1040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确认账号密码是否正确。</w:t>
      </w:r>
    </w:p>
    <w:p>
      <w:pPr>
        <w:pStyle w:val="Compact"/>
        <w:keepNext w:val="0"/>
        <w:keepLines w:val="0"/>
        <w:pageBreakBefore w:val="0"/>
        <w:numPr>
          <w:ilvl w:val="0"/>
          <w:numId w:val="1040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演示管理员账号为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admin/admin123</w:t>
      </w:r>
      <w:r>
        <w:rPr>
          <w:rFonts w:eastAsia="宋体" w:ascii="Times New Roman" w:hAnsi="Times New Roman" w:cs="Times New Roman"/>
        </w:rPr>
        <w:t xml:space="preserve">。</w:t>
      </w:r>
    </w:p>
    <w:p>
      <w:pPr>
        <w:pStyle w:val="Compact"/>
        <w:keepNext w:val="0"/>
        <w:keepLines w:val="0"/>
        <w:pageBreakBefore w:val="0"/>
        <w:numPr>
          <w:ilvl w:val="0"/>
          <w:numId w:val="1040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若仍失败，建议查看后端服务是否启动，并检查浏览器控制台是否有网络错误。</w:t>
      </w:r>
    </w:p>
    <w:bookmarkEnd w:id="111"/>
    <w:bookmarkStart w:id="112" w:name="X227c68b9e01ed97f6929de1f59d1daba72f96e7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12.2 </w:t>
      </w:r>
      <w:r>
        <w:rPr>
          <w:rFonts w:hint="eastAsia" w:eastAsia="宋体" w:ascii="Times New Roman" w:hAnsi="Times New Roman" w:cs="Times New Roman"/>
        </w:rPr>
        <w:t xml:space="preserve">提示无权限</w:t>
      </w:r>
    </w:p>
    <w:p>
      <w:pPr>
        <w:pStyle w:val="Compact"/>
        <w:keepNext w:val="0"/>
        <w:keepLines w:val="0"/>
        <w:pageBreakBefore w:val="0"/>
        <w:numPr>
          <w:ilvl w:val="0"/>
          <w:numId w:val="104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不同角色的权限范围不同。</w:t>
      </w:r>
    </w:p>
    <w:p>
      <w:pPr>
        <w:pStyle w:val="Compact"/>
        <w:keepNext w:val="0"/>
        <w:keepLines w:val="0"/>
        <w:pageBreakBefore w:val="0"/>
        <w:numPr>
          <w:ilvl w:val="0"/>
          <w:numId w:val="104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演示场景建议使用管理员账号操作，确保能覆盖新增、编辑、删除、查看等动作。</w:t>
      </w:r>
    </w:p>
    <w:bookmarkEnd w:id="112"/>
    <w:bookmarkStart w:id="113" w:name="X807dfedc273560dafce3b08fda91da1d4f3f052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12.3 </w:t>
      </w:r>
      <w:r>
        <w:rPr>
          <w:rFonts w:hint="eastAsia" w:eastAsia="宋体" w:ascii="Times New Roman" w:hAnsi="Times New Roman" w:cs="Times New Roman"/>
        </w:rPr>
        <w:t xml:space="preserve">质量检查无结果或评分为</w:t>
      </w:r>
      <w:r>
        <w:rPr>
          <w:rFonts w:eastAsia="宋体" w:ascii="Times New Roman" w:hAnsi="Times New Roman" w:cs="Times New Roman"/>
        </w:rPr>
        <w:t xml:space="preserve"> 0</w:t>
      </w:r>
    </w:p>
    <w:p>
      <w:pPr>
        <w:pStyle w:val="Compact"/>
        <w:keepNext w:val="0"/>
        <w:keepLines w:val="0"/>
        <w:pageBreakBefore w:val="0"/>
        <w:numPr>
          <w:ilvl w:val="0"/>
          <w:numId w:val="104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先确认是否已为目标数据集创建版本，并配置质量规则。</w:t>
      </w:r>
    </w:p>
    <w:p>
      <w:pPr>
        <w:pStyle w:val="Compact"/>
        <w:keepNext w:val="0"/>
        <w:keepLines w:val="0"/>
        <w:pageBreakBefore w:val="0"/>
        <w:numPr>
          <w:ilvl w:val="0"/>
          <w:numId w:val="104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确认规则表达式是否符合约定格式。</w:t>
      </w:r>
    </w:p>
    <w:p>
      <w:pPr>
        <w:pStyle w:val="Compact"/>
        <w:keepNext w:val="0"/>
        <w:keepLines w:val="0"/>
        <w:pageBreakBefore w:val="0"/>
        <w:numPr>
          <w:ilvl w:val="0"/>
          <w:numId w:val="104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若规则类型不支持，本版本会以“忽略/通过”的方式处理，并建议在后续版本扩展规则解释器。</w:t>
      </w:r>
    </w:p>
    <w:bookmarkEnd w:id="113"/>
    <w:bookmarkStart w:id="114" w:name="Xaa4dd72557c48b1fff8be6b1ce63a44f5ea0fc9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12.4 </w:t>
      </w:r>
      <w:r>
        <w:rPr>
          <w:rFonts w:hint="eastAsia" w:eastAsia="宋体" w:ascii="Times New Roman" w:hAnsi="Times New Roman" w:cs="Times New Roman"/>
        </w:rPr>
        <w:t xml:space="preserve">截图与文档不一致</w:t>
      </w:r>
    </w:p>
    <w:p>
      <w:pPr>
        <w:pStyle w:val="Compact"/>
        <w:keepNext w:val="0"/>
        <w:keepLines w:val="0"/>
        <w:pageBreakBefore w:val="0"/>
        <w:numPr>
          <w:ilvl w:val="0"/>
          <w:numId w:val="104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确认操作手册引用的图号与图片文件是否对应。</w:t>
      </w:r>
    </w:p>
    <w:p>
      <w:pPr>
        <w:pStyle w:val="Compact"/>
        <w:keepNext w:val="0"/>
        <w:keepLines w:val="0"/>
        <w:pageBreakBefore w:val="0"/>
        <w:numPr>
          <w:ilvl w:val="0"/>
          <w:numId w:val="104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重新执行材料生成脚本以重新截图并生成</w:t>
      </w:r>
      <w:r>
        <w:rPr>
          <w:rFonts w:eastAsia="宋体" w:ascii="Times New Roman" w:hAnsi="Times New Roman" w:cs="Times New Roman"/>
        </w:rPr>
        <w:t xml:space="preserve"> docx/pdf。</w:t>
      </w:r>
    </w:p>
    <w:p>
      <w:pPr>
        <w:pStyle w:val="Compact"/>
        <w:keepNext w:val="0"/>
        <w:keepLines w:val="0"/>
        <w:pageBreakBefore w:val="0"/>
        <w:numPr>
          <w:ilvl w:val="0"/>
          <w:numId w:val="104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若页面结构调整（按钮文案或位置变化），需要同步更新截图计划与手册描述。</w:t>
      </w:r>
    </w:p>
    <w:bookmarkEnd w:id="114"/>
    <w:bookmarkEnd w:id="115"/>
    <w:sectPr w:rsidR="003B3662" w:rsidRPr="00667EFA" w:rsidSect="00575AD7">
      <w:headerReference r:id="rId8" w:type="default"/>
      <w:footerReference r:id="rId9" w:type="default"/>
      <w:pgSz w:h="15840" w:w="12240"/>
      <w:pgMar w:bottom="1440" w:footer="720" w:gutter="0" w:header="720" w:left="1800" w:right="1800" w:top="1440"/>
      <w:cols w:space="720"/>
      <w:docGrid w:linePitch="360"/>
      <w:vAlign w:val="top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8FD065" w14:textId="23CF581C" w:rsidR="00575AD7" w:rsidRDefault="00575AD7">
    <w:pPr>
      <w:pStyle w:val="ab"/>
      <w:jc w:val="center"/>
    </w:pPr>
  </w:p>
  <w:p w14:paraId="3C8F060C" w14:textId="77777777" w:rsidR="00A63B17" w:rsidRDefault="00A63B17">
    <w:pPr>
      <w:pStyle w:val="ab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F77E69" w14:textId="25B7BE2F" w:rsidR="003B3662" w:rsidRPr="00505C85" w:rsidRDefault="00575AD7">
    <w:pPr>
      <w:pStyle w:val="ad"/>
      <w:tabs>
        <w:tab w:pos="8640" w:val="right"/>
      </w:tabs>
      <w:jc w:val="left"/>
      <w:rPr>
        <w:rFonts w:ascii="宋体" w:eastAsia="宋体" w:hAnsi="宋体" w:hint="eastAsia"/>
        <w:lang w:eastAsia="zh-CN"/>
      </w:rPr>
    </w:pPr>
    <w:r>
      <w:rPr>
        <w:rFonts w:eastAsia="宋体" w:ascii="Times New Roman" w:hAnsi="Times New Roman" w:cs="Times New Roman"/>
      </w:rPr>
      <w:t>结构抗震韧性评估专用知识库与数据治理平台软件V1.0</w:t>
      <w:tab/>
    </w:r>
    <w:r>
      <w:rPr>
        <w:rFonts w:eastAsia="宋体" w:ascii="Times New Roman" w:hAnsi="Times New Roman" w:cs="Times New Roman"/>
      </w:rPr>
      <w:fldChar w:fldCharType="begin"/>
      <w:instrText xml:space="preserve"> PAGE </w:instrText>
      <w:fldChar w:fldCharType="end"/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pos="1080" w:val="left"/>
        </w:tabs>
        <w:ind w:hanging="360" w:left="1080"/>
      </w:pPr>
    </w:lvl>
  </w:abstractNum>
  <w:abstractNum w15:restartNumberingAfterBreak="0" w:abstractNumId="1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pos="720" w:val="left"/>
        </w:tabs>
        <w:ind w:hanging="360" w:left="720"/>
      </w:pPr>
    </w:lvl>
  </w:abstractNum>
  <w:abstractNum w15:restartNumberingAfterBreak="0" w:abstractNumId="2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pos="1080" w:val="left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pos="720" w:val="left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pos="360" w:val="left"/>
        </w:tabs>
        <w:ind w:hanging="360" w:left="360"/>
      </w:pPr>
    </w:lvl>
  </w:abstractNum>
  <w:abstractNum w15:restartNumberingAfterBreak="0" w:abstractNumId="5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pos="360" w:val="left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6">
    <w:nsid w:val="0000A991"/>
    <w:multiLevelType w:val="multilevel"/>
    <w:tmpl w:val="2A2A19D4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7">
    <w:nsid w:val="00A99411"/>
    <w:multiLevelType w:val="multilevel"/>
    <w:tmpl w:val="C9F689F8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508763663" w:numId="1">
    <w:abstractNumId w:val="1"/>
  </w:num>
  <w:num w16cid:durableId="841437754" w:numId="2">
    <w:abstractNumId w:val="4"/>
  </w:num>
  <w:num w16cid:durableId="1365205207" w:numId="3">
    <w:abstractNumId w:val="5"/>
  </w:num>
  <w:num w16cid:durableId="955021612" w:numId="4">
    <w:abstractNumId w:val="2"/>
  </w:num>
  <w:num w16cid:durableId="844856924" w:numId="5">
    <w:abstractNumId w:val="0"/>
  </w:num>
  <w:num w16cid:durableId="375349545" w:numId="6">
    <w:abstractNumId w:val="3"/>
  </w:num>
  <w:num w16cid:durableId="265894940" w:numId="7">
    <w:abstractNumId w:val="6"/>
  </w:num>
  <w:num w16cid:durableId="1855222011"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080058442"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431005002" w:numId="1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97152287" w:numId="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68494400"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58951443" w:numId="1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80"/>
  <w:embedSystemFonts/>
  <w:bordersDoNotSurroundHeader/>
  <w:bordersDoNotSurroundFooter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2254"/>
    <w:rsid w:val="003B3662"/>
    <w:rsid w:val="003B4F41"/>
    <w:rsid w:val="003E59E7"/>
    <w:rsid w:val="004A024B"/>
    <w:rsid w:val="00505C85"/>
    <w:rsid w:val="00575AD7"/>
    <w:rsid w:val="005B5199"/>
    <w:rsid w:val="00667EFA"/>
    <w:rsid w:val="007C5BFA"/>
    <w:rsid w:val="008123A0"/>
    <w:rsid w:val="009D7338"/>
    <w:rsid w:val="00A25C7C"/>
    <w:rsid w:val="00A63B17"/>
    <w:rsid w:val="00AA1D8D"/>
    <w:rsid w:val="00B47730"/>
    <w:rsid w:val="00C1402A"/>
    <w:rsid w:val="00CB0664"/>
    <w:rsid w:val="00CB3C99"/>
    <w:rsid w:val="00DB435F"/>
    <w:rsid w:val="00EA05CA"/>
    <w:rsid w:val="00FC693F"/>
    <w:rsid w:val="303A47B7"/>
    <w:rsid w:val="39785A2E"/>
    <w:rsid w:val="41336AA3"/>
    <w:rsid w:val="4D734297"/>
    <w:rsid w:val="792A69B0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 w:unhideWhenUsed="1"/>
    <w:lsdException w:name="footer" w:qFormat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qFormat="1" w:unhideWhenUsed="1"/>
    <w:lsdException w:name="List Bullet" w:unhideWhenUsed="1"/>
    <w:lsdException w:name="List Number" w:qFormat="1" w:unhideWhenUsed="1"/>
    <w:lsdException w:name="List 2" w:qFormat="1" w:unhideWhenUsed="1"/>
    <w:lsdException w:name="List 3" w:qFormat="1" w:unhideWhenUsed="1"/>
    <w:lsdException w:name="List 4" w:semiHidden="1" w:unhideWhenUsed="1"/>
    <w:lsdException w:name="List 5" w:semiHidden="1" w:unhideWhenUsed="1"/>
    <w:lsdException w:name="List Bullet 2" w:qFormat="1" w:unhideWhenUsed="1"/>
    <w:lsdException w:name="List Bullet 3" w:qFormat="1" w:unhideWhenUsed="1"/>
    <w:lsdException w:name="List Bullet 4" w:semiHidden="1" w:unhideWhenUsed="1"/>
    <w:lsdException w:name="List Bullet 5" w:semiHidden="1" w:unhideWhenUsed="1"/>
    <w:lsdException w:name="List Number 2" w:qFormat="1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qFormat="1" w:uiPriority="1" w:unhideWhenUsed="1"/>
    <w:lsdException w:name="Body Text" w:qFormat="1" w:unhideWhenUsed="1"/>
    <w:lsdException w:name="Body Text Indent" w:semiHidden="1" w:unhideWhenUsed="1"/>
    <w:lsdException w:name="List Continue" w:qFormat="1" w:unhideWhenUsed="1"/>
    <w:lsdException w:name="List Continue 2" w:qFormat="1" w:unhideWhenUsed="1"/>
    <w:lsdException w:name="List Continue 3" w:qFormat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qFormat="1" w:unhideWhenUsed="1"/>
    <w:lsdException w:name="Body Text 3" w:qFormat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 w:uiPriority="59"/>
    <w:lsdException w:name="Table Theme" w:semiHidden="1" w:unhideWhenUsed="1"/>
    <w:lsdException w:name="Placeholder Text" w:semiHidden="1" w:unhideWhenUsed="1"/>
    <w:lsdException w:name="No Spacing" w:qFormat="1" w:uiPriority="1"/>
    <w:lsdException w:name="Light Shading" w:qFormat="1" w:uiPriority="60"/>
    <w:lsdException w:name="Light List" w:qFormat="1" w:uiPriority="61"/>
    <w:lsdException w:name="Light Grid" w:qFormat="1" w:uiPriority="62"/>
    <w:lsdException w:name="Medium Shading 1" w:qFormat="1" w:uiPriority="63"/>
    <w:lsdException w:name="Medium Shading 2" w:qFormat="1" w:uiPriority="64"/>
    <w:lsdException w:name="Medium List 1" w:qFormat="1" w:uiPriority="65"/>
    <w:lsdException w:name="Medium List 2" w:qFormat="1" w:uiPriority="66"/>
    <w:lsdException w:name="Medium Grid 1" w:qFormat="1" w:uiPriority="67"/>
    <w:lsdException w:name="Medium Grid 2" w:qFormat="1" w:uiPriority="68"/>
    <w:lsdException w:name="Medium Grid 3" w:qFormat="1" w:uiPriority="69"/>
    <w:lsdException w:name="Dark List" w:qFormat="1" w:uiPriority="70"/>
    <w:lsdException w:name="Colorful Shading" w:qFormat="1" w:uiPriority="71"/>
    <w:lsdException w:name="Colorful List" w:qFormat="1" w:uiPriority="72"/>
    <w:lsdException w:name="Colorful Grid" w:qFormat="1" w:uiPriority="73"/>
    <w:lsdException w:name="Light Shading Accent 1" w:qFormat="1" w:uiPriority="60"/>
    <w:lsdException w:name="Light List Accent 1" w:qFormat="1" w:uiPriority="61"/>
    <w:lsdException w:name="Light Grid Accent 1" w:qFormat="1" w:uiPriority="62"/>
    <w:lsdException w:name="Medium Shading 1 Accent 1" w:qFormat="1" w:uiPriority="63"/>
    <w:lsdException w:name="Medium Shading 2 Accent 1" w:qFormat="1" w:uiPriority="64"/>
    <w:lsdException w:name="Medium List 1 Accent 1" w:qFormat="1" w:uiPriority="65"/>
    <w:lsdException w:name="Revision" w:semiHidden="1" w:unhideWhenUsed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qFormat="1" w:uiPriority="66"/>
    <w:lsdException w:name="Medium Grid 1 Accent 1" w:qFormat="1" w:uiPriority="67"/>
    <w:lsdException w:name="Medium Grid 2 Accent 1" w:qFormat="1" w:uiPriority="68"/>
    <w:lsdException w:name="Medium Grid 3 Accent 1" w:qFormat="1" w:uiPriority="69"/>
    <w:lsdException w:name="Dark List Accent 1" w:qFormat="1" w:uiPriority="70"/>
    <w:lsdException w:name="Colorful Shading Accent 1" w:qFormat="1" w:uiPriority="71"/>
    <w:lsdException w:name="Colorful List Accent 1" w:qFormat="1" w:uiPriority="72"/>
    <w:lsdException w:name="Colorful Grid Accent 1" w:qFormat="1" w:uiPriority="73"/>
    <w:lsdException w:name="Light Shading Accent 2" w:qFormat="1" w:uiPriority="60"/>
    <w:lsdException w:name="Light List Accent 2" w:qFormat="1" w:uiPriority="61"/>
    <w:lsdException w:name="Light Grid Accent 2" w:qFormat="1" w:uiPriority="62"/>
    <w:lsdException w:name="Medium Shading 1 Accent 2" w:qFormat="1" w:uiPriority="63"/>
    <w:lsdException w:name="Medium Shading 2 Accent 2" w:qFormat="1" w:uiPriority="64"/>
    <w:lsdException w:name="Medium List 1 Accent 2" w:qFormat="1" w:uiPriority="65"/>
    <w:lsdException w:name="Medium List 2 Accent 2" w:qFormat="1" w:uiPriority="66"/>
    <w:lsdException w:name="Medium Grid 1 Accent 2" w:qFormat="1" w:uiPriority="67"/>
    <w:lsdException w:name="Medium Grid 2 Accent 2" w:qFormat="1" w:uiPriority="68"/>
    <w:lsdException w:name="Medium Grid 3 Accent 2" w:qFormat="1" w:uiPriority="69"/>
    <w:lsdException w:name="Dark List Accent 2" w:qFormat="1" w:uiPriority="70"/>
    <w:lsdException w:name="Colorful Shading Accent 2" w:qFormat="1" w:uiPriority="71"/>
    <w:lsdException w:name="Colorful List Accent 2" w:qFormat="1" w:uiPriority="72"/>
    <w:lsdException w:name="Colorful Grid Accent 2" w:qFormat="1" w:uiPriority="73"/>
    <w:lsdException w:name="Light Shading Accent 3" w:qFormat="1" w:uiPriority="60"/>
    <w:lsdException w:name="Light List Accent 3" w:qFormat="1" w:uiPriority="61"/>
    <w:lsdException w:name="Light Grid Accent 3" w:qFormat="1" w:uiPriority="62"/>
    <w:lsdException w:name="Medium Shading 1 Accent 3" w:qFormat="1" w:uiPriority="63"/>
    <w:lsdException w:name="Medium Shading 2 Accent 3" w:qFormat="1" w:uiPriority="64"/>
    <w:lsdException w:name="Medium List 1 Accent 3" w:qFormat="1" w:uiPriority="65"/>
    <w:lsdException w:name="Medium List 2 Accent 3" w:qFormat="1" w:uiPriority="66"/>
    <w:lsdException w:name="Medium Grid 1 Accent 3" w:qFormat="1" w:uiPriority="67"/>
    <w:lsdException w:name="Medium Grid 2 Accent 3" w:qFormat="1" w:uiPriority="68"/>
    <w:lsdException w:name="Medium Grid 3 Accent 3" w:qFormat="1" w:uiPriority="69"/>
    <w:lsdException w:name="Dark List Accent 3" w:qFormat="1" w:uiPriority="70"/>
    <w:lsdException w:name="Colorful Shading Accent 3" w:qFormat="1" w:uiPriority="71"/>
    <w:lsdException w:name="Colorful List Accent 3" w:qFormat="1" w:uiPriority="72"/>
    <w:lsdException w:name="Colorful Grid Accent 3" w:qFormat="1" w:uiPriority="73"/>
    <w:lsdException w:name="Light Shading Accent 4" w:qFormat="1" w:uiPriority="60"/>
    <w:lsdException w:name="Light List Accent 4" w:qFormat="1" w:uiPriority="61"/>
    <w:lsdException w:name="Light Grid Accent 4" w:qFormat="1" w:uiPriority="62"/>
    <w:lsdException w:name="Medium Shading 1 Accent 4" w:qFormat="1" w:uiPriority="63"/>
    <w:lsdException w:name="Medium Shading 2 Accent 4" w:qFormat="1" w:uiPriority="64"/>
    <w:lsdException w:name="Medium List 1 Accent 4" w:qFormat="1" w:uiPriority="65"/>
    <w:lsdException w:name="Medium List 2 Accent 4" w:qFormat="1" w:uiPriority="66"/>
    <w:lsdException w:name="Medium Grid 1 Accent 4" w:qFormat="1" w:uiPriority="67"/>
    <w:lsdException w:name="Medium Grid 2 Accent 4" w:qFormat="1" w:uiPriority="68"/>
    <w:lsdException w:name="Medium Grid 3 Accent 4" w:qFormat="1" w:uiPriority="69"/>
    <w:lsdException w:name="Dark List Accent 4" w:qFormat="1" w:uiPriority="70"/>
    <w:lsdException w:name="Colorful Shading Accent 4" w:qFormat="1" w:uiPriority="71"/>
    <w:lsdException w:name="Colorful List Accent 4" w:qFormat="1" w:uiPriority="72"/>
    <w:lsdException w:name="Colorful Grid Accent 4" w:qFormat="1" w:uiPriority="73"/>
    <w:lsdException w:name="Light Shading Accent 5" w:qFormat="1" w:uiPriority="60"/>
    <w:lsdException w:name="Light List Accent 5" w:qFormat="1" w:uiPriority="61"/>
    <w:lsdException w:name="Light Grid Accent 5" w:qFormat="1" w:uiPriority="62"/>
    <w:lsdException w:name="Medium Shading 1 Accent 5" w:uiPriority="63"/>
    <w:lsdException w:name="Medium Shading 2 Accent 5" w:qFormat="1" w:uiPriority="64"/>
    <w:lsdException w:name="Medium List 1 Accent 5" w:qFormat="1" w:uiPriority="65"/>
    <w:lsdException w:name="Medium List 2 Accent 5" w:qFormat="1" w:uiPriority="66"/>
    <w:lsdException w:name="Medium Grid 1 Accent 5" w:qFormat="1" w:uiPriority="67"/>
    <w:lsdException w:name="Medium Grid 2 Accent 5" w:qFormat="1" w:uiPriority="68"/>
    <w:lsdException w:name="Medium Grid 3 Accent 5" w:qFormat="1" w:uiPriority="69"/>
    <w:lsdException w:name="Dark List Accent 5" w:qFormat="1" w:uiPriority="70"/>
    <w:lsdException w:name="Colorful Shading Accent 5" w:qFormat="1" w:uiPriority="71"/>
    <w:lsdException w:name="Colorful List Accent 5" w:qFormat="1" w:uiPriority="72"/>
    <w:lsdException w:name="Colorful Grid Accent 5" w:qFormat="1" w:uiPriority="73"/>
    <w:lsdException w:name="Light Shading Accent 6" w:qFormat="1" w:uiPriority="60"/>
    <w:lsdException w:name="Light List Accent 6" w:qFormat="1" w:uiPriority="61"/>
    <w:lsdException w:name="Light Grid Accent 6" w:qFormat="1" w:uiPriority="62"/>
    <w:lsdException w:name="Medium Shading 1 Accent 6" w:qFormat="1" w:uiPriority="63"/>
    <w:lsdException w:name="Medium Shading 2 Accent 6" w:qFormat="1" w:uiPriority="64"/>
    <w:lsdException w:name="Medium List 1 Accent 6" w:qFormat="1" w:uiPriority="65"/>
    <w:lsdException w:name="Medium List 2 Accent 6" w:qFormat="1" w:uiPriority="66"/>
    <w:lsdException w:name="Medium Grid 1 Accent 6" w:qFormat="1" w:uiPriority="67"/>
    <w:lsdException w:name="Medium Grid 2 Accent 6" w:qFormat="1" w:uiPriority="68"/>
    <w:lsdException w:name="Medium Grid 3 Accent 6" w:qFormat="1" w:uiPriority="69"/>
    <w:lsdException w:name="Dark List Accent 6" w:qFormat="1" w:uiPriority="70"/>
    <w:lsdException w:name="Colorful Shading Accent 6" w:qFormat="1" w:uiPriority="71"/>
    <w:lsdException w:name="Colorful List Accent 6" w:qFormat="1" w:uiPriority="72"/>
    <w:lsdException w:name="Colorful Grid Accent 6" w:qFormat="1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1" w:type="paragraph">
    <w:name w:val="Normal"/>
    <w:qFormat/>
    <w:pPr>
      <w:keepNext w:val="0"/>
      <w:keepLines w:val="0"/>
      <w:pageBreakBefore w:val="0"/>
      <w:spacing w:after="200" w:line="276" w:lineRule="auto" w:before="0"/>
    </w:pPr>
    <w:rPr>
      <w:sz w:val="22"/>
      <w:szCs w:val="22"/>
      <w:lang w:eastAsia="en-US"/>
    </w:rPr>
  </w:style>
  <w:style w:styleId="1" w:type="paragraph">
    <w:name w:val="heading 1"/>
    <w:basedOn w:val="a1"/>
    <w:next w:val="a1"/>
    <w:link w:val="10"/>
    <w:uiPriority w:val="9"/>
    <w:qFormat/>
    <w:pPr>
      <w:keepNext w:val="0"/>
      <w:keepLines w:val="0"/>
      <w:pageBreakBefore w:val="0"/>
      <w:spacing w:after="0" w:before="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21" w:type="paragraph">
    <w:name w:val="heading 2"/>
    <w:basedOn w:val="a1"/>
    <w:next w:val="a1"/>
    <w:link w:val="22"/>
    <w:uiPriority w:val="9"/>
    <w:unhideWhenUsed/>
    <w:qFormat/>
    <w:pPr>
      <w:keepNext w:val="0"/>
      <w:keepLines w:val="0"/>
      <w:pageBreakBefore w:val="0"/>
      <w:spacing w:after="0" w:before="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31" w:type="paragraph">
    <w:name w:val="heading 3"/>
    <w:basedOn w:val="a1"/>
    <w:next w:val="a1"/>
    <w:link w:val="32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4" w:type="paragraph">
    <w:name w:val="heading 4"/>
    <w:basedOn w:val="a1"/>
    <w:next w:val="a1"/>
    <w:link w:val="40"/>
    <w:uiPriority w:val="9"/>
    <w:semiHidden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5" w:type="paragraph">
    <w:name w:val="heading 5"/>
    <w:basedOn w:val="a1"/>
    <w:next w:val="a1"/>
    <w:link w:val="50"/>
    <w:uiPriority w:val="9"/>
    <w:semiHidden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80" w:val="244061"/>
    </w:rPr>
  </w:style>
  <w:style w:styleId="6" w:type="paragraph">
    <w:name w:val="heading 6"/>
    <w:basedOn w:val="a1"/>
    <w:next w:val="a1"/>
    <w:link w:val="60"/>
    <w:uiPriority w:val="9"/>
    <w:semiHidden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80" w:val="244061"/>
    </w:rPr>
  </w:style>
  <w:style w:styleId="7" w:type="paragraph">
    <w:name w:val="heading 7"/>
    <w:basedOn w:val="a1"/>
    <w:next w:val="a1"/>
    <w:link w:val="70"/>
    <w:uiPriority w:val="9"/>
    <w:semiHidden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8" w:type="paragraph">
    <w:name w:val="heading 8"/>
    <w:basedOn w:val="a1"/>
    <w:next w:val="a1"/>
    <w:link w:val="80"/>
    <w:uiPriority w:val="9"/>
    <w:semiHidden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9" w:type="paragraph">
    <w:name w:val="heading 9"/>
    <w:basedOn w:val="a1"/>
    <w:next w:val="a1"/>
    <w:link w:val="90"/>
    <w:uiPriority w:val="9"/>
    <w:semiHidden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styleId="a5" w:type="paragraph">
    <w:name w:val="macro"/>
    <w:link w:val="a6"/>
    <w:uiPriority w:val="99"/>
    <w:unhideWhenUsed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  <w:spacing w:after="200" w:line="276" w:lineRule="auto"/>
    </w:pPr>
    <w:rPr>
      <w:rFonts w:ascii="Courier" w:hAnsi="Courier"/>
      <w:lang w:eastAsia="en-US"/>
    </w:rPr>
  </w:style>
  <w:style w:styleId="33" w:type="paragraph">
    <w:name w:val="List 3"/>
    <w:basedOn w:val="a1"/>
    <w:uiPriority w:val="99"/>
    <w:unhideWhenUsed/>
    <w:qFormat/>
    <w:pPr>
      <w:ind w:hanging="360" w:left="1080"/>
      <w:contextualSpacing/>
    </w:pPr>
  </w:style>
  <w:style w:styleId="2" w:type="paragraph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styleId="a" w:type="paragraph">
    <w:name w:val="List Number"/>
    <w:basedOn w:val="a1"/>
    <w:uiPriority w:val="99"/>
    <w:unhideWhenUsed/>
    <w:qFormat/>
    <w:pPr>
      <w:numPr>
        <w:numId w:val="2"/>
      </w:numPr>
      <w:contextualSpacing/>
    </w:pPr>
  </w:style>
  <w:style w:styleId="a7" w:type="paragraph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themeColor="accent1" w:val="4F81BD"/>
      <w:sz w:val="18"/>
      <w:szCs w:val="18"/>
    </w:rPr>
  </w:style>
  <w:style w:styleId="a0" w:type="paragraph">
    <w:name w:val="List Bullet"/>
    <w:basedOn w:val="a1"/>
    <w:uiPriority w:val="99"/>
    <w:unhideWhenUsed/>
    <w:pPr>
      <w:numPr>
        <w:numId w:val="3"/>
      </w:numPr>
      <w:contextualSpacing/>
    </w:pPr>
  </w:style>
  <w:style w:styleId="34" w:type="paragraph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styleId="30" w:type="paragraph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styleId="a8" w:type="paragraph">
    <w:name w:val="Body Text"/>
    <w:basedOn w:val="a1"/>
    <w:link w:val="a9"/>
    <w:uiPriority w:val="99"/>
    <w:unhideWhenUsed/>
    <w:qFormat/>
    <w:pPr>
      <w:keepNext w:val="0"/>
      <w:keepLines w:val="0"/>
      <w:pageBreakBefore w:val="0"/>
      <w:spacing w:after="120" w:before="0"/>
    </w:pPr>
  </w:style>
  <w:style w:styleId="3" w:type="paragraph">
    <w:name w:val="List Number 3"/>
    <w:basedOn w:val="a1"/>
    <w:uiPriority w:val="99"/>
    <w:unhideWhenUsed/>
    <w:pPr>
      <w:numPr>
        <w:numId w:val="5"/>
      </w:numPr>
      <w:contextualSpacing/>
    </w:pPr>
  </w:style>
  <w:style w:styleId="23" w:type="paragraph">
    <w:name w:val="List 2"/>
    <w:basedOn w:val="a1"/>
    <w:uiPriority w:val="99"/>
    <w:unhideWhenUsed/>
    <w:qFormat/>
    <w:pPr>
      <w:ind w:hanging="360" w:left="720"/>
      <w:contextualSpacing/>
    </w:pPr>
  </w:style>
  <w:style w:styleId="aa" w:type="paragraph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styleId="20" w:type="paragraph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styleId="ab" w:type="paragraph">
    <w:name w:val="footer"/>
    <w:basedOn w:val="a1"/>
    <w:link w:val="ac"/>
    <w:uiPriority w:val="99"/>
    <w:unhideWhenUsed/>
    <w:qFormat/>
    <w:pPr>
      <w:tabs>
        <w:tab w:pos="4680" w:val="center"/>
        <w:tab w:pos="9360" w:val="right"/>
      </w:tabs>
      <w:spacing w:after="0" w:line="240" w:lineRule="auto"/>
    </w:pPr>
  </w:style>
  <w:style w:styleId="ad" w:type="paragraph">
    <w:name w:val="header"/>
    <w:basedOn w:val="a1"/>
    <w:link w:val="ae"/>
    <w:uiPriority w:val="99"/>
    <w:unhideWhenUsed/>
    <w:qFormat/>
    <w:pPr>
      <w:tabs>
        <w:tab w:pos="4680" w:val="center"/>
        <w:tab w:pos="9360" w:val="right"/>
      </w:tabs>
      <w:spacing w:after="0" w:line="240" w:lineRule="auto"/>
    </w:pPr>
  </w:style>
  <w:style w:styleId="af" w:type="paragraph">
    <w:name w:val="Subtitle"/>
    <w:basedOn w:val="a1"/>
    <w:next w:val="a1"/>
    <w:link w:val="af0"/>
    <w:uiPriority w:val="11"/>
    <w:qFormat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af1" w:type="paragraph">
    <w:name w:val="List"/>
    <w:basedOn w:val="a1"/>
    <w:uiPriority w:val="99"/>
    <w:unhideWhenUsed/>
    <w:qFormat/>
    <w:pPr>
      <w:ind w:hanging="360" w:left="360"/>
      <w:contextualSpacing/>
    </w:pPr>
  </w:style>
  <w:style w:styleId="24" w:type="paragraph">
    <w:name w:val="Body Text 2"/>
    <w:basedOn w:val="a1"/>
    <w:link w:val="25"/>
    <w:uiPriority w:val="99"/>
    <w:unhideWhenUsed/>
    <w:qFormat/>
    <w:pPr>
      <w:spacing w:after="120" w:line="480" w:lineRule="auto"/>
    </w:pPr>
  </w:style>
  <w:style w:styleId="26" w:type="paragraph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styleId="36" w:type="paragraph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styleId="af2" w:type="paragraph">
    <w:name w:val="Title"/>
    <w:basedOn w:val="a1"/>
    <w:next w:val="a1"/>
    <w:link w:val="af3"/>
    <w:uiPriority w:val="10"/>
    <w:qFormat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af4" w:type="table">
    <w:name w:val="Table Grid"/>
    <w:basedOn w:val="a3"/>
    <w:uiPriority w:val="59"/>
    <w:qFormat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5" w:type="table">
    <w:name w:val="Light Shading"/>
    <w:basedOn w:val="a3"/>
    <w:uiPriority w:val="60"/>
    <w:qFormat/>
    <w:rPr>
      <w:color w:themeColor="text1" w:themeShade="BF" w:val="000000"/>
    </w:rPr>
    <w:tblPr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-1" w:type="table">
    <w:name w:val="Light Shading Accent 1"/>
    <w:basedOn w:val="a3"/>
    <w:uiPriority w:val="60"/>
    <w:qFormat/>
    <w:rPr>
      <w:color w:themeColor="accent1" w:themeShade="BF" w:val="365F91"/>
    </w:rPr>
    <w:tblPr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-2" w:type="table">
    <w:name w:val="Light Shading Accent 2"/>
    <w:basedOn w:val="a3"/>
    <w:uiPriority w:val="60"/>
    <w:qFormat/>
    <w:rPr>
      <w:color w:themeColor="accent2" w:themeShade="BF" w:val="943634"/>
    </w:rPr>
    <w:tblPr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-3" w:type="table">
    <w:name w:val="Light Shading Accent 3"/>
    <w:basedOn w:val="a3"/>
    <w:uiPriority w:val="60"/>
    <w:qFormat/>
    <w:rPr>
      <w:color w:themeColor="accent3" w:themeShade="BF" w:val="76923C"/>
    </w:rPr>
    <w:tblPr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-4" w:type="table">
    <w:name w:val="Light Shading Accent 4"/>
    <w:basedOn w:val="a3"/>
    <w:uiPriority w:val="60"/>
    <w:qFormat/>
    <w:rPr>
      <w:color w:themeColor="accent4" w:themeShade="BF" w:val="5F497A"/>
    </w:rPr>
    <w:tblPr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-5" w:type="table">
    <w:name w:val="Light Shading Accent 5"/>
    <w:basedOn w:val="a3"/>
    <w:uiPriority w:val="60"/>
    <w:qFormat/>
    <w:rPr>
      <w:color w:themeColor="accent5" w:themeShade="BF" w:val="31849B"/>
    </w:rPr>
    <w:tblPr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-6" w:type="table">
    <w:name w:val="Light Shading Accent 6"/>
    <w:basedOn w:val="a3"/>
    <w:uiPriority w:val="60"/>
    <w:qFormat/>
    <w:rPr>
      <w:color w:themeColor="accent6" w:themeShade="BF" w:val="E36C0A"/>
    </w:rPr>
    <w:tblPr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af6" w:type="table">
    <w:name w:val="Light List"/>
    <w:basedOn w:val="a3"/>
    <w:uiPriority w:val="61"/>
    <w:qFormat/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-10" w:type="table">
    <w:name w:val="Light List Accent 1"/>
    <w:basedOn w:val="a3"/>
    <w:uiPriority w:val="61"/>
    <w:qFormat/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-20" w:type="table">
    <w:name w:val="Light List Accent 2"/>
    <w:basedOn w:val="a3"/>
    <w:uiPriority w:val="61"/>
    <w:qFormat/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-30" w:type="table">
    <w:name w:val="Light List Accent 3"/>
    <w:basedOn w:val="a3"/>
    <w:uiPriority w:val="61"/>
    <w:qFormat/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-40" w:type="table">
    <w:name w:val="Light List Accent 4"/>
    <w:basedOn w:val="a3"/>
    <w:uiPriority w:val="61"/>
    <w:qFormat/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-50" w:type="table">
    <w:name w:val="Light List Accent 5"/>
    <w:basedOn w:val="a3"/>
    <w:uiPriority w:val="61"/>
    <w:qFormat/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-60" w:type="table">
    <w:name w:val="Light List Accent 6"/>
    <w:basedOn w:val="a3"/>
    <w:uiPriority w:val="61"/>
    <w:qFormat/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af7" w:type="table">
    <w:name w:val="Light Grid"/>
    <w:basedOn w:val="a3"/>
    <w:uiPriority w:val="62"/>
    <w:qFormat/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auto" w:space="0" w:sz="8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auto" w:space="0" w:sz="8" w:val="single"/>
        </w:tcBorders>
      </w:tcPr>
    </w:tblStylePr>
  </w:style>
  <w:style w:styleId="-11" w:type="table">
    <w:name w:val="Light Grid Accent 1"/>
    <w:basedOn w:val="a3"/>
    <w:uiPriority w:val="62"/>
    <w:qFormat/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auto" w:space="0" w:sz="8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auto" w:space="0" w:sz="8" w:val="single"/>
        </w:tcBorders>
      </w:tcPr>
    </w:tblStylePr>
  </w:style>
  <w:style w:styleId="-21" w:type="table">
    <w:name w:val="Light Grid Accent 2"/>
    <w:basedOn w:val="a3"/>
    <w:uiPriority w:val="62"/>
    <w:qFormat/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auto" w:space="0" w:sz="8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auto" w:space="0" w:sz="8" w:val="single"/>
        </w:tcBorders>
      </w:tcPr>
    </w:tblStylePr>
  </w:style>
  <w:style w:styleId="-31" w:type="table">
    <w:name w:val="Light Grid Accent 3"/>
    <w:basedOn w:val="a3"/>
    <w:uiPriority w:val="62"/>
    <w:qFormat/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auto" w:space="0" w:sz="8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auto" w:space="0" w:sz="8" w:val="single"/>
        </w:tcBorders>
      </w:tcPr>
    </w:tblStylePr>
  </w:style>
  <w:style w:styleId="-41" w:type="table">
    <w:name w:val="Light Grid Accent 4"/>
    <w:basedOn w:val="a3"/>
    <w:uiPriority w:val="62"/>
    <w:qFormat/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auto" w:space="0" w:sz="8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auto" w:space="0" w:sz="8" w:val="single"/>
        </w:tcBorders>
      </w:tcPr>
    </w:tblStylePr>
  </w:style>
  <w:style w:styleId="-51" w:type="table">
    <w:name w:val="Light Grid Accent 5"/>
    <w:basedOn w:val="a3"/>
    <w:uiPriority w:val="62"/>
    <w:qFormat/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auto" w:space="0" w:sz="8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auto" w:space="0" w:sz="8" w:val="single"/>
        </w:tcBorders>
      </w:tcPr>
    </w:tblStylePr>
  </w:style>
  <w:style w:styleId="-61" w:type="table">
    <w:name w:val="Light Grid Accent 6"/>
    <w:basedOn w:val="a3"/>
    <w:uiPriority w:val="62"/>
    <w:qFormat/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auto" w:space="0" w:sz="8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auto" w:space="0" w:sz="8" w:val="single"/>
        </w:tcBorders>
      </w:tcPr>
    </w:tblStylePr>
  </w:style>
  <w:style w:styleId="11" w:type="table">
    <w:name w:val="Medium Shading 1"/>
    <w:basedOn w:val="a3"/>
    <w:uiPriority w:val="63"/>
    <w:qFormat/>
    <w:tblPr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1" w:type="table">
    <w:name w:val="Medium Shading 1 Accent 1"/>
    <w:basedOn w:val="a3"/>
    <w:uiPriority w:val="63"/>
    <w:qFormat/>
    <w:tblPr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2" w:type="table">
    <w:name w:val="Medium Shading 1 Accent 2"/>
    <w:basedOn w:val="a3"/>
    <w:uiPriority w:val="63"/>
    <w:qFormat/>
    <w:tblPr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3" w:type="table">
    <w:name w:val="Medium Shading 1 Accent 3"/>
    <w:basedOn w:val="a3"/>
    <w:uiPriority w:val="63"/>
    <w:qFormat/>
    <w:tblPr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4" w:type="table">
    <w:name w:val="Medium Shading 1 Accent 4"/>
    <w:basedOn w:val="a3"/>
    <w:uiPriority w:val="63"/>
    <w:qFormat/>
    <w:tblPr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5" w:type="table">
    <w:name w:val="Medium Shading 1 Accent 5"/>
    <w:basedOn w:val="a3"/>
    <w:uiPriority w:val="63"/>
    <w:tblPr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6" w:type="table">
    <w:name w:val="Medium Shading 1 Accent 6"/>
    <w:basedOn w:val="a3"/>
    <w:uiPriority w:val="63"/>
    <w:qFormat/>
    <w:tblPr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27" w:type="table">
    <w:name w:val="Medium Shading 2"/>
    <w:basedOn w:val="a3"/>
    <w:uiPriority w:val="64"/>
    <w:qFormat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1" w:type="table">
    <w:name w:val="Medium Shading 2 Accent 1"/>
    <w:basedOn w:val="a3"/>
    <w:uiPriority w:val="64"/>
    <w:qFormat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2" w:type="table">
    <w:name w:val="Medium Shading 2 Accent 2"/>
    <w:basedOn w:val="a3"/>
    <w:uiPriority w:val="64"/>
    <w:qFormat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3" w:type="table">
    <w:name w:val="Medium Shading 2 Accent 3"/>
    <w:basedOn w:val="a3"/>
    <w:uiPriority w:val="64"/>
    <w:qFormat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4" w:type="table">
    <w:name w:val="Medium Shading 2 Accent 4"/>
    <w:basedOn w:val="a3"/>
    <w:uiPriority w:val="64"/>
    <w:qFormat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5" w:type="table">
    <w:name w:val="Medium Shading 2 Accent 5"/>
    <w:basedOn w:val="a3"/>
    <w:uiPriority w:val="64"/>
    <w:qFormat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6" w:type="table">
    <w:name w:val="Medium Shading 2 Accent 6"/>
    <w:basedOn w:val="a3"/>
    <w:uiPriority w:val="64"/>
    <w:qFormat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12" w:type="table">
    <w:name w:val="Medium List 1"/>
    <w:basedOn w:val="a3"/>
    <w:uiPriority w:val="65"/>
    <w:qFormat/>
    <w:rPr>
      <w:color w:themeColor="text1" w:val="000000"/>
    </w:rPr>
    <w:tblPr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1-10" w:type="table">
    <w:name w:val="Medium List 1 Accent 1"/>
    <w:basedOn w:val="a3"/>
    <w:uiPriority w:val="65"/>
    <w:qFormat/>
    <w:rPr>
      <w:color w:themeColor="text1" w:val="000000"/>
    </w:rPr>
    <w:tblPr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1-20" w:type="table">
    <w:name w:val="Medium List 1 Accent 2"/>
    <w:basedOn w:val="a3"/>
    <w:uiPriority w:val="65"/>
    <w:qFormat/>
    <w:rPr>
      <w:color w:themeColor="text1" w:val="000000"/>
    </w:rPr>
    <w:tblPr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1-30" w:type="table">
    <w:name w:val="Medium List 1 Accent 3"/>
    <w:basedOn w:val="a3"/>
    <w:uiPriority w:val="65"/>
    <w:qFormat/>
    <w:rPr>
      <w:color w:themeColor="text1" w:val="000000"/>
    </w:rPr>
    <w:tblPr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1-40" w:type="table">
    <w:name w:val="Medium List 1 Accent 4"/>
    <w:basedOn w:val="a3"/>
    <w:uiPriority w:val="65"/>
    <w:qFormat/>
    <w:rPr>
      <w:color w:themeColor="text1" w:val="000000"/>
    </w:rPr>
    <w:tblPr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1-50" w:type="table">
    <w:name w:val="Medium List 1 Accent 5"/>
    <w:basedOn w:val="a3"/>
    <w:uiPriority w:val="65"/>
    <w:qFormat/>
    <w:rPr>
      <w:color w:themeColor="text1" w:val="000000"/>
    </w:rPr>
    <w:tblPr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1-60" w:type="table">
    <w:name w:val="Medium List 1 Accent 6"/>
    <w:basedOn w:val="a3"/>
    <w:uiPriority w:val="65"/>
    <w:qFormat/>
    <w:rPr>
      <w:color w:themeColor="text1" w:val="000000"/>
    </w:rPr>
    <w:tblPr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28" w:type="table">
    <w:name w:val="Medium List 2"/>
    <w:basedOn w:val="a3"/>
    <w:uiPriority w:val="66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10" w:type="table">
    <w:name w:val="Medium List 2 Accent 1"/>
    <w:basedOn w:val="a3"/>
    <w:uiPriority w:val="66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20" w:type="table">
    <w:name w:val="Medium List 2 Accent 2"/>
    <w:basedOn w:val="a3"/>
    <w:uiPriority w:val="66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30" w:type="table">
    <w:name w:val="Medium List 2 Accent 3"/>
    <w:basedOn w:val="a3"/>
    <w:uiPriority w:val="66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40" w:type="table">
    <w:name w:val="Medium List 2 Accent 4"/>
    <w:basedOn w:val="a3"/>
    <w:uiPriority w:val="66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50" w:type="table">
    <w:name w:val="Medium List 2 Accent 5"/>
    <w:basedOn w:val="a3"/>
    <w:uiPriority w:val="66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60" w:type="table">
    <w:name w:val="Medium List 2 Accent 6"/>
    <w:basedOn w:val="a3"/>
    <w:uiPriority w:val="66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13" w:type="table">
    <w:name w:val="Medium Grid 1"/>
    <w:basedOn w:val="a3"/>
    <w:uiPriority w:val="67"/>
    <w:qFormat/>
    <w:tblPr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1-11" w:type="table">
    <w:name w:val="Medium Grid 1 Accent 1"/>
    <w:basedOn w:val="a3"/>
    <w:uiPriority w:val="67"/>
    <w:qFormat/>
    <w:tblPr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1-21" w:type="table">
    <w:name w:val="Medium Grid 1 Accent 2"/>
    <w:basedOn w:val="a3"/>
    <w:uiPriority w:val="67"/>
    <w:qFormat/>
    <w:tblPr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1-31" w:type="table">
    <w:name w:val="Medium Grid 1 Accent 3"/>
    <w:basedOn w:val="a3"/>
    <w:uiPriority w:val="67"/>
    <w:qFormat/>
    <w:tblPr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1-41" w:type="table">
    <w:name w:val="Medium Grid 1 Accent 4"/>
    <w:basedOn w:val="a3"/>
    <w:uiPriority w:val="67"/>
    <w:qFormat/>
    <w:tblPr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1-51" w:type="table">
    <w:name w:val="Medium Grid 1 Accent 5"/>
    <w:basedOn w:val="a3"/>
    <w:uiPriority w:val="67"/>
    <w:qFormat/>
    <w:tblPr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1-61" w:type="table">
    <w:name w:val="Medium Grid 1 Accent 6"/>
    <w:basedOn w:val="a3"/>
    <w:uiPriority w:val="67"/>
    <w:qFormat/>
    <w:tblPr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29" w:type="table">
    <w:name w:val="Medium Grid 2"/>
    <w:basedOn w:val="a3"/>
    <w:uiPriority w:val="68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11" w:type="table">
    <w:name w:val="Medium Grid 2 Accent 1"/>
    <w:basedOn w:val="a3"/>
    <w:uiPriority w:val="68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21" w:type="table">
    <w:name w:val="Medium Grid 2 Accent 2"/>
    <w:basedOn w:val="a3"/>
    <w:uiPriority w:val="68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31" w:type="table">
    <w:name w:val="Medium Grid 2 Accent 3"/>
    <w:basedOn w:val="a3"/>
    <w:uiPriority w:val="68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41" w:type="table">
    <w:name w:val="Medium Grid 2 Accent 4"/>
    <w:basedOn w:val="a3"/>
    <w:uiPriority w:val="68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51" w:type="table">
    <w:name w:val="Medium Grid 2 Accent 5"/>
    <w:basedOn w:val="a3"/>
    <w:uiPriority w:val="68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61" w:type="table">
    <w:name w:val="Medium Grid 2 Accent 6"/>
    <w:basedOn w:val="a3"/>
    <w:uiPriority w:val="68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37" w:type="table">
    <w:name w:val="Medium Grid 3"/>
    <w:basedOn w:val="a3"/>
    <w:uiPriority w:val="69"/>
    <w:qFormat/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808080" w:themeFill="text1" w:themeFillTint="7F" w:val="clear"/>
      </w:tcPr>
    </w:tblStylePr>
  </w:style>
  <w:style w:styleId="3-1" w:type="table">
    <w:name w:val="Medium Grid 3 Accent 1"/>
    <w:basedOn w:val="a3"/>
    <w:uiPriority w:val="69"/>
    <w:qFormat/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A7BFDE" w:themeFill="accent1" w:themeFillTint="7F" w:val="clear"/>
      </w:tcPr>
    </w:tblStylePr>
  </w:style>
  <w:style w:styleId="3-2" w:type="table">
    <w:name w:val="Medium Grid 3 Accent 2"/>
    <w:basedOn w:val="a3"/>
    <w:uiPriority w:val="69"/>
    <w:qFormat/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DFA7A6" w:themeFill="accent2" w:themeFillTint="7F" w:val="clear"/>
      </w:tcPr>
    </w:tblStylePr>
  </w:style>
  <w:style w:styleId="3-3" w:type="table">
    <w:name w:val="Medium Grid 3 Accent 3"/>
    <w:basedOn w:val="a3"/>
    <w:uiPriority w:val="69"/>
    <w:qFormat/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CDDDAC" w:themeFill="accent3" w:themeFillTint="7F" w:val="clear"/>
      </w:tcPr>
    </w:tblStylePr>
  </w:style>
  <w:style w:styleId="3-4" w:type="table">
    <w:name w:val="Medium Grid 3 Accent 4"/>
    <w:basedOn w:val="a3"/>
    <w:uiPriority w:val="69"/>
    <w:qFormat/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BFB1D0" w:themeFill="accent4" w:themeFillTint="7F" w:val="clear"/>
      </w:tcPr>
    </w:tblStylePr>
  </w:style>
  <w:style w:styleId="3-5" w:type="table">
    <w:name w:val="Medium Grid 3 Accent 5"/>
    <w:basedOn w:val="a3"/>
    <w:uiPriority w:val="69"/>
    <w:qFormat/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A5D5E2" w:themeFill="accent5" w:themeFillTint="7F" w:val="clear"/>
      </w:tcPr>
    </w:tblStylePr>
  </w:style>
  <w:style w:styleId="3-6" w:type="table">
    <w:name w:val="Medium Grid 3 Accent 6"/>
    <w:basedOn w:val="a3"/>
    <w:uiPriority w:val="69"/>
    <w:qFormat/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FBCAA2" w:themeFill="accent6" w:themeFillTint="7F" w:val="clear"/>
      </w:tcPr>
    </w:tblStylePr>
  </w:style>
  <w:style w:styleId="af8" w:type="table">
    <w:name w:val="Dark List"/>
    <w:basedOn w:val="a3"/>
    <w:uiPriority w:val="70"/>
    <w:qFormat/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-12" w:type="table">
    <w:name w:val="Dark List Accent 1"/>
    <w:basedOn w:val="a3"/>
    <w:uiPriority w:val="70"/>
    <w:qFormat/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-22" w:type="table">
    <w:name w:val="Dark List Accent 2"/>
    <w:basedOn w:val="a3"/>
    <w:uiPriority w:val="70"/>
    <w:qFormat/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-32" w:type="table">
    <w:name w:val="Dark List Accent 3"/>
    <w:basedOn w:val="a3"/>
    <w:uiPriority w:val="70"/>
    <w:qFormat/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-42" w:type="table">
    <w:name w:val="Dark List Accent 4"/>
    <w:basedOn w:val="a3"/>
    <w:uiPriority w:val="70"/>
    <w:qFormat/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-52" w:type="table">
    <w:name w:val="Dark List Accent 5"/>
    <w:basedOn w:val="a3"/>
    <w:uiPriority w:val="70"/>
    <w:qFormat/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-62" w:type="table">
    <w:name w:val="Dark List Accent 6"/>
    <w:basedOn w:val="a3"/>
    <w:uiPriority w:val="70"/>
    <w:qFormat/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af9" w:type="table">
    <w:name w:val="Colorful Shading"/>
    <w:basedOn w:val="a3"/>
    <w:uiPriority w:val="71"/>
    <w:qFormat/>
    <w:rPr>
      <w:color w:themeColor="text1" w:val="000000"/>
    </w:rPr>
    <w:tblPr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auto" w:space="0" w:sz="4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13" w:type="table">
    <w:name w:val="Colorful Shading Accent 1"/>
    <w:basedOn w:val="a3"/>
    <w:uiPriority w:val="71"/>
    <w:qFormat/>
    <w:rPr>
      <w:color w:themeColor="text1" w:val="000000"/>
    </w:rPr>
    <w:tblPr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auto" w:space="0" w:sz="4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23" w:type="table">
    <w:name w:val="Colorful Shading Accent 2"/>
    <w:basedOn w:val="a3"/>
    <w:uiPriority w:val="71"/>
    <w:qFormat/>
    <w:rPr>
      <w:color w:themeColor="text1" w:val="000000"/>
    </w:rPr>
    <w:tblPr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auto" w:space="0" w:sz="4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33" w:type="table">
    <w:name w:val="Colorful Shading Accent 3"/>
    <w:basedOn w:val="a3"/>
    <w:uiPriority w:val="71"/>
    <w:qFormat/>
    <w:rPr>
      <w:color w:themeColor="text1" w:val="000000"/>
    </w:rPr>
    <w:tblPr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auto" w:space="0" w:sz="4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3" w:type="table">
    <w:name w:val="Colorful Shading Accent 4"/>
    <w:basedOn w:val="a3"/>
    <w:uiPriority w:val="71"/>
    <w:qFormat/>
    <w:rPr>
      <w:color w:themeColor="text1" w:val="000000"/>
    </w:rPr>
    <w:tblPr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auto" w:space="0" w:sz="4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53" w:type="table">
    <w:name w:val="Colorful Shading Accent 5"/>
    <w:basedOn w:val="a3"/>
    <w:uiPriority w:val="71"/>
    <w:qFormat/>
    <w:rPr>
      <w:color w:themeColor="text1" w:val="000000"/>
    </w:rPr>
    <w:tblPr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auto" w:space="0" w:sz="4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63" w:type="table">
    <w:name w:val="Colorful Shading Accent 6"/>
    <w:basedOn w:val="a3"/>
    <w:uiPriority w:val="71"/>
    <w:qFormat/>
    <w:rPr>
      <w:color w:themeColor="text1" w:val="000000"/>
    </w:rPr>
    <w:tblPr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auto" w:space="0" w:sz="4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afa" w:type="table">
    <w:name w:val="Colorful List"/>
    <w:basedOn w:val="a3"/>
    <w:uiPriority w:val="72"/>
    <w:qFormat/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-14" w:type="table">
    <w:name w:val="Colorful List Accent 1"/>
    <w:basedOn w:val="a3"/>
    <w:uiPriority w:val="72"/>
    <w:qFormat/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-24" w:type="table">
    <w:name w:val="Colorful List Accent 2"/>
    <w:basedOn w:val="a3"/>
    <w:uiPriority w:val="72"/>
    <w:qFormat/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-34" w:type="table">
    <w:name w:val="Colorful List Accent 3"/>
    <w:basedOn w:val="a3"/>
    <w:uiPriority w:val="72"/>
    <w:qFormat/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-44" w:type="table">
    <w:name w:val="Colorful List Accent 4"/>
    <w:basedOn w:val="a3"/>
    <w:uiPriority w:val="72"/>
    <w:qFormat/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-54" w:type="table">
    <w:name w:val="Colorful List Accent 5"/>
    <w:basedOn w:val="a3"/>
    <w:uiPriority w:val="72"/>
    <w:qFormat/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-64" w:type="table">
    <w:name w:val="Colorful List Accent 6"/>
    <w:basedOn w:val="a3"/>
    <w:uiPriority w:val="72"/>
    <w:qFormat/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afb" w:type="table">
    <w:name w:val="Colorful Grid"/>
    <w:basedOn w:val="a3"/>
    <w:uiPriority w:val="73"/>
    <w:qFormat/>
    <w:rPr>
      <w:color w:themeColor="text1" w:val="000000"/>
    </w:rPr>
    <w:tblPr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-15" w:type="table">
    <w:name w:val="Colorful Grid Accent 1"/>
    <w:basedOn w:val="a3"/>
    <w:uiPriority w:val="73"/>
    <w:qFormat/>
    <w:rPr>
      <w:color w:themeColor="text1" w:val="000000"/>
    </w:rPr>
    <w:tblPr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-25" w:type="table">
    <w:name w:val="Colorful Grid Accent 2"/>
    <w:basedOn w:val="a3"/>
    <w:uiPriority w:val="73"/>
    <w:qFormat/>
    <w:rPr>
      <w:color w:themeColor="text1" w:val="000000"/>
    </w:rPr>
    <w:tblPr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-35" w:type="table">
    <w:name w:val="Colorful Grid Accent 3"/>
    <w:basedOn w:val="a3"/>
    <w:uiPriority w:val="73"/>
    <w:qFormat/>
    <w:rPr>
      <w:color w:themeColor="text1" w:val="000000"/>
    </w:rPr>
    <w:tblPr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5" w:type="table">
    <w:name w:val="Colorful Grid Accent 4"/>
    <w:basedOn w:val="a3"/>
    <w:uiPriority w:val="73"/>
    <w:qFormat/>
    <w:rPr>
      <w:color w:themeColor="text1" w:val="000000"/>
    </w:rPr>
    <w:tblPr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-55" w:type="table">
    <w:name w:val="Colorful Grid Accent 5"/>
    <w:basedOn w:val="a3"/>
    <w:uiPriority w:val="73"/>
    <w:qFormat/>
    <w:rPr>
      <w:color w:themeColor="text1" w:val="000000"/>
    </w:rPr>
    <w:tblPr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-65" w:type="table">
    <w:name w:val="Colorful Grid Accent 6"/>
    <w:basedOn w:val="a3"/>
    <w:uiPriority w:val="73"/>
    <w:qFormat/>
    <w:rPr>
      <w:color w:themeColor="text1" w:val="000000"/>
    </w:rPr>
    <w:tblPr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afc" w:type="character">
    <w:name w:val="Strong"/>
    <w:basedOn w:val="a2"/>
    <w:uiPriority w:val="22"/>
    <w:qFormat/>
    <w:rPr>
      <w:b/>
      <w:bCs/>
    </w:rPr>
  </w:style>
  <w:style w:styleId="afd" w:type="character">
    <w:name w:val="Emphasis"/>
    <w:basedOn w:val="a2"/>
    <w:uiPriority w:val="20"/>
    <w:qFormat/>
    <w:rPr>
      <w:i/>
      <w:iCs/>
    </w:rPr>
  </w:style>
  <w:style w:customStyle="1" w:styleId="ae" w:type="character">
    <w:name w:val="页眉 字符"/>
    <w:basedOn w:val="a2"/>
    <w:link w:val="ad"/>
    <w:uiPriority w:val="99"/>
    <w:qFormat/>
  </w:style>
  <w:style w:customStyle="1" w:styleId="ac" w:type="character">
    <w:name w:val="页脚 字符"/>
    <w:basedOn w:val="a2"/>
    <w:link w:val="ab"/>
    <w:uiPriority w:val="99"/>
    <w:qFormat/>
  </w:style>
  <w:style w:styleId="afe" w:type="paragraph">
    <w:name w:val="No Spacing"/>
    <w:uiPriority w:val="1"/>
    <w:qFormat/>
    <w:rPr>
      <w:sz w:val="22"/>
      <w:szCs w:val="22"/>
      <w:lang w:eastAsia="en-US"/>
    </w:rPr>
  </w:style>
  <w:style w:customStyle="1" w:styleId="10" w:type="character">
    <w:name w:val="标题 1 字符"/>
    <w:basedOn w:val="a2"/>
    <w:link w:val="1"/>
    <w:uiPriority w:val="9"/>
    <w:qFormat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22" w:type="character">
    <w:name w:val="标题 2 字符"/>
    <w:basedOn w:val="a2"/>
    <w:link w:val="21"/>
    <w:uiPriority w:val="9"/>
    <w:qFormat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32" w:type="character">
    <w:name w:val="标题 3 字符"/>
    <w:basedOn w:val="a2"/>
    <w:link w:val="31"/>
    <w:uiPriority w:val="9"/>
    <w:qFormat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af3" w:type="character">
    <w:name w:val="标题 字符"/>
    <w:basedOn w:val="a2"/>
    <w:link w:val="af2"/>
    <w:uiPriority w:val="10"/>
    <w:qFormat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af0" w:type="character">
    <w:name w:val="副标题 字符"/>
    <w:basedOn w:val="a2"/>
    <w:link w:val="af"/>
    <w:uiPriority w:val="11"/>
    <w:qFormat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aff" w:type="paragraph">
    <w:name w:val="List Paragraph"/>
    <w:basedOn w:val="a1"/>
    <w:uiPriority w:val="34"/>
    <w:qFormat/>
    <w:pPr>
      <w:ind w:left="720"/>
      <w:contextualSpacing/>
    </w:pPr>
  </w:style>
  <w:style w:customStyle="1" w:styleId="a9" w:type="character">
    <w:name w:val="正文文本 字符"/>
    <w:basedOn w:val="a2"/>
    <w:link w:val="a8"/>
    <w:uiPriority w:val="99"/>
    <w:qFormat/>
  </w:style>
  <w:style w:customStyle="1" w:styleId="25" w:type="character">
    <w:name w:val="正文文本 2 字符"/>
    <w:basedOn w:val="a2"/>
    <w:link w:val="24"/>
    <w:uiPriority w:val="99"/>
    <w:qFormat/>
  </w:style>
  <w:style w:customStyle="1" w:styleId="35" w:type="character">
    <w:name w:val="正文文本 3 字符"/>
    <w:basedOn w:val="a2"/>
    <w:link w:val="34"/>
    <w:uiPriority w:val="99"/>
    <w:qFormat/>
    <w:rPr>
      <w:sz w:val="16"/>
      <w:szCs w:val="16"/>
    </w:rPr>
  </w:style>
  <w:style w:customStyle="1" w:styleId="a6" w:type="character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styleId="aff0" w:type="paragraph">
    <w:name w:val="Quote"/>
    <w:basedOn w:val="a1"/>
    <w:next w:val="a1"/>
    <w:link w:val="aff1"/>
    <w:uiPriority w:val="29"/>
    <w:qFormat/>
    <w:rPr>
      <w:i/>
      <w:iCs/>
      <w:color w:themeColor="text1" w:val="000000"/>
    </w:rPr>
  </w:style>
  <w:style w:customStyle="1" w:styleId="aff1" w:type="character">
    <w:name w:val="引用 字符"/>
    <w:basedOn w:val="a2"/>
    <w:link w:val="aff0"/>
    <w:uiPriority w:val="29"/>
    <w:qFormat/>
    <w:rPr>
      <w:i/>
      <w:iCs/>
      <w:color w:themeColor="text1" w:val="000000"/>
    </w:rPr>
  </w:style>
  <w:style w:customStyle="1" w:styleId="40" w:type="character">
    <w:name w:val="标题 4 字符"/>
    <w:basedOn w:val="a2"/>
    <w:link w:val="4"/>
    <w:uiPriority w:val="9"/>
    <w:semiHidden/>
    <w:qFormat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50" w:type="character">
    <w:name w:val="标题 5 字符"/>
    <w:basedOn w:val="a2"/>
    <w:link w:val="5"/>
    <w:uiPriority w:val="9"/>
    <w:semiHidden/>
    <w:qFormat/>
    <w:rPr>
      <w:rFonts w:asciiTheme="majorHAnsi" w:cstheme="majorBidi" w:eastAsiaTheme="majorEastAsia" w:hAnsiTheme="majorHAnsi"/>
      <w:color w:themeColor="accent1" w:themeShade="80" w:val="244061"/>
    </w:rPr>
  </w:style>
  <w:style w:customStyle="1" w:styleId="60" w:type="character">
    <w:name w:val="标题 6 字符"/>
    <w:basedOn w:val="a2"/>
    <w:link w:val="6"/>
    <w:uiPriority w:val="9"/>
    <w:semiHidden/>
    <w:qFormat/>
    <w:rPr>
      <w:rFonts w:asciiTheme="majorHAnsi" w:cstheme="majorBidi" w:eastAsiaTheme="majorEastAsia" w:hAnsiTheme="majorHAnsi"/>
      <w:i/>
      <w:iCs/>
      <w:color w:themeColor="accent1" w:themeShade="80" w:val="244061"/>
    </w:rPr>
  </w:style>
  <w:style w:customStyle="1" w:styleId="70" w:type="character">
    <w:name w:val="标题 7 字符"/>
    <w:basedOn w:val="a2"/>
    <w:link w:val="7"/>
    <w:uiPriority w:val="9"/>
    <w:semiHidden/>
    <w:qFormat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80" w:type="character">
    <w:name w:val="标题 8 字符"/>
    <w:basedOn w:val="a2"/>
    <w:link w:val="8"/>
    <w:uiPriority w:val="9"/>
    <w:semiHidden/>
    <w:qFormat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90" w:type="character">
    <w:name w:val="标题 9 字符"/>
    <w:basedOn w:val="a2"/>
    <w:link w:val="9"/>
    <w:uiPriority w:val="9"/>
    <w:semiHidden/>
    <w:qFormat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aff2" w:type="paragraph">
    <w:name w:val="Intense Quote"/>
    <w:basedOn w:val="a1"/>
    <w:next w:val="a1"/>
    <w:link w:val="aff3"/>
    <w:uiPriority w:val="30"/>
    <w:qFormat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aff3" w:type="character">
    <w:name w:val="明显引用 字符"/>
    <w:basedOn w:val="a2"/>
    <w:link w:val="aff2"/>
    <w:uiPriority w:val="30"/>
    <w:qFormat/>
    <w:rPr>
      <w:b/>
      <w:bCs/>
      <w:i/>
      <w:iCs/>
      <w:color w:themeColor="accent1" w:val="4F81BD"/>
    </w:rPr>
  </w:style>
  <w:style w:customStyle="1" w:styleId="14" w:type="character">
    <w:name w:val="不明显强调1"/>
    <w:basedOn w:val="a2"/>
    <w:uiPriority w:val="19"/>
    <w:qFormat/>
    <w:rPr>
      <w:i/>
      <w:iCs/>
      <w:color w:themeColor="text1" w:themeTint="80" w:val="7F7F7F"/>
    </w:rPr>
  </w:style>
  <w:style w:customStyle="1" w:styleId="15" w:type="character">
    <w:name w:val="明显强调1"/>
    <w:basedOn w:val="a2"/>
    <w:uiPriority w:val="21"/>
    <w:qFormat/>
    <w:rPr>
      <w:b/>
      <w:bCs/>
      <w:i/>
      <w:iCs/>
      <w:color w:themeColor="accent1" w:val="4F81BD"/>
    </w:rPr>
  </w:style>
  <w:style w:customStyle="1" w:styleId="16" w:type="character">
    <w:name w:val="不明显参考1"/>
    <w:basedOn w:val="a2"/>
    <w:uiPriority w:val="31"/>
    <w:qFormat/>
    <w:rPr>
      <w:smallCaps/>
      <w:color w:themeColor="accent2" w:val="C0504D"/>
      <w:u w:val="single"/>
    </w:rPr>
  </w:style>
  <w:style w:customStyle="1" w:styleId="17" w:type="character">
    <w:name w:val="明显参考1"/>
    <w:basedOn w:val="a2"/>
    <w:uiPriority w:val="32"/>
    <w:qFormat/>
    <w:rPr>
      <w:b/>
      <w:bCs/>
      <w:smallCaps/>
      <w:color w:themeColor="accent2" w:val="C0504D"/>
      <w:spacing w:val="5"/>
      <w:u w:val="single"/>
    </w:rPr>
  </w:style>
  <w:style w:customStyle="1" w:styleId="18" w:type="character">
    <w:name w:val="书籍标题1"/>
    <w:basedOn w:val="a2"/>
    <w:uiPriority w:val="33"/>
    <w:qFormat/>
    <w:rPr>
      <w:b/>
      <w:bCs/>
      <w:smallCaps/>
      <w:spacing w:val="5"/>
    </w:rPr>
  </w:style>
  <w:style w:customStyle="1" w:styleId="TOC1" w:type="paragraph">
    <w:name w:val="TOC 标题1"/>
    <w:basedOn w:val="1"/>
    <w:next w:val="a1"/>
    <w:uiPriority w:val="39"/>
    <w:semiHidden/>
    <w:unhideWhenUsed/>
    <w:qFormat/>
    <w:pPr>
      <w:outlineLvl w:val="9"/>
    </w:pPr>
  </w:style>
  <w:style w:styleId="TOC" w:type="paragraph">
    <w:name w:val="TOC Heading"/>
    <w:basedOn w:val="1"/>
    <w:next w:val="a1"/>
    <w:uiPriority w:val="39"/>
    <w:unhideWhenUsed/>
    <w:qFormat/>
    <w:rsid w:val="00575AD7"/>
    <w:pPr>
      <w:spacing w:before="240" w:line="259" w:lineRule="auto"/>
      <w:outlineLvl w:val="9"/>
    </w:pPr>
    <w:rPr>
      <w:b w:val="0"/>
      <w:bCs w:val="0"/>
      <w:sz w:val="32"/>
      <w:szCs w:val="32"/>
      <w:lang w:eastAsia="zh-CN"/>
    </w:rPr>
  </w:style>
  <w:style w:styleId="TOC2" w:type="paragraph">
    <w:name w:val="toc 2"/>
    <w:basedOn w:val="a1"/>
    <w:next w:val="a1"/>
    <w:autoRedefine/>
    <w:uiPriority w:val="39"/>
    <w:unhideWhenUsed/>
    <w:rsid w:val="00575AD7"/>
    <w:pPr>
      <w:spacing w:after="100" w:line="259" w:lineRule="auto"/>
      <w:ind w:left="220"/>
    </w:pPr>
    <w:rPr>
      <w:rFonts w:cs="Times New Roman"/>
      <w:lang w:eastAsia="zh-CN"/>
    </w:rPr>
  </w:style>
  <w:style w:styleId="TOC10" w:type="paragraph">
    <w:name w:val="toc 1"/>
    <w:basedOn w:val="a1"/>
    <w:next w:val="a1"/>
    <w:autoRedefine/>
    <w:uiPriority w:val="39"/>
    <w:unhideWhenUsed/>
    <w:rsid w:val="00575AD7"/>
    <w:pPr>
      <w:spacing w:after="100" w:line="259" w:lineRule="auto"/>
    </w:pPr>
    <w:rPr>
      <w:rFonts w:cs="Times New Roman"/>
      <w:lang w:eastAsia="zh-CN"/>
    </w:rPr>
  </w:style>
  <w:style w:styleId="TOC3" w:type="paragraph">
    <w:name w:val="toc 3"/>
    <w:basedOn w:val="a1"/>
    <w:next w:val="a1"/>
    <w:autoRedefine/>
    <w:uiPriority w:val="39"/>
    <w:unhideWhenUsed/>
    <w:rsid w:val="00575AD7"/>
    <w:pPr>
      <w:spacing w:after="100" w:line="259" w:lineRule="auto"/>
      <w:ind w:left="440"/>
    </w:pPr>
    <w:rPr>
      <w:rFonts w:cs="Times New Roman"/>
      <w:lang w:eastAsia="zh-CN"/>
    </w:rPr>
  </w:style>
  <w:style w:styleId="aff4" w:type="character">
    <w:name w:val="Hyperlink"/>
    <w:basedOn w:val="a2"/>
    <w:uiPriority w:val="99"/>
    <w:unhideWhenUsed/>
    <w:rsid w:val="00575AD7"/>
    <w:rPr>
      <w:color w:themeColor="hyperlink" w:val="0000FF"/>
      <w:u w:val="singl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17" Type="http://schemas.openxmlformats.org/officeDocument/2006/relationships/numbering" Target="numbering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webSettings" Target="web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notes" Target="footnotes.xml"/><Relationship Id="rId10" Type="http://schemas.openxmlformats.org/officeDocument/2006/relationships/comments" Target="comment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24" Type="http://schemas.openxmlformats.org/officeDocument/2006/relationships/image" Target="media/rId24.png"/><Relationship Id="rId31" Type="http://schemas.openxmlformats.org/officeDocument/2006/relationships/image" Target="media/rId31.png"/><Relationship Id="rId37" Type="http://schemas.openxmlformats.org/officeDocument/2006/relationships/image" Target="media/rId37.png"/><Relationship Id="rId90" Type="http://schemas.openxmlformats.org/officeDocument/2006/relationships/image" Target="media/rId90.png"/><Relationship Id="rId97" Type="http://schemas.openxmlformats.org/officeDocument/2006/relationships/image" Target="media/rId97.png"/><Relationship Id="rId104" Type="http://schemas.openxmlformats.org/officeDocument/2006/relationships/image" Target="media/rId104.png"/><Relationship Id="rId41" Type="http://schemas.openxmlformats.org/officeDocument/2006/relationships/image" Target="media/rId41.png"/><Relationship Id="rId45" Type="http://schemas.openxmlformats.org/officeDocument/2006/relationships/image" Target="media/rId45.png"/><Relationship Id="rId49" Type="http://schemas.openxmlformats.org/officeDocument/2006/relationships/image" Target="media/rId49.png"/><Relationship Id="rId54" Type="http://schemas.openxmlformats.org/officeDocument/2006/relationships/image" Target="media/rId54.png"/><Relationship Id="rId58" Type="http://schemas.openxmlformats.org/officeDocument/2006/relationships/image" Target="media/rId58.png"/><Relationship Id="rId64" Type="http://schemas.openxmlformats.org/officeDocument/2006/relationships/image" Target="media/rId64.png"/><Relationship Id="rId68" Type="http://schemas.openxmlformats.org/officeDocument/2006/relationships/image" Target="media/rId68.png"/><Relationship Id="rId74" Type="http://schemas.openxmlformats.org/officeDocument/2006/relationships/image" Target="media/rId74.png"/><Relationship Id="rId79" Type="http://schemas.openxmlformats.org/officeDocument/2006/relationships/image" Target="media/rId79.png"/><Relationship Id="rId84" Type="http://schemas.openxmlformats.org/officeDocument/2006/relationships/image" Target="media/rId8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404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2026-05-28T08:28:07Z</dcterms:created>
  <dcterms:modified xsi:type="dcterms:W3CDTF">2026-05-28T08:28:07Z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