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软件著作权登记申请表"/>
    <w:p>
      <w:pPr>
        <w:pStyle w:val="Heading1"/>
      </w:pPr>
      <w:r>
        <w:rPr>
          <w:rFonts w:eastAsia="宋体" w:ascii="Times New Roman" w:hAnsi="Times New Roman" w:cs="Times New Roman"/>
        </w:rPr>
        <w:t xml:space="preserve">软件著作权登记申请表</w:t>
      </w:r>
    </w:p>
    <w:bookmarkStart w:id="20" w:name="基本信息"/>
    <w:p>
      <w:pPr>
        <w:pStyle w:val="Heading2"/>
      </w:pPr>
      <w:r>
        <w:rPr>
          <w:rFonts w:eastAsia="宋体" w:ascii="Times New Roman" w:hAnsi="Times New Roman" w:cs="Times New Roman"/>
        </w:rPr>
        <w:t xml:space="preserve">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软件全称</w:t>
            </w:r>
          </w:p>
        </w:tc>
        <w:tc>
          <w:tcPr/>
          <w:p>
            <w:r>
              <w:rPr>
                <w:rFonts w:eastAsia="宋体" w:ascii="Times New Roman" w:hAnsi="Times New Roman" w:cs="Times New Roman"/>
              </w:rPr>
              <w:t>黄秋葵重要农艺性状评价系统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版本号</w:t>
            </w:r>
          </w:p>
        </w:tc>
        <w:tc>
          <w:tcPr/>
          <w:p>
            <w:r>
              <w:rPr>
                <w:rFonts w:eastAsia="宋体" w:ascii="Times New Roman" w:hAnsi="Times New Roman" w:cs="Times New Roman"/>
              </w:rPr>
              <w:t>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软件分类</w:t>
            </w:r>
          </w:p>
        </w:tc>
        <w:tc>
          <w:tcPr/>
          <w:p>
            <w:r>
              <w:rPr>
                <w:rFonts w:eastAsia="宋体" w:ascii="Times New Roman" w:hAnsi="Times New Roman" w:cs="Times New Roman"/>
              </w:rPr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源程序量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2325行</w:t>
            </w:r>
          </w:p>
        </w:tc>
      </w:tr>
    </w:tbl>
    <w:bookmarkEnd w:id="20"/>
    <w:bookmarkStart w:id="21" w:name="环境信息"/>
    <w:p>
      <w:pPr>
        <w:pStyle w:val="Heading2"/>
      </w:pPr>
      <w:r>
        <w:rPr>
          <w:rFonts w:eastAsia="宋体" w:ascii="Times New Roman" w:hAnsi="Times New Roman" w:cs="Times New Roman"/>
        </w:rPr>
        <w:t xml:space="preserve">环境信息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开发硬件环境（&lt;=50字）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Intel Core i7处理器、16GB内存、512GB固态硬盘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运行硬件环境（&lt;=50字）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Intel Core i5及以上、8GB内存、100GB可用存储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开发操作系统（&lt;=50字）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Windows 11 64位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开发环境/工具（&lt;=50字）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VS Code、Node.js、TypeScript、Next.js、NestJS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运行平台/操作系统（&lt;=50字）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Windows 10/11、Linux、Chrome或Edge浏览器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运行支撑环境（&lt;=50字）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Node.js 20、浏览器、HTTP网络环境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编程语言（&lt;=50字）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TypeScript、JavaScript、HTML、CSS</w:t>
            </w:r>
          </w:p>
        </w:tc>
      </w:tr>
    </w:tbl>
    <w:bookmarkEnd w:id="21"/>
    <w:bookmarkStart w:id="22" w:name="业务与技术信息"/>
    <w:p>
      <w:pPr>
        <w:pStyle w:val="Heading2"/>
      </w:pPr>
      <w:r>
        <w:rPr>
          <w:rFonts w:eastAsia="宋体" w:ascii="Times New Roman" w:hAnsi="Times New Roman" w:cs="Times New Roman"/>
        </w:rPr>
        <w:t xml:space="preserve">业务与技术信息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开发目的（&lt;=50字）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统一车间工单跟踪与效率分析，提升现场调度效率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面向领域/行业（&lt;=50字）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制造业、车间生产管理、精益改善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主要功能（500-1300字）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本软件面向离散制造车间的精益生产管理场景，围绕“任务执行、工序报工、效率分析、班组协同”四条主线构建一体化业务能力。系统提供标准化登录入口，支持车间主管、班组长、操作员和质检员等角色以演示账号进入系统，并在登录后展示对应的姓名、工号、角色和所属班组信息。首页集中呈现近四班产量合计、平均工序耗时、综合良品率和在制工单占比等关键指标，帮助管理人员快速掌握生产节奏和异常波动。任务看板模块按照待开始、进行中、已完成、延期四种状态分栏展示工单，支持按班组、状态、优先级和关键字进行组合筛选，并支持对当前结果进行全选、批量状态更新和单卡片流转处理，从而满足班组长现场调度、异常催办和跨班协同的日常需要。任务详情模块面向具体工单，展示工单号、计划时间、当前工序、累计产量、累计耗时、良品率和任务进度等信息，并提供工序名称、开始时间、结束时间、产量和不良数的录入能力；系统对结束时间早于开始时间、不良数大于产量等场景进行校验，保证数据记录准确可靠。效率总览模块对多日KPI数据进行汇总，以趋势图和班组效率排行方式展示不同班组的产量、工时与良品率变化，便于管理者发现瓶颈工序和低效班组，及时安排改善动作。系统内置示例数据装载能力，可自动生成班组、人员、工单、工序记录和日KPI数据，便于快速部署、界面演示、测试验证和软著申报材料准备。整体上，本软件实现了从任务派工、执行跟踪、过程报工到结果分析的闭环管理，能够为制造企业的精益生产推进、现场透明化管理和持续改善提供数字化支撑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技术特点（50-100字）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采用Next.js与NestJS前后端分离架构，统一任务、工序与KPI数据模型，提供REST接口、批量流转、统计汇总和示例数据装载能力，便于快速部署与演示。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技术特点类型（1-3项）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云计算软件、大数据软件</w:t>
            </w:r>
          </w:p>
        </w:tc>
      </w:tr>
    </w:tbl>
    <w:bookmarkEnd w:id="22"/>
    <w:bookmarkStart w:id="23" w:name="主体信息"/>
    <w:p>
      <w:pPr>
        <w:pStyle w:val="Heading2"/>
      </w:pPr>
      <w:r>
        <w:rPr>
          <w:rFonts w:eastAsia="宋体" w:ascii="Times New Roman" w:hAnsi="Times New Roman" w:cs="Times New Roman"/>
        </w:rPr>
        <w:t xml:space="preserve">主体信息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著作权人名称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统一社会信用代码/证件号码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联系人</w:t>
            </w:r>
          </w:p>
        </w:tc>
        <w:tc>
          <w:tcPr/>
          <w:p>
            <w:r>
              <w:rPr>
                <w:rFonts w:eastAsia="宋体" w:ascii="Times New Roman" w:hAnsi="Times New Roman" w:cs="Times New Roman"/>
              </w:rPr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联系电话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联系地址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邮编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邮箱</w:t>
            </w:r>
          </w:p>
        </w:tc>
        <w:tc>
          <w:tcPr/>
          <w:p>
            <w:pPr>
              <w:pStyle w:val="Compact"/>
            </w:pPr>
          </w:p>
        </w:tc>
      </w:tr>
    </w:tbl>
    <w:bookmarkEnd w:id="23"/>
    <w:bookmarkStart w:id="24" w:name="日期信息"/>
    <w:p>
      <w:pPr>
        <w:pStyle w:val="Heading2"/>
      </w:pPr>
      <w:r>
        <w:rPr>
          <w:rFonts w:eastAsia="宋体" w:ascii="Times New Roman" w:hAnsi="Times New Roman" w:cs="Times New Roman"/>
        </w:rPr>
        <w:t xml:space="preserve">日期信息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开发完成日期</w:t>
            </w:r>
          </w:p>
        </w:tc>
        <w:tc>
          <w:tcPr/>
          <w:p>
            <w:r>
              <w:t>2026-05-28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首次发表日期</w:t>
            </w:r>
          </w:p>
        </w:tc>
        <w:tc>
          <w:tcPr/>
          <w:p>
            <w:pPr>
              <w:pStyle w:val="Compact"/>
            </w:pPr>
          </w:p>
        </w:tc>
      </w:tr>
    </w:tbl>
    <w:bookmarkEnd w:id="24"/>
    <w:bookmarkEnd w:id="25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eastAsia="宋体" w:ascii="Times New Roman" w:hAnsi="Times New Roman" w:cs="Times New Roman"/>
      </w:rPr>
      <w:t>黄秋葵重要农艺性状评价系统V1.0</w:t>
      <w:tab/>
    </w:r>
    <w:r>
      <w:rPr>
        <w:rFonts w:eastAsia="宋体" w:ascii="Times New Roman" w:hAnsi="Times New Roman" w:cs="Times New Roman"/>
      </w:rPr>
      <w:fldChar w:fldCharType="begin"/>
      <w:instrText xml:space="preserve"> PAGE </w:instrText>
      <w:fldChar w:fldCharType="end"/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2026-05-11T13:38:26Z</dcterms:created>
  <dcterms:modified xsi:type="dcterms:W3CDTF">2026-05-11T13:38:26Z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