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黄秋葵重要农艺性状评价系统-v10"/>
    <w:p>
      <w:pPr>
        <w:spacing w:before="4000" w:after="0"/>
        <w:jc w:val="center"/>
      </w:pPr>
      <w:r>
        <w:rPr>
          <w:rFonts w:ascii="Times New Roman" w:hAnsi="Times New Roman" w:eastAsia="宋体" w:cs="Times New Roman"/>
          <w:sz w:val="48"/>
        </w:rPr>
        <w:t>黄秋葵重要农艺性状评价系统 V1.0</w:t>
      </w:r>
    </w:p>
    <w:bookmarkEnd w:id="18"/>
    <w:bookmarkStart w:id="87" w:name="操作手册"/>
    <w:p>
      <w:pPr>
        <w:spacing w:before="0" w:after="0"/>
        <w:jc w:val="center"/>
      </w:pPr>
      <w:r>
        <w:rPr>
          <w:rFonts w:ascii="Times New Roman" w:hAnsi="Times New Roman" w:eastAsia="宋体" w:cs="Times New Roman"/>
          <w:sz w:val="48"/>
        </w:rPr>
        <w:t>操作手册</w:t>
        <w:br w:type="page"/>
      </w:r>
    </w:p>
    <w:bookmarkStart w:id="19" w:name="Xb9706ce1f951de478d48b63f147ebf1e90a6a98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1. </w:t>
      </w:r>
      <w:r>
        <w:rPr>
          <w:rFonts w:hint="eastAsia" w:eastAsia="宋体" w:ascii="Times New Roman" w:hAnsi="Times New Roman" w:cs="Times New Roman"/>
        </w:rPr>
        <w:t xml:space="preserve">文档定位与适用对象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本手册用于指导试验相关人员在“黄秋葵重要农艺性状评价系统”中完成试验建档、口径维护、数据采集、质量核验与综合评价，并说明评分复核、异常留痕与导出材料的操作方法。系统强调三条工作原则：</w:t>
      </w:r>
    </w:p>
    <w:p>
      <w:pPr>
        <w:pStyle w:val="Compact"/>
        <w:keepNext w:val="0"/>
        <w:keepLines w:val="0"/>
        <w:pageBreakBefore w:val="0"/>
        <w:numPr>
          <w:ilvl w:val="0"/>
          <w:numId w:val="100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口径先行：性状名称、单位、测定方法与合理范围先统一，再开展采集。</w:t>
      </w:r>
    </w:p>
    <w:p>
      <w:pPr>
        <w:pStyle w:val="Compact"/>
        <w:keepNext w:val="0"/>
        <w:keepLines w:val="0"/>
        <w:pageBreakBefore w:val="0"/>
        <w:numPr>
          <w:ilvl w:val="0"/>
          <w:numId w:val="100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过程可追溯：每一条观测记录都要能追溯到小区、时间、录入人和备注。</w:t>
      </w:r>
    </w:p>
    <w:p>
      <w:pPr>
        <w:pStyle w:val="Compact"/>
        <w:keepNext w:val="0"/>
        <w:keepLines w:val="0"/>
        <w:pageBreakBefore w:val="0"/>
        <w:numPr>
          <w:ilvl w:val="0"/>
          <w:numId w:val="100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结论可复核：综合评分必须能还原到“标准化方法</w:t>
      </w:r>
      <w:r>
        <w:rPr>
          <w:rFonts w:eastAsia="宋体" w:ascii="Times New Roman" w:hAnsi="Times New Roman" w:cs="Times New Roman"/>
        </w:rPr>
        <w:t xml:space="preserve"> + </w:t>
      </w:r>
      <w:r>
        <w:rPr>
          <w:rFonts w:hint="eastAsia" w:eastAsia="宋体" w:ascii="Times New Roman" w:hAnsi="Times New Roman" w:cs="Times New Roman"/>
        </w:rPr>
        <w:t xml:space="preserve">权重</w:t>
      </w:r>
      <w:r>
        <w:rPr>
          <w:rFonts w:eastAsia="宋体" w:ascii="Times New Roman" w:hAnsi="Times New Roman" w:cs="Times New Roman"/>
        </w:rPr>
        <w:t xml:space="preserve"> + </w:t>
      </w:r>
      <w:r>
        <w:rPr>
          <w:rFonts w:hint="eastAsia" w:eastAsia="宋体" w:ascii="Times New Roman" w:hAnsi="Times New Roman" w:cs="Times New Roman"/>
        </w:rPr>
        <w:t xml:space="preserve">缺失处理策略”的组合。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适用对象：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试验负责人：建立试验、审核数据、计算综合评分、导出结论。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调查员/记录员：按小区与性状填报观测值，补充现场备注。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数据管理员：维护材料库、性状口径库、评分模板与数据字典。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统计分析人员：查看得分分解，导出表格用于论文、简报与品种筛选讨论。</w:t>
      </w:r>
    </w:p>
    <w:bookmarkEnd w:id="19"/>
    <w:bookmarkStart w:id="25" w:name="Xe33ceff4e39d3838b77c27fb27a7a1e5e3d8c8e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2. </w:t>
      </w:r>
      <w:r>
        <w:rPr>
          <w:rFonts w:hint="eastAsia" w:eastAsia="宋体" w:ascii="Times New Roman" w:hAnsi="Times New Roman" w:cs="Times New Roman"/>
        </w:rPr>
        <w:t xml:space="preserve">系统入口与登录</w:t>
      </w:r>
    </w:p>
    <w:bookmarkStart w:id="20" w:name="X18e22a693b7ca29020ef386f7ee91f051c326a7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2.1 </w:t>
      </w:r>
      <w:r>
        <w:rPr>
          <w:rFonts w:hint="eastAsia" w:eastAsia="宋体" w:ascii="Times New Roman" w:hAnsi="Times New Roman" w:cs="Times New Roman"/>
        </w:rPr>
        <w:t xml:space="preserve">访问入口</w:t>
      </w:r>
    </w:p>
    <w:p>
      <w:pPr>
        <w:pStyle w:val="Compact"/>
        <w:keepNext w:val="0"/>
        <w:keepLines w:val="0"/>
        <w:pageBreakBefore w:val="0"/>
        <w:numPr>
          <w:ilvl w:val="0"/>
          <w:numId w:val="100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启动系统后，在浏览器中访问系统首页。</w:t>
      </w:r>
    </w:p>
    <w:p>
      <w:pPr>
        <w:pStyle w:val="Compact"/>
        <w:keepNext w:val="0"/>
        <w:keepLines w:val="0"/>
        <w:pageBreakBefore w:val="0"/>
        <w:numPr>
          <w:ilvl w:val="0"/>
          <w:numId w:val="100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首页包含“试验卡片、材料库、性状口径、观测录入、综合评价、操作追溯”等入口。</w:t>
      </w:r>
    </w:p>
    <w:bookmarkEnd w:id="20"/>
    <w:bookmarkStart w:id="24" w:name="X1766760f45c4a6191e96ff693611b4ddfa078f1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2.2 </w:t>
      </w:r>
      <w:r>
        <w:rPr>
          <w:rFonts w:hint="eastAsia" w:eastAsia="宋体" w:ascii="Times New Roman" w:hAnsi="Times New Roman" w:cs="Times New Roman"/>
        </w:rPr>
        <w:t xml:space="preserve">登录说明（演示模式）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当前系统以“演示模式登录页”呈现基本登录流程，用于软著截图与入口说明：</w:t>
      </w:r>
    </w:p>
    <w:p>
      <w:pPr>
        <w:pStyle w:val="Compact"/>
        <w:keepNext w:val="0"/>
        <w:keepLines w:val="0"/>
        <w:pageBreakBefore w:val="0"/>
        <w:numPr>
          <w:ilvl w:val="0"/>
          <w:numId w:val="100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用户名、密码可任意填写；</w:t>
      </w:r>
    </w:p>
    <w:p>
      <w:pPr>
        <w:pStyle w:val="Compact"/>
        <w:keepNext w:val="0"/>
        <w:keepLines w:val="0"/>
        <w:pageBreakBefore w:val="0"/>
        <w:numPr>
          <w:ilvl w:val="0"/>
          <w:numId w:val="100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点击“进入系统”后进入首页；</w:t>
      </w:r>
    </w:p>
    <w:p>
      <w:pPr>
        <w:pStyle w:val="Compact"/>
        <w:keepNext w:val="0"/>
        <w:keepLines w:val="0"/>
        <w:pageBreakBefore w:val="0"/>
        <w:numPr>
          <w:ilvl w:val="0"/>
          <w:numId w:val="100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如需真实鉴权与账户管理，可在后续版本对接统一身份认证。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图1-1 登录页" title="" id="22" name="Picture"/>
            <a:graphic>
              <a:graphicData uri="http://schemas.openxmlformats.org/drawingml/2006/picture">
                <pic:pic>
                  <pic:nvPicPr>
                    <pic:cNvPr descr="images/fig-1-1-login-full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End w:id="25"/>
    <w:bookmarkStart w:id="32" w:name="X6fb25a7f483d17bd1c5867dfdb0de6e10ed9934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3. </w:t>
      </w:r>
      <w:r>
        <w:rPr>
          <w:rFonts w:hint="eastAsia" w:eastAsia="宋体" w:ascii="Times New Roman" w:hAnsi="Times New Roman" w:cs="Times New Roman"/>
        </w:rPr>
        <w:t xml:space="preserve">首页：试验卡片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首页以“试验卡片”方式管理试验。建议的工作顺序为：</w:t>
      </w:r>
    </w:p>
    <w:p>
      <w:pPr>
        <w:pStyle w:val="Compact"/>
        <w:keepNext w:val="0"/>
        <w:keepLines w:val="0"/>
        <w:pageBreakBefore w:val="0"/>
        <w:numPr>
          <w:ilvl w:val="0"/>
          <w:numId w:val="100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建立试验卡片（地点、季节、设计、重复）→</w:t>
      </w:r>
      <w:r>
        <w:rPr>
          <w:rFonts w:eastAsia="宋体" w:ascii="Times New Roman" w:hAnsi="Times New Roman" w:cs="Times New Roman"/>
        </w:rPr>
        <w:t xml:space="preserve"> 2) </w:t>
      </w:r>
      <w:r>
        <w:rPr>
          <w:rFonts w:hint="eastAsia" w:eastAsia="宋体" w:ascii="Times New Roman" w:hAnsi="Times New Roman" w:cs="Times New Roman"/>
        </w:rPr>
        <w:t xml:space="preserve">维护材料库</w:t>
      </w:r>
      <w:r>
        <w:rPr>
          <w:rFonts w:eastAsia="宋体" w:ascii="Times New Roman" w:hAnsi="Times New Roman" w:cs="Times New Roman"/>
        </w:rPr>
        <w:t xml:space="preserve"> → 3) </w:t>
      </w:r>
      <w:r>
        <w:rPr>
          <w:rFonts w:hint="eastAsia" w:eastAsia="宋体" w:ascii="Times New Roman" w:hAnsi="Times New Roman" w:cs="Times New Roman"/>
        </w:rPr>
        <w:t xml:space="preserve">维护性状口径</w:t>
      </w:r>
      <w:r>
        <w:rPr>
          <w:rFonts w:eastAsia="宋体" w:ascii="Times New Roman" w:hAnsi="Times New Roman" w:cs="Times New Roman"/>
        </w:rPr>
        <w:t xml:space="preserve"> → 4) </w:t>
      </w:r>
      <w:r>
        <w:rPr>
          <w:rFonts w:hint="eastAsia" w:eastAsia="宋体" w:ascii="Times New Roman" w:hAnsi="Times New Roman" w:cs="Times New Roman"/>
        </w:rPr>
        <w:t xml:space="preserve">建立小区布局</w:t>
      </w:r>
      <w:r>
        <w:rPr>
          <w:rFonts w:eastAsia="宋体" w:ascii="Times New Roman" w:hAnsi="Times New Roman" w:cs="Times New Roman"/>
        </w:rPr>
        <w:t xml:space="preserve"> → 5) </w:t>
      </w:r>
      <w:r>
        <w:rPr>
          <w:rFonts w:hint="eastAsia" w:eastAsia="宋体" w:ascii="Times New Roman" w:hAnsi="Times New Roman" w:cs="Times New Roman"/>
        </w:rPr>
        <w:t xml:space="preserve">观测录入与审核</w:t>
      </w:r>
      <w:r>
        <w:rPr>
          <w:rFonts w:eastAsia="宋体" w:ascii="Times New Roman" w:hAnsi="Times New Roman" w:cs="Times New Roman"/>
        </w:rPr>
        <w:t xml:space="preserve"> → 6) </w:t>
      </w:r>
      <w:r>
        <w:rPr>
          <w:rFonts w:hint="eastAsia" w:eastAsia="宋体" w:ascii="Times New Roman" w:hAnsi="Times New Roman" w:cs="Times New Roman"/>
        </w:rPr>
        <w:t xml:space="preserve">综合评价与导出。</w:t>
      </w:r>
    </w:p>
    <w:bookmarkStart w:id="29" w:name="Xc4db28e878680938669ab385596a5649b92fd8d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3.1 </w:t>
      </w:r>
      <w:r>
        <w:rPr>
          <w:rFonts w:hint="eastAsia" w:eastAsia="宋体" w:ascii="Times New Roman" w:hAnsi="Times New Roman" w:cs="Times New Roman"/>
        </w:rPr>
        <w:t xml:space="preserve">创建试验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在“创建试验”卡片中填写：</w:t>
      </w:r>
    </w:p>
    <w:p>
      <w:pPr>
        <w:pStyle w:val="Compact"/>
        <w:keepNext w:val="0"/>
        <w:keepLines w:val="0"/>
        <w:pageBreakBefore w:val="0"/>
        <w:numPr>
          <w:ilvl w:val="0"/>
          <w:numId w:val="100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试验名称：建议包含季节与试验目的，例如“2026春季黄秋葵品比”；</w:t>
      </w:r>
    </w:p>
    <w:p>
      <w:pPr>
        <w:pStyle w:val="Compact"/>
        <w:keepNext w:val="0"/>
        <w:keepLines w:val="0"/>
        <w:pageBreakBefore w:val="0"/>
        <w:numPr>
          <w:ilvl w:val="0"/>
          <w:numId w:val="100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地点：试验站/基地名称；</w:t>
      </w:r>
    </w:p>
    <w:p>
      <w:pPr>
        <w:pStyle w:val="Compact"/>
        <w:keepNext w:val="0"/>
        <w:keepLines w:val="0"/>
        <w:pageBreakBefore w:val="0"/>
        <w:numPr>
          <w:ilvl w:val="0"/>
          <w:numId w:val="100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季节/批次：例如“2026S”；</w:t>
      </w:r>
    </w:p>
    <w:p>
      <w:pPr>
        <w:pStyle w:val="Compact"/>
        <w:keepNext w:val="0"/>
        <w:keepLines w:val="0"/>
        <w:pageBreakBefore w:val="0"/>
        <w:numPr>
          <w:ilvl w:val="0"/>
          <w:numId w:val="100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设计：随机区组或自定义布局；</w:t>
      </w:r>
    </w:p>
    <w:p>
      <w:pPr>
        <w:pStyle w:val="Compact"/>
        <w:keepNext w:val="0"/>
        <w:keepLines w:val="0"/>
        <w:pageBreakBefore w:val="0"/>
        <w:numPr>
          <w:ilvl w:val="0"/>
          <w:numId w:val="100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重复数：通常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2~4；</w:t>
      </w:r>
    </w:p>
    <w:p>
      <w:pPr>
        <w:pStyle w:val="Compact"/>
        <w:keepNext w:val="0"/>
        <w:keepLines w:val="0"/>
        <w:pageBreakBefore w:val="0"/>
        <w:numPr>
          <w:ilvl w:val="0"/>
          <w:numId w:val="100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负责人：便于追溯。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点击“保存”后，系统生成试验记录并在列表展示试验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ID。该</w:t>
      </w:r>
      <w:r>
        <w:rPr>
          <w:rFonts w:eastAsia="宋体" w:ascii="Times New Roman" w:hAnsi="Times New Roman" w:cs="Times New Roman"/>
        </w:rPr>
        <w:t xml:space="preserve"> ID </w:t>
      </w:r>
      <w:r>
        <w:rPr>
          <w:rFonts w:hint="eastAsia" w:eastAsia="宋体" w:ascii="Times New Roman" w:hAnsi="Times New Roman" w:cs="Times New Roman"/>
        </w:rPr>
        <w:t xml:space="preserve">会用于后续的小区、观测与评分计算。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图2-1 试验卡片" title="" id="27" name="Picture"/>
            <a:graphic>
              <a:graphicData uri="http://schemas.openxmlformats.org/drawingml/2006/picture">
                <pic:pic>
                  <pic:nvPicPr>
                    <pic:cNvPr descr="images/fig-2-1-home-full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X82d58e02ac386f2c6832425f3b3447e7f333aae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3.2 </w:t>
      </w:r>
      <w:r>
        <w:rPr>
          <w:rFonts w:hint="eastAsia" w:eastAsia="宋体" w:ascii="Times New Roman" w:hAnsi="Times New Roman" w:cs="Times New Roman"/>
        </w:rPr>
        <w:t xml:space="preserve">查看试验列表与检索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在“试验列表”中可以按名称或地点搜索并刷新。建议在试验开始前，确认试验名称、地点与季节字段已固定，避免后续导出材料出现口径不一致。</w:t>
      </w:r>
    </w:p>
    <w:bookmarkEnd w:id="30"/>
    <w:bookmarkStart w:id="31" w:name="Xfc48de340bde1e7d52fb788a7ec6ffacc5f701a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3.3 </w:t>
      </w:r>
      <w:r>
        <w:rPr>
          <w:rFonts w:hint="eastAsia" w:eastAsia="宋体" w:ascii="Times New Roman" w:hAnsi="Times New Roman" w:cs="Times New Roman"/>
        </w:rPr>
        <w:t xml:space="preserve">小区布局与编码建议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当前版本通过</w:t>
      </w:r>
      <w:r>
        <w:rPr>
          <w:rFonts w:eastAsia="宋体" w:ascii="Times New Roman" w:hAnsi="Times New Roman" w:cs="Times New Roman"/>
        </w:rPr>
        <w:t xml:space="preserve"> API </w:t>
      </w:r>
      <w:r>
        <w:rPr>
          <w:rFonts w:hint="eastAsia" w:eastAsia="宋体" w:ascii="Times New Roman" w:hAnsi="Times New Roman" w:cs="Times New Roman"/>
        </w:rPr>
        <w:t xml:space="preserve">添加小区（plot），编码建议采用“区组号-序号”的方式，例如：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Fonts w:eastAsia="宋体" w:ascii="Times New Roman" w:hAnsi="Times New Roman" w:cs="Times New Roman"/>
        </w:rPr>
        <w:t xml:space="preserve">B1-01 </w:t>
      </w:r>
      <w:r>
        <w:rPr>
          <w:rFonts w:hint="eastAsia" w:eastAsia="宋体" w:ascii="Times New Roman" w:hAnsi="Times New Roman" w:cs="Times New Roman"/>
        </w:rPr>
        <w:t xml:space="preserve">表示第</w:t>
      </w:r>
      <w:r>
        <w:rPr>
          <w:rFonts w:eastAsia="宋体" w:ascii="Times New Roman" w:hAnsi="Times New Roman" w:cs="Times New Roman"/>
        </w:rPr>
        <w:t xml:space="preserve"> 1 </w:t>
      </w:r>
      <w:r>
        <w:rPr>
          <w:rFonts w:hint="eastAsia" w:eastAsia="宋体" w:ascii="Times New Roman" w:hAnsi="Times New Roman" w:cs="Times New Roman"/>
        </w:rPr>
        <w:t xml:space="preserve">区组第</w:t>
      </w:r>
      <w:r>
        <w:rPr>
          <w:rFonts w:eastAsia="宋体" w:ascii="Times New Roman" w:hAnsi="Times New Roman" w:cs="Times New Roman"/>
        </w:rPr>
        <w:t xml:space="preserve"> 1 </w:t>
      </w:r>
      <w:r>
        <w:rPr>
          <w:rFonts w:hint="eastAsia" w:eastAsia="宋体" w:ascii="Times New Roman" w:hAnsi="Times New Roman" w:cs="Times New Roman"/>
        </w:rPr>
        <w:t xml:space="preserve">小区；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Fonts w:eastAsia="宋体" w:ascii="Times New Roman" w:hAnsi="Times New Roman" w:cs="Times New Roman"/>
        </w:rPr>
        <w:t xml:space="preserve">B2-15 </w:t>
      </w:r>
      <w:r>
        <w:rPr>
          <w:rFonts w:hint="eastAsia" w:eastAsia="宋体" w:ascii="Times New Roman" w:hAnsi="Times New Roman" w:cs="Times New Roman"/>
        </w:rPr>
        <w:t xml:space="preserve">表示第</w:t>
      </w:r>
      <w:r>
        <w:rPr>
          <w:rFonts w:eastAsia="宋体" w:ascii="Times New Roman" w:hAnsi="Times New Roman" w:cs="Times New Roman"/>
        </w:rPr>
        <w:t xml:space="preserve"> 2 </w:t>
      </w:r>
      <w:r>
        <w:rPr>
          <w:rFonts w:hint="eastAsia" w:eastAsia="宋体" w:ascii="Times New Roman" w:hAnsi="Times New Roman" w:cs="Times New Roman"/>
        </w:rPr>
        <w:t xml:space="preserve">区组第</w:t>
      </w:r>
      <w:r>
        <w:rPr>
          <w:rFonts w:eastAsia="宋体" w:ascii="Times New Roman" w:hAnsi="Times New Roman" w:cs="Times New Roman"/>
        </w:rPr>
        <w:t xml:space="preserve"> 15 </w:t>
      </w:r>
      <w:r>
        <w:rPr>
          <w:rFonts w:hint="eastAsia" w:eastAsia="宋体" w:ascii="Times New Roman" w:hAnsi="Times New Roman" w:cs="Times New Roman"/>
        </w:rPr>
        <w:t xml:space="preserve">小区。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实践建议：</w:t>
      </w:r>
    </w:p>
    <w:p>
      <w:pPr>
        <w:pStyle w:val="Compact"/>
        <w:keepNext w:val="0"/>
        <w:keepLines w:val="0"/>
        <w:pageBreakBefore w:val="0"/>
        <w:numPr>
          <w:ilvl w:val="0"/>
          <w:numId w:val="100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试验负责人先根据田间布局表确定小区编码；</w:t>
      </w:r>
    </w:p>
    <w:p>
      <w:pPr>
        <w:pStyle w:val="Compact"/>
        <w:keepNext w:val="0"/>
        <w:keepLines w:val="0"/>
        <w:pageBreakBefore w:val="0"/>
        <w:numPr>
          <w:ilvl w:val="0"/>
          <w:numId w:val="100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确保同一试验内小区编码不重复；</w:t>
      </w:r>
    </w:p>
    <w:p>
      <w:pPr>
        <w:pStyle w:val="Compact"/>
        <w:keepNext w:val="0"/>
        <w:keepLines w:val="0"/>
        <w:pageBreakBefore w:val="0"/>
        <w:numPr>
          <w:ilvl w:val="0"/>
          <w:numId w:val="100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小区面积字段用于后续产量折算扩展，可先按统一面积填写。</w:t>
      </w:r>
    </w:p>
    <w:bookmarkEnd w:id="31"/>
    <w:bookmarkEnd w:id="32"/>
    <w:bookmarkStart w:id="51" w:name="Xcb2b18af0c5796b4bd2bc6c8682a8e804d070ab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 </w:t>
      </w:r>
      <w:r>
        <w:rPr>
          <w:rFonts w:hint="eastAsia" w:eastAsia="宋体" w:ascii="Times New Roman" w:hAnsi="Times New Roman" w:cs="Times New Roman"/>
        </w:rPr>
        <w:t xml:space="preserve">材料库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材料库用于维护参试品种（或材料）档案，包括来源、类型与备注。材料库的字段含义建议如下：</w:t>
      </w:r>
    </w:p>
    <w:p>
      <w:pPr>
        <w:pStyle w:val="Compact"/>
        <w:keepNext w:val="0"/>
        <w:keepLines w:val="0"/>
        <w:pageBreakBefore w:val="0"/>
        <w:numPr>
          <w:ilvl w:val="0"/>
          <w:numId w:val="100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材料名称：用于排名展示与导出表格；</w:t>
      </w:r>
    </w:p>
    <w:p>
      <w:pPr>
        <w:pStyle w:val="Compact"/>
        <w:keepNext w:val="0"/>
        <w:keepLines w:val="0"/>
        <w:pageBreakBefore w:val="0"/>
        <w:numPr>
          <w:ilvl w:val="0"/>
          <w:numId w:val="100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来源/单位：用于论文或简报溯源；</w:t>
      </w:r>
    </w:p>
    <w:p>
      <w:pPr>
        <w:pStyle w:val="Compact"/>
        <w:keepNext w:val="0"/>
        <w:keepLines w:val="0"/>
        <w:pageBreakBefore w:val="0"/>
        <w:numPr>
          <w:ilvl w:val="0"/>
          <w:numId w:val="100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类型：品种/杂交组合/系谱材料；</w:t>
      </w:r>
    </w:p>
    <w:p>
      <w:pPr>
        <w:pStyle w:val="Compact"/>
        <w:keepNext w:val="0"/>
        <w:keepLines w:val="0"/>
        <w:pageBreakBefore w:val="0"/>
        <w:numPr>
          <w:ilvl w:val="0"/>
          <w:numId w:val="100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备注：只记录材料特征与试验备注，不写评分口径。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图3-1 材料库页面" title="" id="34" name="Picture"/>
            <a:graphic>
              <a:graphicData uri="http://schemas.openxmlformats.org/drawingml/2006/picture">
                <pic:pic>
                  <pic:nvPicPr>
                    <pic:cNvPr descr="images/fig-3-1-varietie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9" w:name="X1197c649b015a5b06e0fa0cc1f4e3f9c1857fc2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4.1 </w:t>
      </w:r>
      <w:r>
        <w:rPr>
          <w:rFonts w:hint="eastAsia" w:eastAsia="宋体" w:ascii="Times New Roman" w:hAnsi="Times New Roman" w:cs="Times New Roman"/>
        </w:rPr>
        <w:t xml:space="preserve">新增材料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在“新增材料”表单中填写材料名称等信息，点击“保存”完成新增。建议一次性录入本次参试材料清单，避免观测录入阶段频繁补录。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图3-1a 新增材料窗口" title="" id="37" name="Picture"/>
            <a:graphic>
              <a:graphicData uri="http://schemas.openxmlformats.org/drawingml/2006/picture">
                <pic:pic>
                  <pic:nvPicPr>
                    <pic:cNvPr descr="images/fig-3-1a-varieties-create-modal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X9f436874529e923e7fdb9d46a7e3be309764bdf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4.2 </w:t>
      </w:r>
      <w:r>
        <w:rPr>
          <w:rFonts w:hint="eastAsia" w:eastAsia="宋体" w:ascii="Times New Roman" w:hAnsi="Times New Roman" w:cs="Times New Roman"/>
        </w:rPr>
        <w:t xml:space="preserve">编辑材料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当需要修订来源、类型或备注时，执行编辑操作。为了保证结论可追溯，建议：</w:t>
      </w:r>
    </w:p>
    <w:p>
      <w:pPr>
        <w:pStyle w:val="Compact"/>
        <w:keepNext w:val="0"/>
        <w:keepLines w:val="0"/>
        <w:pageBreakBefore w:val="0"/>
        <w:numPr>
          <w:ilvl w:val="0"/>
          <w:numId w:val="101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重要字段变更（材料名称、来源）在备注中补充变更原因；</w:t>
      </w:r>
    </w:p>
    <w:p>
      <w:pPr>
        <w:pStyle w:val="Compact"/>
        <w:keepNext w:val="0"/>
        <w:keepLines w:val="0"/>
        <w:pageBreakBefore w:val="0"/>
        <w:numPr>
          <w:ilvl w:val="0"/>
          <w:numId w:val="101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已用于试验布局的小区引用不应随意更换材料。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图3-1b 编辑材料窗口" title="" id="41" name="Picture"/>
            <a:graphic>
              <a:graphicData uri="http://schemas.openxmlformats.org/drawingml/2006/picture">
                <pic:pic>
                  <pic:nvPicPr>
                    <pic:cNvPr descr="images/fig-3-1b-varieties-edit-modal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50" w:name="X085562eef44734b2256e286f9d3133db6faa5f8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4.3 </w:t>
      </w:r>
      <w:r>
        <w:rPr>
          <w:rFonts w:hint="eastAsia" w:eastAsia="宋体" w:ascii="Times New Roman" w:hAnsi="Times New Roman" w:cs="Times New Roman"/>
        </w:rPr>
        <w:t xml:space="preserve">查看与删除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查看用于核对材料信息；删除用于清理误录条目。删除前建议确认：</w:t>
      </w:r>
    </w:p>
    <w:p>
      <w:pPr>
        <w:pStyle w:val="Compact"/>
        <w:keepNext w:val="0"/>
        <w:keepLines w:val="0"/>
        <w:pageBreakBefore w:val="0"/>
        <w:numPr>
          <w:ilvl w:val="0"/>
          <w:numId w:val="101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该材料尚未被试验小区引用；</w:t>
      </w:r>
    </w:p>
    <w:p>
      <w:pPr>
        <w:pStyle w:val="Compact"/>
        <w:keepNext w:val="0"/>
        <w:keepLines w:val="0"/>
        <w:pageBreakBefore w:val="0"/>
        <w:numPr>
          <w:ilvl w:val="0"/>
          <w:numId w:val="101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该材料没有观测记录，否则会影响评分复核。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图3-1c 查看材料窗口" title="" id="45" name="Picture"/>
            <a:graphic>
              <a:graphicData uri="http://schemas.openxmlformats.org/drawingml/2006/picture">
                <pic:pic>
                  <pic:nvPicPr>
                    <pic:cNvPr descr="images/fig-3-1c-varieties-view-modal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图3-1d 删除确认窗口" title="" id="48" name="Picture"/>
            <a:graphic>
              <a:graphicData uri="http://schemas.openxmlformats.org/drawingml/2006/picture">
                <pic:pic>
                  <pic:nvPicPr>
                    <pic:cNvPr descr="images/fig-3-1d-varieties-delete-modal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End w:id="51"/>
    <w:bookmarkStart w:id="57" w:name="Xe9848be1c87e8848e97b1e8204b5dbfeb8f3d32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 </w:t>
      </w:r>
      <w:r>
        <w:rPr>
          <w:rFonts w:hint="eastAsia" w:eastAsia="宋体" w:ascii="Times New Roman" w:hAnsi="Times New Roman" w:cs="Times New Roman"/>
        </w:rPr>
        <w:t xml:space="preserve">性状口径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性状口径用于统一“单位、合理范围、方向性、测定方法”。系统在录入观测值时会依据合理范围给出提示，便于后续复核异常值。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图3-2 性状口径页面" title="" id="53" name="Picture"/>
            <a:graphic>
              <a:graphicData uri="http://schemas.openxmlformats.org/drawingml/2006/picture">
                <pic:pic>
                  <pic:nvPicPr>
                    <pic:cNvPr descr="images/fig-3-2-traits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5" w:name="X946de650820b17c368e70063654a6eb45669c38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5.1 </w:t>
      </w:r>
      <w:r>
        <w:rPr>
          <w:rFonts w:hint="eastAsia" w:eastAsia="宋体" w:ascii="Times New Roman" w:hAnsi="Times New Roman" w:cs="Times New Roman"/>
        </w:rPr>
        <w:t xml:space="preserve">性状字段解释</w:t>
      </w:r>
    </w:p>
    <w:p>
      <w:pPr>
        <w:pStyle w:val="Compact"/>
        <w:keepNext w:val="0"/>
        <w:keepLines w:val="0"/>
        <w:pageBreakBefore w:val="0"/>
        <w:numPr>
          <w:ilvl w:val="0"/>
          <w:numId w:val="101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编码：建议短码，例如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PH（株高）、DF（始花期）、YPP（单株结荚数）；</w:t>
      </w:r>
    </w:p>
    <w:p>
      <w:pPr>
        <w:pStyle w:val="Compact"/>
        <w:keepNext w:val="0"/>
        <w:keepLines w:val="0"/>
        <w:pageBreakBefore w:val="0"/>
        <w:numPr>
          <w:ilvl w:val="0"/>
          <w:numId w:val="101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名称：用于导出与排名分解展示；</w:t>
      </w:r>
    </w:p>
    <w:p>
      <w:pPr>
        <w:pStyle w:val="Compact"/>
        <w:keepNext w:val="0"/>
        <w:keepLines w:val="0"/>
        <w:pageBreakBefore w:val="0"/>
        <w:numPr>
          <w:ilvl w:val="0"/>
          <w:numId w:val="101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单位：cm、d、个、%、g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等；</w:t>
      </w:r>
    </w:p>
    <w:p>
      <w:pPr>
        <w:pStyle w:val="Compact"/>
        <w:keepNext w:val="0"/>
        <w:keepLines w:val="0"/>
        <w:pageBreakBefore w:val="0"/>
        <w:numPr>
          <w:ilvl w:val="0"/>
          <w:numId w:val="101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方向性：</w:t>
      </w:r>
    </w:p>
    <w:p>
      <w:pPr>
        <w:pStyle w:val="Compact"/>
        <w:keepNext w:val="0"/>
        <w:keepLines w:val="0"/>
        <w:pageBreakBefore w:val="0"/>
        <w:numPr>
          <w:ilvl w:val="1"/>
          <w:numId w:val="101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越大越好：例如产量、单株结荚数、商品荚比例；</w:t>
      </w:r>
    </w:p>
    <w:p>
      <w:pPr>
        <w:pStyle w:val="Compact"/>
        <w:keepNext w:val="0"/>
        <w:keepLines w:val="0"/>
        <w:pageBreakBefore w:val="0"/>
        <w:numPr>
          <w:ilvl w:val="1"/>
          <w:numId w:val="101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越小越好：例如始花期（越早越好）、病害等级（越低越好）；</w:t>
      </w:r>
    </w:p>
    <w:p>
      <w:pPr>
        <w:pStyle w:val="Compact"/>
        <w:keepNext w:val="0"/>
        <w:keepLines w:val="0"/>
        <w:pageBreakBefore w:val="0"/>
        <w:numPr>
          <w:ilvl w:val="1"/>
          <w:numId w:val="101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目标区间最佳：适用于某些“最佳范围”性状（扩展项）；</w:t>
      </w:r>
    </w:p>
    <w:p>
      <w:pPr>
        <w:pStyle w:val="Compact"/>
        <w:keepNext w:val="0"/>
        <w:keepLines w:val="0"/>
        <w:pageBreakBefore w:val="0"/>
        <w:numPr>
          <w:ilvl w:val="0"/>
          <w:numId w:val="101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合理范围：用于“范围提示”，不作为硬性拦截；</w:t>
      </w:r>
    </w:p>
    <w:p>
      <w:pPr>
        <w:pStyle w:val="Compact"/>
        <w:keepNext w:val="0"/>
        <w:keepLines w:val="0"/>
        <w:pageBreakBefore w:val="0"/>
        <w:numPr>
          <w:ilvl w:val="0"/>
          <w:numId w:val="101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测定方法：建议写清“采样对象、采样时间、计算口径”，避免同一性状在不同调查员之间出现口径漂移。</w:t>
      </w:r>
    </w:p>
    <w:bookmarkEnd w:id="55"/>
    <w:bookmarkStart w:id="56" w:name="Xe2797ef947b6d548522893b8e7e2f97477d8492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5.2 </w:t>
      </w:r>
      <w:r>
        <w:rPr>
          <w:rFonts w:hint="eastAsia" w:eastAsia="宋体" w:ascii="Times New Roman" w:hAnsi="Times New Roman" w:cs="Times New Roman"/>
        </w:rPr>
        <w:t xml:space="preserve">推荐的黄秋葵性状集合（示例）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为便于形成“产量-品质-抗性-熟性”四类指标的完整画像，建议至少包含：</w:t>
      </w:r>
    </w:p>
    <w:p>
      <w:pPr>
        <w:pStyle w:val="Compact"/>
        <w:keepNext w:val="0"/>
        <w:keepLines w:val="0"/>
        <w:pageBreakBefore w:val="0"/>
        <w:numPr>
          <w:ilvl w:val="0"/>
          <w:numId w:val="101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株高（PH）、始花期（DF）；</w:t>
      </w:r>
    </w:p>
    <w:p>
      <w:pPr>
        <w:pStyle w:val="Compact"/>
        <w:keepNext w:val="0"/>
        <w:keepLines w:val="0"/>
        <w:pageBreakBefore w:val="0"/>
        <w:numPr>
          <w:ilvl w:val="0"/>
          <w:numId w:val="101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单株结荚数（YPP）、单荚鲜重（FPW）、商品荚比例（CPR）；</w:t>
      </w:r>
    </w:p>
    <w:p>
      <w:pPr>
        <w:pStyle w:val="Compact"/>
        <w:keepNext w:val="0"/>
        <w:keepLines w:val="0"/>
        <w:pageBreakBefore w:val="0"/>
        <w:numPr>
          <w:ilvl w:val="0"/>
          <w:numId w:val="101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主要病害等级（DIS）或虫害发生指数（扩展项）；</w:t>
      </w:r>
    </w:p>
    <w:p>
      <w:pPr>
        <w:pStyle w:val="Compact"/>
        <w:keepNext w:val="0"/>
        <w:keepLines w:val="0"/>
        <w:pageBreakBefore w:val="0"/>
        <w:numPr>
          <w:ilvl w:val="0"/>
          <w:numId w:val="101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产量折算（kg/亩，扩展项）。</w:t>
      </w:r>
    </w:p>
    <w:bookmarkEnd w:id="56"/>
    <w:bookmarkEnd w:id="57"/>
    <w:bookmarkStart w:id="65" w:name="Xabdec23d1759c0a49d14b60315387260df616da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 </w:t>
      </w:r>
      <w:r>
        <w:rPr>
          <w:rFonts w:hint="eastAsia" w:eastAsia="宋体" w:ascii="Times New Roman" w:hAnsi="Times New Roman" w:cs="Times New Roman"/>
        </w:rPr>
        <w:t xml:space="preserve">观测录入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观测以“小区-日期-性状”为单位录入。当前版本支持按试验/小区过滤查看历史观测记录。若观测值超出性状合理范围，系统会在备注中追加范围提示，不会强制阻断，便于现场记录后再复核。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图3-3 观测录入页面" title="" id="59" name="Picture"/>
            <a:graphic>
              <a:graphicData uri="http://schemas.openxmlformats.org/drawingml/2006/picture">
                <pic:pic>
                  <pic:nvPicPr>
                    <pic:cNvPr descr="images/fig-3-3-observations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1" w:name="X3bf1316f6dc8434b4712dc6b95d4bdb5ef7b3fd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6.1 </w:t>
      </w:r>
      <w:r>
        <w:rPr>
          <w:rFonts w:hint="eastAsia" w:eastAsia="宋体" w:ascii="Times New Roman" w:hAnsi="Times New Roman" w:cs="Times New Roman"/>
        </w:rPr>
        <w:t xml:space="preserve">操作流程示例：从零到得到一份可复核排名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以下示例用于说明“最小可用闭环”的操作顺序（字段值仅为示例）：</w:t>
      </w:r>
    </w:p>
    <w:p>
      <w:pPr>
        <w:pStyle w:val="Compact"/>
        <w:keepNext w:val="0"/>
        <w:keepLines w:val="0"/>
        <w:pageBreakBefore w:val="0"/>
        <w:numPr>
          <w:ilvl w:val="0"/>
          <w:numId w:val="101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创建试验：名称填写“2026春季黄秋葵品比”，地点“南京试验田”，季节“2026S”，重复数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3。保存后记录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trial_id</w:t>
      </w:r>
      <w:r>
        <w:rPr>
          <w:rFonts w:eastAsia="宋体" w:ascii="Times New Roman" w:hAnsi="Times New Roman" w:cs="Times New Roman"/>
        </w:rPr>
        <w:t xml:space="preserve">。</w:t>
      </w:r>
    </w:p>
    <w:p>
      <w:pPr>
        <w:pStyle w:val="Compact"/>
        <w:keepNext w:val="0"/>
        <w:keepLines w:val="0"/>
        <w:pageBreakBefore w:val="0"/>
        <w:numPr>
          <w:ilvl w:val="0"/>
          <w:numId w:val="101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录入材料：在材料库新增</w:t>
      </w:r>
      <w:r>
        <w:rPr>
          <w:rFonts w:eastAsia="宋体" w:ascii="Times New Roman" w:hAnsi="Times New Roman" w:cs="Times New Roman"/>
        </w:rPr>
        <w:t xml:space="preserve"> 3~5 </w:t>
      </w:r>
      <w:r>
        <w:rPr>
          <w:rFonts w:hint="eastAsia" w:eastAsia="宋体" w:ascii="Times New Roman" w:hAnsi="Times New Roman" w:cs="Times New Roman"/>
        </w:rPr>
        <w:t xml:space="preserve">个材料，例如“鲁葵-01号、鲁葵-02号、鲁葵-03号”，并补充来源与备注。</w:t>
      </w:r>
    </w:p>
    <w:p>
      <w:pPr>
        <w:pStyle w:val="Compact"/>
        <w:keepNext w:val="0"/>
        <w:keepLines w:val="0"/>
        <w:pageBreakBefore w:val="0"/>
        <w:numPr>
          <w:ilvl w:val="0"/>
          <w:numId w:val="101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录入性状：在性状口径新增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PH（株高，cm，越大越好，范围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20~250）、DF（始花期，d，越小越好，范围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25~80）、YPP（单株结荚数，个，越大越好，范围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5~120）等。</w:t>
      </w:r>
    </w:p>
    <w:p>
      <w:pPr>
        <w:pStyle w:val="Compact"/>
        <w:keepNext w:val="0"/>
        <w:keepLines w:val="0"/>
        <w:pageBreakBefore w:val="0"/>
        <w:numPr>
          <w:ilvl w:val="0"/>
          <w:numId w:val="101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建立小区：为每个区组添加小区，编码可用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B1-01、B1-02…；确保每个小区的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variety_id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与材料对应正确。完成后记录需要录入的小区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plot_id</w:t>
      </w:r>
      <w:r>
        <w:rPr>
          <w:rFonts w:eastAsia="宋体" w:ascii="Times New Roman" w:hAnsi="Times New Roman" w:cs="Times New Roman"/>
        </w:rPr>
        <w:t xml:space="preserve">。</w:t>
      </w:r>
    </w:p>
    <w:p>
      <w:pPr>
        <w:pStyle w:val="Compact"/>
        <w:keepNext w:val="0"/>
        <w:keepLines w:val="0"/>
        <w:pageBreakBefore w:val="0"/>
        <w:numPr>
          <w:ilvl w:val="0"/>
          <w:numId w:val="101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录入观测：进入观测录入，按“plot_id</w:t>
      </w:r>
      <w:r>
        <w:rPr>
          <w:rFonts w:eastAsia="宋体" w:ascii="Times New Roman" w:hAnsi="Times New Roman" w:cs="Times New Roman"/>
        </w:rPr>
        <w:t xml:space="preserve"> + trait_id + observed_at + </w:t>
      </w:r>
      <w:r>
        <w:rPr>
          <w:rFonts w:hint="eastAsia" w:eastAsia="宋体" w:ascii="Times New Roman" w:hAnsi="Times New Roman" w:cs="Times New Roman"/>
        </w:rPr>
        <w:t xml:space="preserve">value”提交。建议每个材料至少录入</w:t>
      </w:r>
      <w:r>
        <w:rPr>
          <w:rFonts w:eastAsia="宋体" w:ascii="Times New Roman" w:hAnsi="Times New Roman" w:cs="Times New Roman"/>
        </w:rPr>
        <w:t xml:space="preserve"> 2 </w:t>
      </w:r>
      <w:r>
        <w:rPr>
          <w:rFonts w:hint="eastAsia" w:eastAsia="宋体" w:ascii="Times New Roman" w:hAnsi="Times New Roman" w:cs="Times New Roman"/>
        </w:rPr>
        <w:t xml:space="preserve">个区组、每个性状至少</w:t>
      </w:r>
      <w:r>
        <w:rPr>
          <w:rFonts w:eastAsia="宋体" w:ascii="Times New Roman" w:hAnsi="Times New Roman" w:cs="Times New Roman"/>
        </w:rPr>
        <w:t xml:space="preserve"> 1~2 </w:t>
      </w:r>
      <w:r>
        <w:rPr>
          <w:rFonts w:hint="eastAsia" w:eastAsia="宋体" w:ascii="Times New Roman" w:hAnsi="Times New Roman" w:cs="Times New Roman"/>
        </w:rPr>
        <w:t xml:space="preserve">次观测，以便评分稳定。</w:t>
      </w:r>
    </w:p>
    <w:p>
      <w:pPr>
        <w:pStyle w:val="Compact"/>
        <w:keepNext w:val="0"/>
        <w:keepLines w:val="0"/>
        <w:pageBreakBefore w:val="0"/>
        <w:numPr>
          <w:ilvl w:val="0"/>
          <w:numId w:val="101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计算评分：进入综合评价，填写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trial_id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并点击计算；如需固定口径，可先创建评分模板并填写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profile_id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复算。</w:t>
      </w:r>
    </w:p>
    <w:p>
      <w:pPr>
        <w:pStyle w:val="Compact"/>
        <w:keepNext w:val="0"/>
        <w:keepLines w:val="0"/>
        <w:pageBreakBefore w:val="0"/>
        <w:numPr>
          <w:ilvl w:val="0"/>
          <w:numId w:val="101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复核与留档：查看每个材料的得分分解（trait_scores）与</w:t>
      </w:r>
      <w:r>
        <w:rPr>
          <w:rFonts w:eastAsia="宋体" w:ascii="Times New Roman" w:hAnsi="Times New Roman" w:cs="Times New Roman"/>
        </w:rPr>
        <w:t xml:space="preserve"> explain </w:t>
      </w:r>
      <w:r>
        <w:rPr>
          <w:rFonts w:hint="eastAsia" w:eastAsia="宋体" w:ascii="Times New Roman" w:hAnsi="Times New Roman" w:cs="Times New Roman"/>
        </w:rPr>
        <w:t xml:space="preserve">摘要，确认缺失处理与异常提示符合预期；最后截图并导出材料。</w:t>
      </w:r>
    </w:p>
    <w:bookmarkEnd w:id="61"/>
    <w:bookmarkStart w:id="62" w:name="X0840db719847d9e11dd9f0b77090469f61b0c73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6.2 </w:t>
      </w:r>
      <w:r>
        <w:rPr>
          <w:rFonts w:hint="eastAsia" w:eastAsia="宋体" w:ascii="Times New Roman" w:hAnsi="Times New Roman" w:cs="Times New Roman"/>
        </w:rPr>
        <w:t xml:space="preserve">录入前检查清单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建议调查员在开始录入前确认：</w:t>
      </w:r>
    </w:p>
    <w:p>
      <w:pPr>
        <w:pStyle w:val="Compact"/>
        <w:keepNext w:val="0"/>
        <w:keepLines w:val="0"/>
        <w:pageBreakBefore w:val="0"/>
        <w:numPr>
          <w:ilvl w:val="0"/>
          <w:numId w:val="101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试验</w:t>
      </w:r>
      <w:r>
        <w:rPr>
          <w:rFonts w:eastAsia="宋体" w:ascii="Times New Roman" w:hAnsi="Times New Roman" w:cs="Times New Roman"/>
        </w:rPr>
        <w:t xml:space="preserve"> ID </w:t>
      </w:r>
      <w:r>
        <w:rPr>
          <w:rFonts w:hint="eastAsia" w:eastAsia="宋体" w:ascii="Times New Roman" w:hAnsi="Times New Roman" w:cs="Times New Roman"/>
        </w:rPr>
        <w:t xml:space="preserve">正确；</w:t>
      </w:r>
    </w:p>
    <w:p>
      <w:pPr>
        <w:pStyle w:val="Compact"/>
        <w:keepNext w:val="0"/>
        <w:keepLines w:val="0"/>
        <w:pageBreakBefore w:val="0"/>
        <w:numPr>
          <w:ilvl w:val="0"/>
          <w:numId w:val="101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小区</w:t>
      </w:r>
      <w:r>
        <w:rPr>
          <w:rFonts w:eastAsia="宋体" w:ascii="Times New Roman" w:hAnsi="Times New Roman" w:cs="Times New Roman"/>
        </w:rPr>
        <w:t xml:space="preserve"> ID </w:t>
      </w:r>
      <w:r>
        <w:rPr>
          <w:rFonts w:hint="eastAsia" w:eastAsia="宋体" w:ascii="Times New Roman" w:hAnsi="Times New Roman" w:cs="Times New Roman"/>
        </w:rPr>
        <w:t xml:space="preserve">对应正确的小区编码；</w:t>
      </w:r>
    </w:p>
    <w:p>
      <w:pPr>
        <w:pStyle w:val="Compact"/>
        <w:keepNext w:val="0"/>
        <w:keepLines w:val="0"/>
        <w:pageBreakBefore w:val="0"/>
        <w:numPr>
          <w:ilvl w:val="0"/>
          <w:numId w:val="101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性状</w:t>
      </w:r>
      <w:r>
        <w:rPr>
          <w:rFonts w:eastAsia="宋体" w:ascii="Times New Roman" w:hAnsi="Times New Roman" w:cs="Times New Roman"/>
        </w:rPr>
        <w:t xml:space="preserve"> ID </w:t>
      </w:r>
      <w:r>
        <w:rPr>
          <w:rFonts w:hint="eastAsia" w:eastAsia="宋体" w:ascii="Times New Roman" w:hAnsi="Times New Roman" w:cs="Times New Roman"/>
        </w:rPr>
        <w:t xml:space="preserve">已与“编码/名称/单位”核对一致；</w:t>
      </w:r>
    </w:p>
    <w:p>
      <w:pPr>
        <w:pStyle w:val="Compact"/>
        <w:keepNext w:val="0"/>
        <w:keepLines w:val="0"/>
        <w:pageBreakBefore w:val="0"/>
        <w:numPr>
          <w:ilvl w:val="0"/>
          <w:numId w:val="101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观测日期使用现场真实日期；</w:t>
      </w:r>
    </w:p>
    <w:p>
      <w:pPr>
        <w:pStyle w:val="Compact"/>
        <w:keepNext w:val="0"/>
        <w:keepLines w:val="0"/>
        <w:pageBreakBefore w:val="0"/>
        <w:numPr>
          <w:ilvl w:val="0"/>
          <w:numId w:val="101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备注用于记录“天气、病虫害、缺苗补苗、雨后补测”等影响因素。</w:t>
      </w:r>
    </w:p>
    <w:bookmarkEnd w:id="62"/>
    <w:bookmarkStart w:id="63" w:name="Xa570c1ff633f67d69f68b30255d65fa45c1b4b8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6.3 </w:t>
      </w:r>
      <w:r>
        <w:rPr>
          <w:rFonts w:hint="eastAsia" w:eastAsia="宋体" w:ascii="Times New Roman" w:hAnsi="Times New Roman" w:cs="Times New Roman"/>
        </w:rPr>
        <w:t xml:space="preserve">范围提示与异常值处理建议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当系统在备注中追加“范围提示”时，建议采取以下处理方式：</w:t>
      </w:r>
    </w:p>
    <w:p>
      <w:pPr>
        <w:pStyle w:val="Compact"/>
        <w:keepNext w:val="0"/>
        <w:keepLines w:val="0"/>
        <w:pageBreakBefore w:val="0"/>
        <w:numPr>
          <w:ilvl w:val="0"/>
          <w:numId w:val="101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若现场测量确实异常：保留记录，并在备注说明异常原因；</w:t>
      </w:r>
    </w:p>
    <w:p>
      <w:pPr>
        <w:pStyle w:val="Compact"/>
        <w:keepNext w:val="0"/>
        <w:keepLines w:val="0"/>
        <w:pageBreakBefore w:val="0"/>
        <w:numPr>
          <w:ilvl w:val="0"/>
          <w:numId w:val="101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若录入错误：补录一条正确数据，并将原数据状态改为退回/作废（扩展项）；</w:t>
      </w:r>
    </w:p>
    <w:p>
      <w:pPr>
        <w:pStyle w:val="Compact"/>
        <w:keepNext w:val="0"/>
        <w:keepLines w:val="0"/>
        <w:pageBreakBefore w:val="0"/>
        <w:numPr>
          <w:ilvl w:val="0"/>
          <w:numId w:val="101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若口径范围设置不合理：由数据管理员修订性状合理范围，并记录口径变更说明。</w:t>
      </w:r>
    </w:p>
    <w:bookmarkEnd w:id="63"/>
    <w:bookmarkStart w:id="64" w:name="X1219e7648ad3aaee4c71b09ce4e271fdee1beb8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6.4 </w:t>
      </w:r>
      <w:r>
        <w:rPr>
          <w:rFonts w:hint="eastAsia" w:eastAsia="宋体" w:ascii="Times New Roman" w:hAnsi="Times New Roman" w:cs="Times New Roman"/>
        </w:rPr>
        <w:t xml:space="preserve">审核与状态流转口径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系统支持观测状态流转（草稿/已提交/已批准/已退回）。建议口径：</w:t>
      </w:r>
    </w:p>
    <w:p>
      <w:pPr>
        <w:pStyle w:val="Compact"/>
        <w:keepNext w:val="0"/>
        <w:keepLines w:val="0"/>
        <w:pageBreakBefore w:val="0"/>
        <w:numPr>
          <w:ilvl w:val="0"/>
          <w:numId w:val="101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调查员提交后不再修改原值，避免“口头更正”导致无法追溯；</w:t>
      </w:r>
    </w:p>
    <w:p>
      <w:pPr>
        <w:pStyle w:val="Compact"/>
        <w:keepNext w:val="0"/>
        <w:keepLines w:val="0"/>
        <w:pageBreakBefore w:val="0"/>
        <w:numPr>
          <w:ilvl w:val="0"/>
          <w:numId w:val="101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试验负责人在质量核验后批准关键观测；</w:t>
      </w:r>
    </w:p>
    <w:p>
      <w:pPr>
        <w:pStyle w:val="Compact"/>
        <w:keepNext w:val="0"/>
        <w:keepLines w:val="0"/>
        <w:pageBreakBefore w:val="0"/>
        <w:numPr>
          <w:ilvl w:val="0"/>
          <w:numId w:val="101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需要修订的记录退回并要求补充备注说明。</w:t>
      </w:r>
    </w:p>
    <w:bookmarkEnd w:id="64"/>
    <w:bookmarkEnd w:id="65"/>
    <w:bookmarkStart w:id="72" w:name="Xb243a29e5212cb282c33ae1df68b5171bd3cbd3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7. </w:t>
      </w:r>
      <w:r>
        <w:rPr>
          <w:rFonts w:hint="eastAsia" w:eastAsia="宋体" w:ascii="Times New Roman" w:hAnsi="Times New Roman" w:cs="Times New Roman"/>
        </w:rPr>
        <w:t xml:space="preserve">综合评价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综合评价页面用于计算材料排名。综合分来自“标准分×权重”的汇总；若未指定评分模板，则默认对当前启用性状等权处理。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图3-4 综合评价页面" title="" id="67" name="Picture"/>
            <a:graphic>
              <a:graphicData uri="http://schemas.openxmlformats.org/drawingml/2006/picture">
                <pic:pic>
                  <pic:nvPicPr>
                    <pic:cNvPr descr="images/fig-3-4-scoring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9" w:name="Xc9247a3d5b31c19c81780cdddc76c01e5f2609c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7.1 </w:t>
      </w:r>
      <w:r>
        <w:rPr>
          <w:rFonts w:hint="eastAsia" w:eastAsia="宋体" w:ascii="Times New Roman" w:hAnsi="Times New Roman" w:cs="Times New Roman"/>
        </w:rPr>
        <w:t xml:space="preserve">标准化与权重说明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系统提供两类常用标准化方式：</w:t>
      </w:r>
    </w:p>
    <w:p>
      <w:pPr>
        <w:pStyle w:val="Compact"/>
        <w:keepNext w:val="0"/>
        <w:keepLines w:val="0"/>
        <w:pageBreakBefore w:val="0"/>
        <w:numPr>
          <w:ilvl w:val="0"/>
          <w:numId w:val="101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Min-Max：将同一性状在各材料间映射到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0~100；</w:t>
      </w:r>
    </w:p>
    <w:p>
      <w:pPr>
        <w:pStyle w:val="Compact"/>
        <w:keepNext w:val="0"/>
        <w:keepLines w:val="0"/>
        <w:pageBreakBefore w:val="0"/>
        <w:numPr>
          <w:ilvl w:val="0"/>
          <w:numId w:val="101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Z-Score：按均值与标准差折算到</w:t>
      </w:r>
      <w:r>
        <w:rPr>
          <w:rFonts w:eastAsia="宋体" w:ascii="Times New Roman" w:hAnsi="Times New Roman" w:cs="Times New Roman"/>
        </w:rPr>
        <w:t xml:space="preserve"> 0~100 </w:t>
      </w:r>
      <w:r>
        <w:rPr>
          <w:rFonts w:hint="eastAsia" w:eastAsia="宋体" w:ascii="Times New Roman" w:hAnsi="Times New Roman" w:cs="Times New Roman"/>
        </w:rPr>
        <w:t xml:space="preserve">附近（扩展时可启用）。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权重口径：</w:t>
      </w:r>
    </w:p>
    <w:p>
      <w:pPr>
        <w:pStyle w:val="Compact"/>
        <w:keepNext w:val="0"/>
        <w:keepLines w:val="0"/>
        <w:pageBreakBefore w:val="0"/>
        <w:numPr>
          <w:ilvl w:val="0"/>
          <w:numId w:val="102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若未指定评分模板，系统对当前启用性状等权；</w:t>
      </w:r>
    </w:p>
    <w:p>
      <w:pPr>
        <w:pStyle w:val="Compact"/>
        <w:keepNext w:val="0"/>
        <w:keepLines w:val="0"/>
        <w:pageBreakBefore w:val="0"/>
        <w:numPr>
          <w:ilvl w:val="0"/>
          <w:numId w:val="102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若指定评分模板，系统按模板归一化权重，并在结果解释中保留缺失处理摘要。</w:t>
      </w:r>
    </w:p>
    <w:bookmarkEnd w:id="69"/>
    <w:bookmarkStart w:id="70" w:name="Xe42ff98cf55ed40cebda41639563920ca994884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7.2 </w:t>
      </w:r>
      <w:r>
        <w:rPr>
          <w:rFonts w:hint="eastAsia" w:eastAsia="宋体" w:ascii="Times New Roman" w:hAnsi="Times New Roman" w:cs="Times New Roman"/>
        </w:rPr>
        <w:t xml:space="preserve">缺失值处理建议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在田间试验中，缺失值常见原因包括缺苗、极端天气导致未采到样等。建议策略：</w:t>
      </w:r>
    </w:p>
    <w:p>
      <w:pPr>
        <w:pStyle w:val="Compact"/>
        <w:keepNext w:val="0"/>
        <w:keepLines w:val="0"/>
        <w:pageBreakBefore w:val="0"/>
        <w:numPr>
          <w:ilvl w:val="0"/>
          <w:numId w:val="102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少量缺失：不计入该性状（ignore），但在</w:t>
      </w:r>
      <w:r>
        <w:rPr>
          <w:rFonts w:eastAsia="宋体" w:ascii="Times New Roman" w:hAnsi="Times New Roman" w:cs="Times New Roman"/>
        </w:rPr>
        <w:t xml:space="preserve"> explain </w:t>
      </w:r>
      <w:r>
        <w:rPr>
          <w:rFonts w:hint="eastAsia" w:eastAsia="宋体" w:ascii="Times New Roman" w:hAnsi="Times New Roman" w:cs="Times New Roman"/>
        </w:rPr>
        <w:t xml:space="preserve">中保留提示；</w:t>
      </w:r>
    </w:p>
    <w:p>
      <w:pPr>
        <w:pStyle w:val="Compact"/>
        <w:keepNext w:val="0"/>
        <w:keepLines w:val="0"/>
        <w:pageBreakBefore w:val="0"/>
        <w:numPr>
          <w:ilvl w:val="0"/>
          <w:numId w:val="102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关键性状缺失：按最低分处理（lowest），避免因缺失“虚高”；</w:t>
      </w:r>
    </w:p>
    <w:p>
      <w:pPr>
        <w:pStyle w:val="Compact"/>
        <w:keepNext w:val="0"/>
        <w:keepLines w:val="0"/>
        <w:pageBreakBefore w:val="0"/>
        <w:numPr>
          <w:ilvl w:val="0"/>
          <w:numId w:val="102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生产环境可引入“区组均值/全试验均值”的插补策略（扩展项）。</w:t>
      </w:r>
    </w:p>
    <w:bookmarkEnd w:id="70"/>
    <w:bookmarkStart w:id="71" w:name="Xdecc0863ef35fb76ade90f8e425f47663d8a042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7.3 </w:t>
      </w:r>
      <w:r>
        <w:rPr>
          <w:rFonts w:hint="eastAsia" w:eastAsia="宋体" w:ascii="Times New Roman" w:hAnsi="Times New Roman" w:cs="Times New Roman"/>
        </w:rPr>
        <w:t xml:space="preserve">结果解读与复核步骤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建议试验负责人在使用排名结论前按以下步骤复核：</w:t>
      </w:r>
    </w:p>
    <w:p>
      <w:pPr>
        <w:pStyle w:val="Compact"/>
        <w:keepNext w:val="0"/>
        <w:keepLines w:val="0"/>
        <w:pageBreakBefore w:val="0"/>
        <w:numPr>
          <w:ilvl w:val="0"/>
          <w:numId w:val="102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核对评分模板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ID（或确认等权口径）；</w:t>
      </w:r>
    </w:p>
    <w:p>
      <w:pPr>
        <w:pStyle w:val="Compact"/>
        <w:keepNext w:val="0"/>
        <w:keepLines w:val="0"/>
        <w:pageBreakBefore w:val="0"/>
        <w:numPr>
          <w:ilvl w:val="0"/>
          <w:numId w:val="102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抽查</w:t>
      </w:r>
      <w:r>
        <w:rPr>
          <w:rFonts w:eastAsia="宋体" w:ascii="Times New Roman" w:hAnsi="Times New Roman" w:cs="Times New Roman"/>
        </w:rPr>
        <w:t xml:space="preserve"> 2~3 </w:t>
      </w:r>
      <w:r>
        <w:rPr>
          <w:rFonts w:hint="eastAsia" w:eastAsia="宋体" w:ascii="Times New Roman" w:hAnsi="Times New Roman" w:cs="Times New Roman"/>
        </w:rPr>
        <w:t xml:space="preserve">个材料的性状分解是否符合直觉；</w:t>
      </w:r>
    </w:p>
    <w:p>
      <w:pPr>
        <w:pStyle w:val="Compact"/>
        <w:keepNext w:val="0"/>
        <w:keepLines w:val="0"/>
        <w:pageBreakBefore w:val="0"/>
        <w:numPr>
          <w:ilvl w:val="0"/>
          <w:numId w:val="102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对异常值较多的性状，回看观测备注与口径范围；</w:t>
      </w:r>
    </w:p>
    <w:p>
      <w:pPr>
        <w:pStyle w:val="Compact"/>
        <w:keepNext w:val="0"/>
        <w:keepLines w:val="0"/>
        <w:pageBreakBefore w:val="0"/>
        <w:numPr>
          <w:ilvl w:val="0"/>
          <w:numId w:val="102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形成结论时，明确“结论适用范围”（地点/季节/管理措施）。</w:t>
      </w:r>
    </w:p>
    <w:bookmarkEnd w:id="71"/>
    <w:bookmarkEnd w:id="72"/>
    <w:bookmarkStart w:id="77" w:name="Xae66061647477c2c7e8f733c1c16e9dd10688a1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8. </w:t>
      </w:r>
      <w:r>
        <w:rPr>
          <w:rFonts w:hint="eastAsia" w:eastAsia="宋体" w:ascii="Times New Roman" w:hAnsi="Times New Roman" w:cs="Times New Roman"/>
        </w:rPr>
        <w:t xml:space="preserve">操作追溯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系统将创建、修改与评分计算写成可审计事件，用于复核数据来源与评分计算过程。建议在形成结论或导出报告前查看一次追溯记录，确认试验口径与关键操作无误。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11017377"/>
            <wp:effectExtent b="0" l="0" r="0" t="0"/>
            <wp:docPr descr="图3-5 操作追溯页面" title="" id="74" name="Picture"/>
            <a:graphic>
              <a:graphicData uri="http://schemas.openxmlformats.org/drawingml/2006/picture">
                <pic:pic>
                  <pic:nvPicPr>
                    <pic:cNvPr descr="images/fig-3-5-audit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017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6" w:name="Xe35da3ca996a7bd2961f599bf82c944482f4899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8.1 </w:t>
      </w:r>
      <w:r>
        <w:rPr>
          <w:rFonts w:hint="eastAsia" w:eastAsia="宋体" w:ascii="Times New Roman" w:hAnsi="Times New Roman" w:cs="Times New Roman"/>
        </w:rPr>
        <w:t xml:space="preserve">追溯记录建议关注点</w:t>
      </w:r>
    </w:p>
    <w:p>
      <w:pPr>
        <w:pStyle w:val="Compact"/>
        <w:keepNext w:val="0"/>
        <w:keepLines w:val="0"/>
        <w:pageBreakBefore w:val="0"/>
        <w:numPr>
          <w:ilvl w:val="0"/>
          <w:numId w:val="102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材料与性状的新增、修改时间是否符合试验周期；</w:t>
      </w:r>
    </w:p>
    <w:p>
      <w:pPr>
        <w:pStyle w:val="Compact"/>
        <w:keepNext w:val="0"/>
        <w:keepLines w:val="0"/>
        <w:pageBreakBefore w:val="0"/>
        <w:numPr>
          <w:ilvl w:val="0"/>
          <w:numId w:val="102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是否在观测录入后又修改了性状口径（可能影响复核）；</w:t>
      </w:r>
    </w:p>
    <w:p>
      <w:pPr>
        <w:pStyle w:val="Compact"/>
        <w:keepNext w:val="0"/>
        <w:keepLines w:val="0"/>
        <w:pageBreakBefore w:val="0"/>
        <w:numPr>
          <w:ilvl w:val="0"/>
          <w:numId w:val="102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每次评分计算对应的试验</w:t>
      </w:r>
      <w:r>
        <w:rPr>
          <w:rFonts w:eastAsia="宋体" w:ascii="Times New Roman" w:hAnsi="Times New Roman" w:cs="Times New Roman"/>
        </w:rPr>
        <w:t xml:space="preserve"> ID </w:t>
      </w:r>
      <w:r>
        <w:rPr>
          <w:rFonts w:hint="eastAsia" w:eastAsia="宋体" w:ascii="Times New Roman" w:hAnsi="Times New Roman" w:cs="Times New Roman"/>
        </w:rPr>
        <w:t xml:space="preserve">与模板</w:t>
      </w:r>
      <w:r>
        <w:rPr>
          <w:rFonts w:eastAsia="宋体" w:ascii="Times New Roman" w:hAnsi="Times New Roman" w:cs="Times New Roman"/>
        </w:rPr>
        <w:t xml:space="preserve"> ID </w:t>
      </w:r>
      <w:r>
        <w:rPr>
          <w:rFonts w:hint="eastAsia" w:eastAsia="宋体" w:ascii="Times New Roman" w:hAnsi="Times New Roman" w:cs="Times New Roman"/>
        </w:rPr>
        <w:t xml:space="preserve">是否一致；</w:t>
      </w:r>
    </w:p>
    <w:p>
      <w:pPr>
        <w:pStyle w:val="Compact"/>
        <w:keepNext w:val="0"/>
        <w:keepLines w:val="0"/>
        <w:pageBreakBefore w:val="0"/>
        <w:numPr>
          <w:ilvl w:val="0"/>
          <w:numId w:val="102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关键操作是否由授权角色完成（演示环境可忽略，生产环境需严格执行）。</w:t>
      </w:r>
    </w:p>
    <w:bookmarkEnd w:id="76"/>
    <w:bookmarkEnd w:id="77"/>
    <w:bookmarkStart w:id="78" w:name="Xdb06aef51b6e4ad1a5e988cfe7d6f480cc6d9f1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9. </w:t>
      </w:r>
      <w:r>
        <w:rPr>
          <w:rFonts w:hint="eastAsia" w:eastAsia="宋体" w:ascii="Times New Roman" w:hAnsi="Times New Roman" w:cs="Times New Roman"/>
        </w:rPr>
        <w:t xml:space="preserve">报告导出与留档（建议流程）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当前版本的导出以表格与截图材料为主，建议留档流程如下：</w:t>
      </w:r>
    </w:p>
    <w:p>
      <w:pPr>
        <w:pStyle w:val="Compact"/>
        <w:keepNext w:val="0"/>
        <w:keepLines w:val="0"/>
        <w:pageBreakBefore w:val="0"/>
        <w:numPr>
          <w:ilvl w:val="0"/>
          <w:numId w:val="102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固定试验口径版本（材料库、性状口径、评分模板版本）；</w:t>
      </w:r>
    </w:p>
    <w:p>
      <w:pPr>
        <w:pStyle w:val="Compact"/>
        <w:keepNext w:val="0"/>
        <w:keepLines w:val="0"/>
        <w:pageBreakBefore w:val="0"/>
        <w:numPr>
          <w:ilvl w:val="0"/>
          <w:numId w:val="102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在综合评价页生成最终排名并截图留存；</w:t>
      </w:r>
    </w:p>
    <w:p>
      <w:pPr>
        <w:pStyle w:val="Compact"/>
        <w:keepNext w:val="0"/>
        <w:keepLines w:val="0"/>
        <w:pageBreakBefore w:val="0"/>
        <w:numPr>
          <w:ilvl w:val="0"/>
          <w:numId w:val="102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导出原始观测数据表、标准分表与排名表（扩展项接口）；</w:t>
      </w:r>
    </w:p>
    <w:p>
      <w:pPr>
        <w:pStyle w:val="Compact"/>
        <w:keepNext w:val="0"/>
        <w:keepLines w:val="0"/>
        <w:pageBreakBefore w:val="0"/>
        <w:numPr>
          <w:ilvl w:val="0"/>
          <w:numId w:val="102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将“评分模板、异常处理摘要、追溯记录”与结论一并归档。</w:t>
      </w:r>
    </w:p>
    <w:bookmarkEnd w:id="78"/>
    <w:bookmarkStart w:id="81" w:name="Xc6791046801c41904cb6515e7fd0160166ef533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10. </w:t>
      </w:r>
      <w:r>
        <w:rPr>
          <w:rFonts w:hint="eastAsia" w:eastAsia="宋体" w:ascii="Times New Roman" w:hAnsi="Times New Roman" w:cs="Times New Roman"/>
        </w:rPr>
        <w:t xml:space="preserve">评分模板配置（扩展项口径说明）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当前版本已提供评分模板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API（用于保存权重与标准化方式），用于在同一试验中生成“多套口径”的可比结果。建议在形成正式结论前，至少固定一套评分模板并记录模板</w:t>
      </w:r>
      <w:r>
        <w:rPr>
          <w:rFonts w:eastAsia="宋体" w:ascii="Times New Roman" w:hAnsi="Times New Roman" w:cs="Times New Roman"/>
        </w:rPr>
        <w:t xml:space="preserve"> ID。</w:t>
      </w:r>
    </w:p>
    <w:bookmarkStart w:id="79" w:name="X355be6c3d081c49f30adaa56b7d9d905dbaf939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10.1 </w:t>
      </w:r>
      <w:r>
        <w:rPr>
          <w:rFonts w:hint="eastAsia" w:eastAsia="宋体" w:ascii="Times New Roman" w:hAnsi="Times New Roman" w:cs="Times New Roman"/>
        </w:rPr>
        <w:t xml:space="preserve">模板包含的核心字段</w:t>
      </w:r>
    </w:p>
    <w:p>
      <w:pPr>
        <w:pStyle w:val="Compact"/>
        <w:keepNext w:val="0"/>
        <w:keepLines w:val="0"/>
        <w:pageBreakBefore w:val="0"/>
        <w:numPr>
          <w:ilvl w:val="0"/>
          <w:numId w:val="102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性状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ID（trait_id）：引用“性状口径”中的性状条目；</w:t>
      </w:r>
    </w:p>
    <w:p>
      <w:pPr>
        <w:pStyle w:val="Compact"/>
        <w:keepNext w:val="0"/>
        <w:keepLines w:val="0"/>
        <w:pageBreakBefore w:val="0"/>
        <w:numPr>
          <w:ilvl w:val="0"/>
          <w:numId w:val="102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权重（weight）：0~1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的小数，系统会自动归一化；</w:t>
      </w:r>
    </w:p>
    <w:p>
      <w:pPr>
        <w:pStyle w:val="Compact"/>
        <w:keepNext w:val="0"/>
        <w:keepLines w:val="0"/>
        <w:pageBreakBefore w:val="0"/>
        <w:numPr>
          <w:ilvl w:val="0"/>
          <w:numId w:val="102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标准化方法（standardize）：</w:t>
      </w:r>
    </w:p>
    <w:p>
      <w:pPr>
        <w:pStyle w:val="Compact"/>
        <w:keepNext w:val="0"/>
        <w:keepLines w:val="0"/>
        <w:pageBreakBefore w:val="0"/>
        <w:numPr>
          <w:ilvl w:val="1"/>
          <w:numId w:val="1026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minmax</w:t>
      </w:r>
      <w:r>
        <w:rPr>
          <w:rFonts w:hint="eastAsia" w:eastAsia="宋体" w:ascii="Times New Roman" w:hAnsi="Times New Roman" w:cs="Times New Roman"/>
        </w:rPr>
        <w:t xml:space="preserve">：按</w:t>
      </w:r>
      <w:r>
        <w:rPr>
          <w:rFonts w:eastAsia="宋体" w:ascii="Times New Roman" w:hAnsi="Times New Roman" w:cs="Times New Roman"/>
        </w:rPr>
        <w:t xml:space="preserve"> 0~100 </w:t>
      </w:r>
      <w:r>
        <w:rPr>
          <w:rFonts w:hint="eastAsia" w:eastAsia="宋体" w:ascii="Times New Roman" w:hAnsi="Times New Roman" w:cs="Times New Roman"/>
        </w:rPr>
        <w:t xml:space="preserve">线性映射；</w:t>
      </w:r>
    </w:p>
    <w:p>
      <w:pPr>
        <w:pStyle w:val="Compact"/>
        <w:keepNext w:val="0"/>
        <w:keepLines w:val="0"/>
        <w:pageBreakBefore w:val="0"/>
        <w:numPr>
          <w:ilvl w:val="1"/>
          <w:numId w:val="1026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zscore</w:t>
      </w:r>
      <w:r>
        <w:rPr>
          <w:rFonts w:hint="eastAsia" w:eastAsia="宋体" w:ascii="Times New Roman" w:hAnsi="Times New Roman" w:cs="Times New Roman"/>
        </w:rPr>
        <w:t xml:space="preserve">：按均值与标准差折算并截断到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0~100；</w:t>
      </w:r>
    </w:p>
    <w:p>
      <w:pPr>
        <w:pStyle w:val="Compact"/>
        <w:keepNext w:val="0"/>
        <w:keepLines w:val="0"/>
        <w:pageBreakBefore w:val="0"/>
        <w:numPr>
          <w:ilvl w:val="0"/>
          <w:numId w:val="102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缺失策略（missing_policy）：</w:t>
      </w:r>
    </w:p>
    <w:p>
      <w:pPr>
        <w:pStyle w:val="Compact"/>
        <w:keepNext w:val="0"/>
        <w:keepLines w:val="0"/>
        <w:pageBreakBefore w:val="0"/>
        <w:numPr>
          <w:ilvl w:val="1"/>
          <w:numId w:val="1027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ignore</w:t>
      </w:r>
      <w:r>
        <w:rPr>
          <w:rFonts w:hint="eastAsia" w:eastAsia="宋体" w:ascii="Times New Roman" w:hAnsi="Times New Roman" w:cs="Times New Roman"/>
        </w:rPr>
        <w:t xml:space="preserve">：缺失不计入该性状；</w:t>
      </w:r>
    </w:p>
    <w:p>
      <w:pPr>
        <w:pStyle w:val="Compact"/>
        <w:keepNext w:val="0"/>
        <w:keepLines w:val="0"/>
        <w:pageBreakBefore w:val="0"/>
        <w:numPr>
          <w:ilvl w:val="1"/>
          <w:numId w:val="1027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lowest</w:t>
      </w:r>
      <w:r>
        <w:rPr>
          <w:rFonts w:hint="eastAsia" w:eastAsia="宋体" w:ascii="Times New Roman" w:hAnsi="Times New Roman" w:cs="Times New Roman"/>
        </w:rPr>
        <w:t xml:space="preserve">：缺失按</w:t>
      </w:r>
      <w:r>
        <w:rPr>
          <w:rFonts w:eastAsia="宋体" w:ascii="Times New Roman" w:hAnsi="Times New Roman" w:cs="Times New Roman"/>
        </w:rPr>
        <w:t xml:space="preserve"> 0 </w:t>
      </w:r>
      <w:r>
        <w:rPr>
          <w:rFonts w:hint="eastAsia" w:eastAsia="宋体" w:ascii="Times New Roman" w:hAnsi="Times New Roman" w:cs="Times New Roman"/>
        </w:rPr>
        <w:t xml:space="preserve">分计入。</w:t>
      </w:r>
    </w:p>
    <w:bookmarkEnd w:id="79"/>
    <w:bookmarkStart w:id="80" w:name="X52af4f1251167525bde930177076f2d210f56f7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10.2 </w:t>
      </w:r>
      <w:r>
        <w:rPr>
          <w:rFonts w:hint="eastAsia" w:eastAsia="宋体" w:ascii="Times New Roman" w:hAnsi="Times New Roman" w:cs="Times New Roman"/>
        </w:rPr>
        <w:t xml:space="preserve">推荐权重设定思路（示例）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为避免单一性状主导结论，可按“熟性-产量构成-品质-抗性”四类分配权重，再在类内均分：</w:t>
      </w:r>
    </w:p>
    <w:p>
      <w:pPr>
        <w:pStyle w:val="Compact"/>
        <w:keepNext w:val="0"/>
        <w:keepLines w:val="0"/>
        <w:pageBreakBefore w:val="0"/>
        <w:numPr>
          <w:ilvl w:val="0"/>
          <w:numId w:val="102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熟性（DF）：0.15</w:t>
      </w:r>
    </w:p>
    <w:p>
      <w:pPr>
        <w:pStyle w:val="Compact"/>
        <w:keepNext w:val="0"/>
        <w:keepLines w:val="0"/>
        <w:pageBreakBefore w:val="0"/>
        <w:numPr>
          <w:ilvl w:val="0"/>
          <w:numId w:val="102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产量构成（YPP、FPW）：0.35（两项各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0.175）</w:t>
      </w:r>
    </w:p>
    <w:p>
      <w:pPr>
        <w:pStyle w:val="Compact"/>
        <w:keepNext w:val="0"/>
        <w:keepLines w:val="0"/>
        <w:pageBreakBefore w:val="0"/>
        <w:numPr>
          <w:ilvl w:val="0"/>
          <w:numId w:val="102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品质（CPR）：0.20</w:t>
      </w:r>
    </w:p>
    <w:p>
      <w:pPr>
        <w:pStyle w:val="Compact"/>
        <w:keepNext w:val="0"/>
        <w:keepLines w:val="0"/>
        <w:pageBreakBefore w:val="0"/>
        <w:numPr>
          <w:ilvl w:val="0"/>
          <w:numId w:val="102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抗性（DIS）：0.30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说明：</w:t>
      </w:r>
    </w:p>
    <w:p>
      <w:pPr>
        <w:pStyle w:val="Compact"/>
        <w:keepNext w:val="0"/>
        <w:keepLines w:val="0"/>
        <w:pageBreakBefore w:val="0"/>
        <w:numPr>
          <w:ilvl w:val="0"/>
          <w:numId w:val="102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若某类性状缺失较多，建议在该类内采用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lowest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或暂时降低权重；</w:t>
      </w:r>
    </w:p>
    <w:p>
      <w:pPr>
        <w:pStyle w:val="Compact"/>
        <w:keepNext w:val="0"/>
        <w:keepLines w:val="0"/>
        <w:pageBreakBefore w:val="0"/>
        <w:numPr>
          <w:ilvl w:val="0"/>
          <w:numId w:val="102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不建议在同一试验内频繁调整权重并直接对外发布排名，需保留版本说明。</w:t>
      </w:r>
    </w:p>
    <w:bookmarkEnd w:id="80"/>
    <w:bookmarkEnd w:id="81"/>
    <w:bookmarkStart w:id="84" w:name="Xe1493b35f93e34460cdde40e8d8d1d91196a96a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11. </w:t>
      </w:r>
      <w:r>
        <w:rPr>
          <w:rFonts w:hint="eastAsia" w:eastAsia="宋体" w:ascii="Times New Roman" w:hAnsi="Times New Roman" w:cs="Times New Roman"/>
        </w:rPr>
        <w:t xml:space="preserve">数据质量核验清单（建议）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在开始评分前，建议试验负责人做一次快速核验，降低“数据问题导致结论偏差”的风险：</w:t>
      </w:r>
    </w:p>
    <w:p>
      <w:pPr>
        <w:pStyle w:val="Compact"/>
        <w:keepNext w:val="0"/>
        <w:keepLines w:val="0"/>
        <w:pageBreakBefore w:val="0"/>
        <w:numPr>
          <w:ilvl w:val="0"/>
          <w:numId w:val="103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小区与材料对应关系：是否存在小区编码重复、材料引用错误；</w:t>
      </w:r>
    </w:p>
    <w:p>
      <w:pPr>
        <w:pStyle w:val="Compact"/>
        <w:keepNext w:val="0"/>
        <w:keepLines w:val="0"/>
        <w:pageBreakBefore w:val="0"/>
        <w:numPr>
          <w:ilvl w:val="0"/>
          <w:numId w:val="103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性状单位一致性：同一性状是否出现不同单位或口径描述（例如“株高”是否明确测量时期）；</w:t>
      </w:r>
    </w:p>
    <w:p>
      <w:pPr>
        <w:pStyle w:val="Compact"/>
        <w:keepNext w:val="0"/>
        <w:keepLines w:val="0"/>
        <w:pageBreakBefore w:val="0"/>
        <w:numPr>
          <w:ilvl w:val="0"/>
          <w:numId w:val="103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观测日期合理性：是否存在明显超前或滞后的日期（例如试验未开始却出现观测记录）；</w:t>
      </w:r>
    </w:p>
    <w:p>
      <w:pPr>
        <w:pStyle w:val="Compact"/>
        <w:keepNext w:val="0"/>
        <w:keepLines w:val="0"/>
        <w:pageBreakBefore w:val="0"/>
        <w:numPr>
          <w:ilvl w:val="0"/>
          <w:numId w:val="103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极值与离群：超范围提示记录是否集中在某一调查员或某一天；</w:t>
      </w:r>
    </w:p>
    <w:p>
      <w:pPr>
        <w:pStyle w:val="Compact"/>
        <w:keepNext w:val="0"/>
        <w:keepLines w:val="0"/>
        <w:pageBreakBefore w:val="0"/>
        <w:numPr>
          <w:ilvl w:val="0"/>
          <w:numId w:val="103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缺失比例：关键性状（如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YPP、CPR）是否缺失过多，是否需要补测或更换缺失策略；</w:t>
      </w:r>
    </w:p>
    <w:p>
      <w:pPr>
        <w:pStyle w:val="Compact"/>
        <w:keepNext w:val="0"/>
        <w:keepLines w:val="0"/>
        <w:pageBreakBefore w:val="0"/>
        <w:numPr>
          <w:ilvl w:val="0"/>
          <w:numId w:val="103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备注可解释性：异常值是否有可解释的现场备注（虫咬、风折、雨后补测等）。</w:t>
      </w:r>
    </w:p>
    <w:bookmarkStart w:id="82" w:name="X221cd37637d4fd7d8e61a6d0d1f873bea81c665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11.1 </w:t>
      </w:r>
      <w:r>
        <w:rPr>
          <w:rFonts w:hint="eastAsia" w:eastAsia="宋体" w:ascii="Times New Roman" w:hAnsi="Times New Roman" w:cs="Times New Roman"/>
        </w:rPr>
        <w:t xml:space="preserve">典型核验场景举例</w:t>
      </w:r>
    </w:p>
    <w:p>
      <w:pPr>
        <w:pStyle w:val="Compact"/>
        <w:keepNext w:val="0"/>
        <w:keepLines w:val="0"/>
        <w:pageBreakBefore w:val="0"/>
        <w:numPr>
          <w:ilvl w:val="0"/>
          <w:numId w:val="103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场景A：同一性状在一天内出现大量超范围提示</w:t>
      </w:r>
      <w:r>
        <w:rPr>
          <w:rFonts w:eastAsia="宋体" w:ascii="Times New Roman" w:hAnsi="Times New Roman" w:cs="Times New Roman"/>
        </w:rPr>
        <w:br/>
      </w:r>
      <w:r>
        <w:rPr>
          <w:rFonts w:hint="eastAsia" w:eastAsia="宋体" w:ascii="Times New Roman" w:hAnsi="Times New Roman" w:cs="Times New Roman"/>
        </w:rPr>
        <w:t xml:space="preserve">处理建议：优先核对“性状口径的合理范围”是否设置过窄；再核对是否误把单位写成了错误量纲（例如把“cm”当成“mm”录入）。</w:t>
      </w:r>
    </w:p>
    <w:p>
      <w:pPr>
        <w:pStyle w:val="Compact"/>
        <w:keepNext w:val="0"/>
        <w:keepLines w:val="0"/>
        <w:pageBreakBefore w:val="0"/>
        <w:numPr>
          <w:ilvl w:val="0"/>
          <w:numId w:val="103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场景B：某一材料排名异常靠前但观测记录很少</w:t>
      </w:r>
      <w:r>
        <w:rPr>
          <w:rFonts w:eastAsia="宋体" w:ascii="Times New Roman" w:hAnsi="Times New Roman" w:cs="Times New Roman"/>
        </w:rPr>
        <w:br/>
      </w:r>
      <w:r>
        <w:rPr>
          <w:rFonts w:hint="eastAsia" w:eastAsia="宋体" w:ascii="Times New Roman" w:hAnsi="Times New Roman" w:cs="Times New Roman"/>
        </w:rPr>
        <w:t xml:space="preserve">处理建议：检查缺失策略是否为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ignore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导致“缺失不计入”从而拉高综合分；可尝试切换为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lowest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复核稳定性。</w:t>
      </w:r>
    </w:p>
    <w:p>
      <w:pPr>
        <w:pStyle w:val="Compact"/>
        <w:keepNext w:val="0"/>
        <w:keepLines w:val="0"/>
        <w:pageBreakBefore w:val="0"/>
        <w:numPr>
          <w:ilvl w:val="0"/>
          <w:numId w:val="103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场景C：区组间差异过大</w:t>
      </w:r>
      <w:r>
        <w:rPr>
          <w:rFonts w:eastAsia="宋体" w:ascii="Times New Roman" w:hAnsi="Times New Roman" w:cs="Times New Roman"/>
        </w:rPr>
        <w:br/>
      </w:r>
      <w:r>
        <w:rPr>
          <w:rFonts w:hint="eastAsia" w:eastAsia="宋体" w:ascii="Times New Roman" w:hAnsi="Times New Roman" w:cs="Times New Roman"/>
        </w:rPr>
        <w:t xml:space="preserve">处理建议：先确认区组编码与田间布局一致；若确实存在环境梯度，建议在结论中注明区组差异，并在后续版本引入“区组标准化/区组均值插补”等策略。</w:t>
      </w:r>
    </w:p>
    <w:bookmarkEnd w:id="82"/>
    <w:bookmarkStart w:id="83" w:name="Xea508388f97150b32bf7cd7a236c22a5b137f26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11.2 </w:t>
      </w:r>
      <w:r>
        <w:rPr>
          <w:rFonts w:hint="eastAsia" w:eastAsia="宋体" w:ascii="Times New Roman" w:hAnsi="Times New Roman" w:cs="Times New Roman"/>
        </w:rPr>
        <w:t xml:space="preserve">建议的抽查比例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若材料数量较多，建议采用“分层抽查”的方式：</w:t>
      </w:r>
    </w:p>
    <w:p>
      <w:pPr>
        <w:pStyle w:val="Compact"/>
        <w:keepNext w:val="0"/>
        <w:keepLines w:val="0"/>
        <w:pageBreakBefore w:val="0"/>
        <w:numPr>
          <w:ilvl w:val="0"/>
          <w:numId w:val="103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每类材料（高分、中位、低分）各抽</w:t>
      </w:r>
      <w:r>
        <w:rPr>
          <w:rFonts w:eastAsia="宋体" w:ascii="Times New Roman" w:hAnsi="Times New Roman" w:cs="Times New Roman"/>
        </w:rPr>
        <w:t xml:space="preserve"> 1~2 </w:t>
      </w:r>
      <w:r>
        <w:rPr>
          <w:rFonts w:hint="eastAsia" w:eastAsia="宋体" w:ascii="Times New Roman" w:hAnsi="Times New Roman" w:cs="Times New Roman"/>
        </w:rPr>
        <w:t xml:space="preserve">个；</w:t>
      </w:r>
    </w:p>
    <w:p>
      <w:pPr>
        <w:pStyle w:val="Compact"/>
        <w:keepNext w:val="0"/>
        <w:keepLines w:val="0"/>
        <w:pageBreakBefore w:val="0"/>
        <w:numPr>
          <w:ilvl w:val="0"/>
          <w:numId w:val="103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每个抽查材料至少抽</w:t>
      </w:r>
      <w:r>
        <w:rPr>
          <w:rFonts w:eastAsia="宋体" w:ascii="Times New Roman" w:hAnsi="Times New Roman" w:cs="Times New Roman"/>
        </w:rPr>
        <w:t xml:space="preserve"> 2 </w:t>
      </w:r>
      <w:r>
        <w:rPr>
          <w:rFonts w:hint="eastAsia" w:eastAsia="宋体" w:ascii="Times New Roman" w:hAnsi="Times New Roman" w:cs="Times New Roman"/>
        </w:rPr>
        <w:t xml:space="preserve">个性状回看原始观测值与备注；</w:t>
      </w:r>
    </w:p>
    <w:p>
      <w:pPr>
        <w:pStyle w:val="Compact"/>
        <w:keepNext w:val="0"/>
        <w:keepLines w:val="0"/>
        <w:pageBreakBefore w:val="0"/>
        <w:numPr>
          <w:ilvl w:val="0"/>
          <w:numId w:val="103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对关键性状（如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YPP、CPR、DIS）优先抽查。</w:t>
      </w:r>
    </w:p>
    <w:bookmarkEnd w:id="83"/>
    <w:bookmarkEnd w:id="84"/>
    <w:bookmarkStart w:id="85" w:name="Xf5580ec8dbe79ed13af2de9e2af0c97c4fd5ebd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12. </w:t>
      </w:r>
      <w:r>
        <w:rPr>
          <w:rFonts w:hint="eastAsia" w:eastAsia="宋体" w:ascii="Times New Roman" w:hAnsi="Times New Roman" w:cs="Times New Roman"/>
        </w:rPr>
        <w:t xml:space="preserve">字段口径对照（用于复核）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本系统导出与复核时常用字段含义如下：</w:t>
      </w:r>
    </w:p>
    <w:p>
      <w:pPr>
        <w:pStyle w:val="Compact"/>
        <w:keepNext w:val="0"/>
        <w:keepLines w:val="0"/>
        <w:pageBreakBefore w:val="0"/>
        <w:numPr>
          <w:ilvl w:val="0"/>
          <w:numId w:val="1033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trial_id</w:t>
      </w:r>
      <w:r>
        <w:rPr>
          <w:rFonts w:hint="eastAsia" w:eastAsia="宋体" w:ascii="Times New Roman" w:hAnsi="Times New Roman" w:cs="Times New Roman"/>
        </w:rPr>
        <w:t xml:space="preserve">：试验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ID；用于关联试验信息与小区布局。</w:t>
      </w:r>
    </w:p>
    <w:p>
      <w:pPr>
        <w:pStyle w:val="Compact"/>
        <w:keepNext w:val="0"/>
        <w:keepLines w:val="0"/>
        <w:pageBreakBefore w:val="0"/>
        <w:numPr>
          <w:ilvl w:val="0"/>
          <w:numId w:val="1033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plot_id</w:t>
      </w:r>
      <w:r>
        <w:rPr>
          <w:rFonts w:hint="eastAsia" w:eastAsia="宋体" w:ascii="Times New Roman" w:hAnsi="Times New Roman" w:cs="Times New Roman"/>
        </w:rPr>
        <w:t xml:space="preserve">：小区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ID；用于定位到区组与小区编码。</w:t>
      </w:r>
    </w:p>
    <w:p>
      <w:pPr>
        <w:pStyle w:val="Compact"/>
        <w:keepNext w:val="0"/>
        <w:keepLines w:val="0"/>
        <w:pageBreakBefore w:val="0"/>
        <w:numPr>
          <w:ilvl w:val="0"/>
          <w:numId w:val="1033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trait_id</w:t>
      </w:r>
      <w:r>
        <w:rPr>
          <w:rFonts w:hint="eastAsia" w:eastAsia="宋体" w:ascii="Times New Roman" w:hAnsi="Times New Roman" w:cs="Times New Roman"/>
        </w:rPr>
        <w:t xml:space="preserve">：性状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ID；用于定位到性状口径（单位、范围、方向性、方法）。</w:t>
      </w:r>
    </w:p>
    <w:p>
      <w:pPr>
        <w:pStyle w:val="Compact"/>
        <w:keepNext w:val="0"/>
        <w:keepLines w:val="0"/>
        <w:pageBreakBefore w:val="0"/>
        <w:numPr>
          <w:ilvl w:val="0"/>
          <w:numId w:val="1033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observed_at</w:t>
      </w:r>
      <w:r>
        <w:rPr>
          <w:rFonts w:hint="eastAsia" w:eastAsia="宋体" w:ascii="Times New Roman" w:hAnsi="Times New Roman" w:cs="Times New Roman"/>
        </w:rPr>
        <w:t xml:space="preserve">：观测日期；用于追溯时间序列与补测记录。</w:t>
      </w:r>
    </w:p>
    <w:p>
      <w:pPr>
        <w:pStyle w:val="Compact"/>
        <w:keepNext w:val="0"/>
        <w:keepLines w:val="0"/>
        <w:pageBreakBefore w:val="0"/>
        <w:numPr>
          <w:ilvl w:val="0"/>
          <w:numId w:val="1033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value</w:t>
      </w:r>
      <w:r>
        <w:rPr>
          <w:rFonts w:hint="eastAsia" w:eastAsia="宋体" w:ascii="Times New Roman" w:hAnsi="Times New Roman" w:cs="Times New Roman"/>
        </w:rPr>
        <w:t xml:space="preserve">：观测值；用于标准化与评分。</w:t>
      </w:r>
    </w:p>
    <w:p>
      <w:pPr>
        <w:pStyle w:val="Compact"/>
        <w:keepNext w:val="0"/>
        <w:keepLines w:val="0"/>
        <w:pageBreakBefore w:val="0"/>
        <w:numPr>
          <w:ilvl w:val="0"/>
          <w:numId w:val="1033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status</w:t>
      </w:r>
      <w:r>
        <w:rPr>
          <w:rFonts w:hint="eastAsia" w:eastAsia="宋体" w:ascii="Times New Roman" w:hAnsi="Times New Roman" w:cs="Times New Roman"/>
        </w:rPr>
        <w:t xml:space="preserve">：记录状态；建议正式结论以已提交/已批准为准。</w:t>
      </w:r>
    </w:p>
    <w:p>
      <w:pPr>
        <w:pStyle w:val="Compact"/>
        <w:keepNext w:val="0"/>
        <w:keepLines w:val="0"/>
        <w:pageBreakBefore w:val="0"/>
        <w:numPr>
          <w:ilvl w:val="0"/>
          <w:numId w:val="1033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explain</w:t>
      </w:r>
      <w:r>
        <w:rPr>
          <w:rFonts w:hint="eastAsia" w:eastAsia="宋体" w:ascii="Times New Roman" w:hAnsi="Times New Roman" w:cs="Times New Roman"/>
        </w:rPr>
        <w:t xml:space="preserve">：评分解释摘要；用于说明缺失处理或不计入原因。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补充说明：如需对接移动端或现场采集表单，建议先冻结性状口径与小区编码规则，再扩展采集端，避免同一试验期出现多套口径并存。</w:t>
      </w:r>
    </w:p>
    <w:bookmarkEnd w:id="85"/>
    <w:bookmarkStart w:id="86" w:name="X3dd0396f651c46b1d280c48743811e416ba7946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13. </w:t>
      </w:r>
      <w:r>
        <w:rPr>
          <w:rFonts w:hint="eastAsia" w:eastAsia="宋体" w:ascii="Times New Roman" w:hAnsi="Times New Roman" w:cs="Times New Roman"/>
        </w:rPr>
        <w:t xml:space="preserve">常见问题</w:t>
      </w:r>
    </w:p>
    <w:p>
      <w:pPr>
        <w:pStyle w:val="Compact"/>
        <w:keepNext w:val="0"/>
        <w:keepLines w:val="0"/>
        <w:pageBreakBefore w:val="0"/>
        <w:numPr>
          <w:ilvl w:val="0"/>
          <w:numId w:val="103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评分结果为空：请确认已录入材料、性状，并至少提交</w:t>
      </w:r>
      <w:r>
        <w:rPr>
          <w:rFonts w:eastAsia="宋体" w:ascii="Times New Roman" w:hAnsi="Times New Roman" w:cs="Times New Roman"/>
        </w:rPr>
        <w:t xml:space="preserve"> 1 </w:t>
      </w:r>
      <w:r>
        <w:rPr>
          <w:rFonts w:hint="eastAsia" w:eastAsia="宋体" w:ascii="Times New Roman" w:hAnsi="Times New Roman" w:cs="Times New Roman"/>
        </w:rPr>
        <w:t xml:space="preserve">条观测记录；同时确认观测关联的小区属于当前试验。</w:t>
      </w:r>
    </w:p>
    <w:p>
      <w:pPr>
        <w:pStyle w:val="Compact"/>
        <w:keepNext w:val="0"/>
        <w:keepLines w:val="0"/>
        <w:pageBreakBefore w:val="0"/>
        <w:numPr>
          <w:ilvl w:val="0"/>
          <w:numId w:val="103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观测值被提示超范围：检查性状口径的合理范围；若现场确实异常，可保留记录并在备注说明原因；若范围设置过窄，可由数据管理员修订范围。</w:t>
      </w:r>
    </w:p>
    <w:p>
      <w:pPr>
        <w:pStyle w:val="Compact"/>
        <w:keepNext w:val="0"/>
        <w:keepLines w:val="0"/>
        <w:pageBreakBefore w:val="0"/>
        <w:numPr>
          <w:ilvl w:val="0"/>
          <w:numId w:val="103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需要更换权重：创建评分模板后，在综合评价页填写模板</w:t>
      </w:r>
      <w:r>
        <w:rPr>
          <w:rFonts w:eastAsia="宋体" w:ascii="Times New Roman" w:hAnsi="Times New Roman" w:cs="Times New Roman"/>
        </w:rPr>
        <w:t xml:space="preserve"> ID </w:t>
      </w:r>
      <w:r>
        <w:rPr>
          <w:rFonts w:hint="eastAsia" w:eastAsia="宋体" w:ascii="Times New Roman" w:hAnsi="Times New Roman" w:cs="Times New Roman"/>
        </w:rPr>
        <w:t xml:space="preserve">重新计算；建议保留旧模板的版本号，避免口径混用。</w:t>
      </w:r>
    </w:p>
    <w:p>
      <w:pPr>
        <w:pStyle w:val="Compact"/>
        <w:keepNext w:val="0"/>
        <w:keepLines w:val="0"/>
        <w:pageBreakBefore w:val="0"/>
        <w:numPr>
          <w:ilvl w:val="0"/>
          <w:numId w:val="103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追溯里出现多次评分计算：说明重复进行了计算；建议在形成结论时写明“最终采用的计算时间与模板</w:t>
      </w:r>
      <w:r>
        <w:rPr>
          <w:rFonts w:eastAsia="宋体" w:ascii="Times New Roman" w:hAnsi="Times New Roman" w:cs="Times New Roman"/>
        </w:rPr>
        <w:t xml:space="preserve"> ID”。</w:t>
      </w:r>
    </w:p>
    <w:p>
      <w:pPr>
        <w:pStyle w:val="Compact"/>
        <w:keepNext w:val="0"/>
        <w:keepLines w:val="0"/>
        <w:pageBreakBefore w:val="0"/>
        <w:numPr>
          <w:ilvl w:val="0"/>
          <w:numId w:val="103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小区编码混乱：建议在试验开始前锁定编码规则（区组号-序号），并避免中途改名；确需修订时在备注说明并保留映射表（扩展项）。</w:t>
      </w:r>
    </w:p>
    <w:bookmarkEnd w:id="86"/>
    <w:bookmarkEnd w:id="87"/>
    <w:sectPr w:rsidR="003B3662" w:rsidRPr="00667EFA" w:rsidSect="00575AD7">
      <w:headerReference r:id="rId8" w:type="default"/>
      <w:footerReference r:id="rId9" w:type="default"/>
      <w:pgSz w:h="15840" w:w="12240"/>
      <w:pgMar w:bottom="1440" w:footer="720" w:gutter="0" w:header="720" w:left="1800" w:right="1800" w:top="1440"/>
      <w:cols w:space="720"/>
      <w:docGrid w:linePitch="360"/>
      <w:vAlign w:val="top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FD065" w14:textId="23CF581C" w:rsidR="00575AD7" w:rsidRDefault="00575AD7">
    <w:pPr>
      <w:pStyle w:val="ab"/>
      <w:jc w:val="center"/>
    </w:pPr>
  </w:p>
  <w:p w14:paraId="3C8F060C" w14:textId="77777777" w:rsidR="00A63B17" w:rsidRDefault="00A63B17">
    <w:pPr>
      <w:pStyle w:val="ab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77E69" w14:textId="25B7BE2F" w:rsidR="003B3662" w:rsidRPr="00505C85" w:rsidRDefault="00575AD7">
    <w:pPr>
      <w:pStyle w:val="ad"/>
      <w:tabs>
        <w:tab w:pos="8640" w:val="right"/>
      </w:tabs>
      <w:jc w:val="left"/>
      <w:rPr>
        <w:rFonts w:ascii="宋体" w:eastAsia="宋体" w:hAnsi="宋体" w:hint="eastAsia"/>
        <w:lang w:eastAsia="zh-CN"/>
      </w:rPr>
    </w:pPr>
    <w:r>
      <w:rPr>
        <w:rFonts w:eastAsia="宋体" w:ascii="Times New Roman" w:hAnsi="Times New Roman" w:cs="Times New Roman"/>
      </w:rPr>
      <w:t>黄秋葵重要农艺性状评价系统V1.0</w:t>
      <w:tab/>
    </w:r>
    <w:r>
      <w:rPr>
        <w:rFonts w:eastAsia="宋体" w:ascii="Times New Roman" w:hAnsi="Times New Roman" w:cs="Times New Roman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pos="1080" w:val="left"/>
        </w:tabs>
        <w:ind w:hanging="360" w:left="1080"/>
      </w:pPr>
    </w:lvl>
  </w:abstractNum>
  <w:abstractNum w15:restartNumberingAfterBreak="0" w:abstractNumId="1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pos="720" w:val="left"/>
        </w:tabs>
        <w:ind w:hanging="360" w:left="720"/>
      </w:pPr>
    </w:lvl>
  </w:abstractNum>
  <w:abstractNum w15:restartNumberingAfterBreak="0" w:abstractNumId="2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pos="1080" w:val="left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pos="720" w:val="left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pos="360" w:val="left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pos="360" w:val="left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6">
    <w:nsid w:val="0000A991"/>
    <w:multiLevelType w:val="multilevel"/>
    <w:tmpl w:val="2A2A19D4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7">
    <w:nsid w:val="00A99411"/>
    <w:multiLevelType w:val="multilevel"/>
    <w:tmpl w:val="C9F689F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16cid:durableId="508763663" w:numId="1">
    <w:abstractNumId w:val="1"/>
  </w:num>
  <w:num w16cid:durableId="841437754" w:numId="2">
    <w:abstractNumId w:val="4"/>
  </w:num>
  <w:num w16cid:durableId="1365205207" w:numId="3">
    <w:abstractNumId w:val="5"/>
  </w:num>
  <w:num w16cid:durableId="955021612" w:numId="4">
    <w:abstractNumId w:val="2"/>
  </w:num>
  <w:num w16cid:durableId="844856924" w:numId="5">
    <w:abstractNumId w:val="0"/>
  </w:num>
  <w:num w16cid:durableId="375349545" w:numId="6">
    <w:abstractNumId w:val="3"/>
  </w:num>
  <w:num w16cid:durableId="265894940" w:numId="7">
    <w:abstractNumId w:val="6"/>
  </w:num>
  <w:num w16cid:durableId="1855222011"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80058442"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31005002"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97152287"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8494400"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58951443"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0"/>
  <w:embedSystemFonts/>
  <w:bordersDoNotSurroundHeader/>
  <w:bordersDoNotSurroundFooter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2254"/>
    <w:rsid w:val="003B3662"/>
    <w:rsid w:val="003B4F41"/>
    <w:rsid w:val="003E59E7"/>
    <w:rsid w:val="004A024B"/>
    <w:rsid w:val="00505C85"/>
    <w:rsid w:val="00575AD7"/>
    <w:rsid w:val="005B5199"/>
    <w:rsid w:val="00667EFA"/>
    <w:rsid w:val="007C5BFA"/>
    <w:rsid w:val="008123A0"/>
    <w:rsid w:val="009D7338"/>
    <w:rsid w:val="00A25C7C"/>
    <w:rsid w:val="00A63B17"/>
    <w:rsid w:val="00AA1D8D"/>
    <w:rsid w:val="00B47730"/>
    <w:rsid w:val="00C1402A"/>
    <w:rsid w:val="00CB0664"/>
    <w:rsid w:val="00CB3C99"/>
    <w:rsid w:val="00DB435F"/>
    <w:rsid w:val="00EA05CA"/>
    <w:rsid w:val="00FC693F"/>
    <w:rsid w:val="303A47B7"/>
    <w:rsid w:val="39785A2E"/>
    <w:rsid w:val="41336AA3"/>
    <w:rsid w:val="4D734297"/>
    <w:rsid w:val="792A69B0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 w:unhideWhenUsed="1"/>
    <w:lsdException w:name="footer" w:qFormat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qFormat="1" w:unhideWhenUsed="1"/>
    <w:lsdException w:name="List Bullet" w:unhideWhenUsed="1"/>
    <w:lsdException w:name="List Number" w:qFormat="1" w:unhideWhenUsed="1"/>
    <w:lsdException w:name="List 2" w:qFormat="1" w:unhideWhenUsed="1"/>
    <w:lsdException w:name="List 3" w:qFormat="1" w:unhideWhenUsed="1"/>
    <w:lsdException w:name="List 4" w:semiHidden="1" w:unhideWhenUsed="1"/>
    <w:lsdException w:name="List 5" w:semiHidden="1" w:unhideWhenUsed="1"/>
    <w:lsdException w:name="List Bullet 2" w:qFormat="1" w:unhideWhenUsed="1"/>
    <w:lsdException w:name="List Bullet 3" w:qFormat="1" w:unhideWhenUsed="1"/>
    <w:lsdException w:name="List Bullet 4" w:semiHidden="1" w:unhideWhenUsed="1"/>
    <w:lsdException w:name="List Bullet 5" w:semiHidden="1" w:unhideWhenUsed="1"/>
    <w:lsdException w:name="List Number 2" w:qFormat="1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qFormat="1" w:uiPriority="1" w:unhideWhenUsed="1"/>
    <w:lsdException w:name="Body Text" w:qFormat="1" w:unhideWhenUsed="1"/>
    <w:lsdException w:name="Body Text Indent" w:semiHidden="1" w:unhideWhenUsed="1"/>
    <w:lsdException w:name="List Continue" w:qFormat="1" w:unhideWhenUsed="1"/>
    <w:lsdException w:name="List Continue 2" w:qFormat="1" w:unhideWhenUsed="1"/>
    <w:lsdException w:name="List Continue 3" w:qFormat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 w:unhideWhenUsed="1"/>
    <w:lsdException w:name="Body Text 3" w:qFormat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 w:uiPriority="59"/>
    <w:lsdException w:name="Table Theme" w:semiHidden="1" w:unhideWhenUsed="1"/>
    <w:lsdException w:name="Placeholder Text" w:semiHidden="1" w:unhideWhenUsed="1"/>
    <w:lsdException w:name="No Spacing" w:qFormat="1" w:uiPriority="1"/>
    <w:lsdException w:name="Light Shading" w:qFormat="1" w:uiPriority="60"/>
    <w:lsdException w:name="Light List" w:qFormat="1" w:uiPriority="61"/>
    <w:lsdException w:name="Light Grid" w:qFormat="1" w:uiPriority="62"/>
    <w:lsdException w:name="Medium Shading 1" w:qFormat="1" w:uiPriority="63"/>
    <w:lsdException w:name="Medium Shading 2" w:qFormat="1" w:uiPriority="64"/>
    <w:lsdException w:name="Medium List 1" w:qFormat="1" w:uiPriority="65"/>
    <w:lsdException w:name="Medium List 2" w:qFormat="1" w:uiPriority="66"/>
    <w:lsdException w:name="Medium Grid 1" w:qFormat="1" w:uiPriority="67"/>
    <w:lsdException w:name="Medium Grid 2" w:qFormat="1" w:uiPriority="68"/>
    <w:lsdException w:name="Medium Grid 3" w:qFormat="1" w:uiPriority="69"/>
    <w:lsdException w:name="Dark List" w:qFormat="1" w:uiPriority="70"/>
    <w:lsdException w:name="Colorful Shading" w:qFormat="1" w:uiPriority="71"/>
    <w:lsdException w:name="Colorful List" w:qFormat="1" w:uiPriority="72"/>
    <w:lsdException w:name="Colorful Grid" w:qFormat="1" w:uiPriority="73"/>
    <w:lsdException w:name="Light Shading Accent 1" w:qFormat="1" w:uiPriority="60"/>
    <w:lsdException w:name="Light List Accent 1" w:qFormat="1" w:uiPriority="61"/>
    <w:lsdException w:name="Light Grid Accent 1" w:qFormat="1" w:uiPriority="62"/>
    <w:lsdException w:name="Medium Shading 1 Accent 1" w:qFormat="1" w:uiPriority="63"/>
    <w:lsdException w:name="Medium Shading 2 Accent 1" w:qFormat="1" w:uiPriority="64"/>
    <w:lsdException w:name="Medium List 1 Accent 1" w:qFormat="1" w:uiPriority="65"/>
    <w:lsdException w:name="Revision" w:semiHidden="1" w:unhideWhenUsed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qFormat="1" w:uiPriority="66"/>
    <w:lsdException w:name="Medium Grid 1 Accent 1" w:qFormat="1" w:uiPriority="67"/>
    <w:lsdException w:name="Medium Grid 2 Accent 1" w:qFormat="1" w:uiPriority="68"/>
    <w:lsdException w:name="Medium Grid 3 Accent 1" w:qFormat="1" w:uiPriority="69"/>
    <w:lsdException w:name="Dark List Accent 1" w:qFormat="1" w:uiPriority="70"/>
    <w:lsdException w:name="Colorful Shading Accent 1" w:qFormat="1" w:uiPriority="71"/>
    <w:lsdException w:name="Colorful List Accent 1" w:qFormat="1" w:uiPriority="72"/>
    <w:lsdException w:name="Colorful Grid Accent 1" w:qFormat="1" w:uiPriority="73"/>
    <w:lsdException w:name="Light Shading Accent 2" w:qFormat="1" w:uiPriority="60"/>
    <w:lsdException w:name="Light List Accent 2" w:qFormat="1" w:uiPriority="61"/>
    <w:lsdException w:name="Light Grid Accent 2" w:qFormat="1" w:uiPriority="62"/>
    <w:lsdException w:name="Medium Shading 1 Accent 2" w:qFormat="1" w:uiPriority="63"/>
    <w:lsdException w:name="Medium Shading 2 Accent 2" w:qFormat="1" w:uiPriority="64"/>
    <w:lsdException w:name="Medium List 1 Accent 2" w:qFormat="1" w:uiPriority="65"/>
    <w:lsdException w:name="Medium List 2 Accent 2" w:qFormat="1" w:uiPriority="66"/>
    <w:lsdException w:name="Medium Grid 1 Accent 2" w:qFormat="1" w:uiPriority="67"/>
    <w:lsdException w:name="Medium Grid 2 Accent 2" w:qFormat="1" w:uiPriority="68"/>
    <w:lsdException w:name="Medium Grid 3 Accent 2" w:qFormat="1" w:uiPriority="69"/>
    <w:lsdException w:name="Dark List Accent 2" w:qFormat="1" w:uiPriority="70"/>
    <w:lsdException w:name="Colorful Shading Accent 2" w:qFormat="1" w:uiPriority="71"/>
    <w:lsdException w:name="Colorful List Accent 2" w:qFormat="1" w:uiPriority="72"/>
    <w:lsdException w:name="Colorful Grid Accent 2" w:qFormat="1" w:uiPriority="73"/>
    <w:lsdException w:name="Light Shading Accent 3" w:qFormat="1" w:uiPriority="60"/>
    <w:lsdException w:name="Light List Accent 3" w:qFormat="1" w:uiPriority="61"/>
    <w:lsdException w:name="Light Grid Accent 3" w:qFormat="1" w:uiPriority="62"/>
    <w:lsdException w:name="Medium Shading 1 Accent 3" w:qFormat="1" w:uiPriority="63"/>
    <w:lsdException w:name="Medium Shading 2 Accent 3" w:qFormat="1" w:uiPriority="64"/>
    <w:lsdException w:name="Medium List 1 Accent 3" w:qFormat="1" w:uiPriority="65"/>
    <w:lsdException w:name="Medium List 2 Accent 3" w:qFormat="1" w:uiPriority="66"/>
    <w:lsdException w:name="Medium Grid 1 Accent 3" w:qFormat="1" w:uiPriority="67"/>
    <w:lsdException w:name="Medium Grid 2 Accent 3" w:qFormat="1" w:uiPriority="68"/>
    <w:lsdException w:name="Medium Grid 3 Accent 3" w:qFormat="1" w:uiPriority="69"/>
    <w:lsdException w:name="Dark List Accent 3" w:qFormat="1" w:uiPriority="70"/>
    <w:lsdException w:name="Colorful Shading Accent 3" w:qFormat="1" w:uiPriority="71"/>
    <w:lsdException w:name="Colorful List Accent 3" w:qFormat="1" w:uiPriority="72"/>
    <w:lsdException w:name="Colorful Grid Accent 3" w:qFormat="1" w:uiPriority="73"/>
    <w:lsdException w:name="Light Shading Accent 4" w:qFormat="1" w:uiPriority="60"/>
    <w:lsdException w:name="Light List Accent 4" w:qFormat="1" w:uiPriority="61"/>
    <w:lsdException w:name="Light Grid Accent 4" w:qFormat="1" w:uiPriority="62"/>
    <w:lsdException w:name="Medium Shading 1 Accent 4" w:qFormat="1" w:uiPriority="63"/>
    <w:lsdException w:name="Medium Shading 2 Accent 4" w:qFormat="1" w:uiPriority="64"/>
    <w:lsdException w:name="Medium List 1 Accent 4" w:qFormat="1" w:uiPriority="65"/>
    <w:lsdException w:name="Medium List 2 Accent 4" w:qFormat="1" w:uiPriority="66"/>
    <w:lsdException w:name="Medium Grid 1 Accent 4" w:qFormat="1" w:uiPriority="67"/>
    <w:lsdException w:name="Medium Grid 2 Accent 4" w:qFormat="1" w:uiPriority="68"/>
    <w:lsdException w:name="Medium Grid 3 Accent 4" w:qFormat="1" w:uiPriority="69"/>
    <w:lsdException w:name="Dark List Accent 4" w:qFormat="1" w:uiPriority="70"/>
    <w:lsdException w:name="Colorful Shading Accent 4" w:qFormat="1" w:uiPriority="71"/>
    <w:lsdException w:name="Colorful List Accent 4" w:qFormat="1" w:uiPriority="72"/>
    <w:lsdException w:name="Colorful Grid Accent 4" w:qFormat="1" w:uiPriority="73"/>
    <w:lsdException w:name="Light Shading Accent 5" w:qFormat="1" w:uiPriority="60"/>
    <w:lsdException w:name="Light List Accent 5" w:qFormat="1" w:uiPriority="61"/>
    <w:lsdException w:name="Light Grid Accent 5" w:qFormat="1" w:uiPriority="62"/>
    <w:lsdException w:name="Medium Shading 1 Accent 5" w:uiPriority="63"/>
    <w:lsdException w:name="Medium Shading 2 Accent 5" w:qFormat="1" w:uiPriority="64"/>
    <w:lsdException w:name="Medium List 1 Accent 5" w:qFormat="1" w:uiPriority="65"/>
    <w:lsdException w:name="Medium List 2 Accent 5" w:qFormat="1" w:uiPriority="66"/>
    <w:lsdException w:name="Medium Grid 1 Accent 5" w:qFormat="1" w:uiPriority="67"/>
    <w:lsdException w:name="Medium Grid 2 Accent 5" w:qFormat="1" w:uiPriority="68"/>
    <w:lsdException w:name="Medium Grid 3 Accent 5" w:qFormat="1" w:uiPriority="69"/>
    <w:lsdException w:name="Dark List Accent 5" w:qFormat="1" w:uiPriority="70"/>
    <w:lsdException w:name="Colorful Shading Accent 5" w:qFormat="1" w:uiPriority="71"/>
    <w:lsdException w:name="Colorful List Accent 5" w:qFormat="1" w:uiPriority="72"/>
    <w:lsdException w:name="Colorful Grid Accent 5" w:qFormat="1" w:uiPriority="73"/>
    <w:lsdException w:name="Light Shading Accent 6" w:qFormat="1" w:uiPriority="60"/>
    <w:lsdException w:name="Light List Accent 6" w:qFormat="1" w:uiPriority="61"/>
    <w:lsdException w:name="Light Grid Accent 6" w:qFormat="1" w:uiPriority="62"/>
    <w:lsdException w:name="Medium Shading 1 Accent 6" w:qFormat="1" w:uiPriority="63"/>
    <w:lsdException w:name="Medium Shading 2 Accent 6" w:qFormat="1" w:uiPriority="64"/>
    <w:lsdException w:name="Medium List 1 Accent 6" w:qFormat="1" w:uiPriority="65"/>
    <w:lsdException w:name="Medium List 2 Accent 6" w:qFormat="1" w:uiPriority="66"/>
    <w:lsdException w:name="Medium Grid 1 Accent 6" w:qFormat="1" w:uiPriority="67"/>
    <w:lsdException w:name="Medium Grid 2 Accent 6" w:qFormat="1" w:uiPriority="68"/>
    <w:lsdException w:name="Medium Grid 3 Accent 6" w:qFormat="1" w:uiPriority="69"/>
    <w:lsdException w:name="Dark List Accent 6" w:qFormat="1" w:uiPriority="70"/>
    <w:lsdException w:name="Colorful Shading Accent 6" w:qFormat="1" w:uiPriority="71"/>
    <w:lsdException w:name="Colorful List Accent 6" w:qFormat="1" w:uiPriority="72"/>
    <w:lsdException w:name="Colorful Grid Accent 6" w:qFormat="1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1" w:type="paragraph">
    <w:name w:val="Normal"/>
    <w:qFormat/>
    <w:pPr>
      <w:keepNext w:val="0"/>
      <w:keepLines w:val="0"/>
      <w:pageBreakBefore w:val="0"/>
      <w:spacing w:after="200" w:line="276" w:lineRule="auto" w:before="0"/>
    </w:pPr>
    <w:rPr>
      <w:sz w:val="22"/>
      <w:szCs w:val="22"/>
      <w:lang w:eastAsia="en-US"/>
    </w:rPr>
  </w:style>
  <w:style w:styleId="1" w:type="paragraph">
    <w:name w:val="heading 1"/>
    <w:basedOn w:val="a1"/>
    <w:next w:val="a1"/>
    <w:link w:val="10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21" w:type="paragraph">
    <w:name w:val="heading 2"/>
    <w:basedOn w:val="a1"/>
    <w:next w:val="a1"/>
    <w:link w:val="22"/>
    <w:uiPriority w:val="9"/>
    <w:unhideWhenUsed/>
    <w:qFormat/>
    <w:pPr>
      <w:keepNext w:val="0"/>
      <w:keepLines w:val="0"/>
      <w:pageBreakBefore w:val="0"/>
      <w:spacing w:after="0" w:before="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31" w:type="paragraph">
    <w:name w:val="heading 3"/>
    <w:basedOn w:val="a1"/>
    <w:next w:val="a1"/>
    <w:link w:val="32"/>
    <w:uiPriority w:val="9"/>
    <w:unhideWhenUsed/>
    <w:qFormat/>
    <w:pPr>
      <w:keepNext w:val="0"/>
      <w:keepLines w:val="0"/>
      <w:pageBreakBefore w:val="0"/>
      <w:spacing w:after="0" w:before="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1"/>
    <w:next w:val="a1"/>
    <w:link w:val="40"/>
    <w:uiPriority w:val="9"/>
    <w:semiHidden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1"/>
    <w:next w:val="a1"/>
    <w:link w:val="50"/>
    <w:uiPriority w:val="9"/>
    <w:semiHidden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80" w:val="244061"/>
    </w:rPr>
  </w:style>
  <w:style w:styleId="6" w:type="paragraph">
    <w:name w:val="heading 6"/>
    <w:basedOn w:val="a1"/>
    <w:next w:val="a1"/>
    <w:link w:val="60"/>
    <w:uiPriority w:val="9"/>
    <w:semiHidden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80" w:val="244061"/>
    </w:rPr>
  </w:style>
  <w:style w:styleId="7" w:type="paragraph">
    <w:name w:val="heading 7"/>
    <w:basedOn w:val="a1"/>
    <w:next w:val="a1"/>
    <w:link w:val="70"/>
    <w:uiPriority w:val="9"/>
    <w:semiHidden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0"/>
    <w:uiPriority w:val="9"/>
    <w:semiHidden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0"/>
    <w:uiPriority w:val="9"/>
    <w:semiHidden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macro"/>
    <w:link w:val="a6"/>
    <w:uiPriority w:val="99"/>
    <w:unhideWhenUsed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  <w:spacing w:after="200" w:line="276" w:lineRule="auto"/>
    </w:pPr>
    <w:rPr>
      <w:rFonts w:ascii="Courier" w:hAnsi="Courier"/>
      <w:lang w:eastAsia="en-US"/>
    </w:rPr>
  </w:style>
  <w:style w:styleId="33" w:type="paragraph">
    <w:name w:val="List 3"/>
    <w:basedOn w:val="a1"/>
    <w:uiPriority w:val="99"/>
    <w:unhideWhenUsed/>
    <w:qFormat/>
    <w:pPr>
      <w:ind w:hanging="360" w:left="1080"/>
      <w:contextualSpacing/>
    </w:pPr>
  </w:style>
  <w:style w:styleId="2" w:type="paragraph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styleId="a" w:type="paragraph">
    <w:name w:val="List Number"/>
    <w:basedOn w:val="a1"/>
    <w:uiPriority w:val="99"/>
    <w:unhideWhenUsed/>
    <w:qFormat/>
    <w:pPr>
      <w:numPr>
        <w:numId w:val="2"/>
      </w:numPr>
      <w:contextualSpacing/>
    </w:pPr>
  </w:style>
  <w:style w:styleId="a7" w:type="paragraph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themeColor="accent1" w:val="4F81BD"/>
      <w:sz w:val="18"/>
      <w:szCs w:val="18"/>
    </w:rPr>
  </w:style>
  <w:style w:styleId="a0" w:type="paragraph">
    <w:name w:val="List Bullet"/>
    <w:basedOn w:val="a1"/>
    <w:uiPriority w:val="99"/>
    <w:unhideWhenUsed/>
    <w:pPr>
      <w:numPr>
        <w:numId w:val="3"/>
      </w:numPr>
      <w:contextualSpacing/>
    </w:pPr>
  </w:style>
  <w:style w:styleId="34" w:type="paragraph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styleId="30" w:type="paragraph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styleId="a8" w:type="paragraph">
    <w:name w:val="Body Text"/>
    <w:basedOn w:val="a1"/>
    <w:link w:val="a9"/>
    <w:uiPriority w:val="99"/>
    <w:unhideWhenUsed/>
    <w:qFormat/>
    <w:pPr>
      <w:spacing w:after="120"/>
    </w:pPr>
  </w:style>
  <w:style w:styleId="3" w:type="paragraph">
    <w:name w:val="List Number 3"/>
    <w:basedOn w:val="a1"/>
    <w:uiPriority w:val="99"/>
    <w:unhideWhenUsed/>
    <w:pPr>
      <w:numPr>
        <w:numId w:val="5"/>
      </w:numPr>
      <w:contextualSpacing/>
    </w:pPr>
  </w:style>
  <w:style w:styleId="23" w:type="paragraph">
    <w:name w:val="List 2"/>
    <w:basedOn w:val="a1"/>
    <w:uiPriority w:val="99"/>
    <w:unhideWhenUsed/>
    <w:qFormat/>
    <w:pPr>
      <w:ind w:hanging="360" w:left="720"/>
      <w:contextualSpacing/>
    </w:pPr>
  </w:style>
  <w:style w:styleId="aa" w:type="paragraph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styleId="20" w:type="paragraph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styleId="ab" w:type="paragraph">
    <w:name w:val="footer"/>
    <w:basedOn w:val="a1"/>
    <w:link w:val="ac"/>
    <w:uiPriority w:val="99"/>
    <w:unhideWhenUsed/>
    <w:qFormat/>
    <w:pPr>
      <w:tabs>
        <w:tab w:pos="4680" w:val="center"/>
        <w:tab w:pos="9360" w:val="right"/>
      </w:tabs>
      <w:spacing w:after="0" w:line="240" w:lineRule="auto"/>
    </w:pPr>
  </w:style>
  <w:style w:styleId="ad" w:type="paragraph">
    <w:name w:val="header"/>
    <w:basedOn w:val="a1"/>
    <w:link w:val="ae"/>
    <w:uiPriority w:val="99"/>
    <w:unhideWhenUsed/>
    <w:qFormat/>
    <w:pPr>
      <w:tabs>
        <w:tab w:pos="4680" w:val="center"/>
        <w:tab w:pos="9360" w:val="right"/>
      </w:tabs>
      <w:spacing w:after="0" w:line="240" w:lineRule="auto"/>
    </w:pPr>
  </w:style>
  <w:style w:styleId="af" w:type="paragraph">
    <w:name w:val="Subtitle"/>
    <w:basedOn w:val="a1"/>
    <w:next w:val="a1"/>
    <w:link w:val="af0"/>
    <w:uiPriority w:val="11"/>
    <w:qFormat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f1" w:type="paragraph">
    <w:name w:val="List"/>
    <w:basedOn w:val="a1"/>
    <w:uiPriority w:val="99"/>
    <w:unhideWhenUsed/>
    <w:qFormat/>
    <w:pPr>
      <w:ind w:hanging="360" w:left="360"/>
      <w:contextualSpacing/>
    </w:pPr>
  </w:style>
  <w:style w:styleId="24" w:type="paragraph">
    <w:name w:val="Body Text 2"/>
    <w:basedOn w:val="a1"/>
    <w:link w:val="25"/>
    <w:uiPriority w:val="99"/>
    <w:unhideWhenUsed/>
    <w:qFormat/>
    <w:pPr>
      <w:spacing w:after="120" w:line="480" w:lineRule="auto"/>
    </w:pPr>
  </w:style>
  <w:style w:styleId="26" w:type="paragraph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styleId="36" w:type="paragraph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styleId="af2" w:type="paragraph">
    <w:name w:val="Title"/>
    <w:basedOn w:val="a1"/>
    <w:next w:val="a1"/>
    <w:link w:val="af3"/>
    <w:uiPriority w:val="10"/>
    <w:qFormat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f4" w:type="table">
    <w:name w:val="Table Grid"/>
    <w:basedOn w:val="a3"/>
    <w:uiPriority w:val="59"/>
    <w:qFormat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5" w:type="table">
    <w:name w:val="Light Shading"/>
    <w:basedOn w:val="a3"/>
    <w:uiPriority w:val="60"/>
    <w:qFormat/>
    <w:rPr>
      <w:color w:themeColor="text1" w:themeShade="BF" w:val="000000"/>
    </w:rPr>
    <w:tblPr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qFormat/>
    <w:rPr>
      <w:color w:themeColor="accent1" w:themeShade="BF" w:val="365F91"/>
    </w:rPr>
    <w:tblPr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qFormat/>
    <w:rPr>
      <w:color w:themeColor="accent2" w:themeShade="BF" w:val="943634"/>
    </w:rPr>
    <w:tblPr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qFormat/>
    <w:rPr>
      <w:color w:themeColor="accent3" w:themeShade="BF" w:val="76923C"/>
    </w:rPr>
    <w:tblPr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qFormat/>
    <w:rPr>
      <w:color w:themeColor="accent4" w:themeShade="BF" w:val="5F497A"/>
    </w:rPr>
    <w:tblPr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qFormat/>
    <w:rPr>
      <w:color w:themeColor="accent5" w:themeShade="BF" w:val="31849B"/>
    </w:rPr>
    <w:tblPr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qFormat/>
    <w:rPr>
      <w:color w:themeColor="accent6" w:themeShade="BF" w:val="E36C0A"/>
    </w:rPr>
    <w:tblPr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6" w:type="table">
    <w:name w:val="Light List"/>
    <w:basedOn w:val="a3"/>
    <w:uiPriority w:val="61"/>
    <w:qFormat/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qFormat/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qFormat/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qFormat/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qFormat/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qFormat/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qFormat/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7" w:type="table">
    <w:name w:val="Light Grid"/>
    <w:basedOn w:val="a3"/>
    <w:uiPriority w:val="62"/>
    <w:qFormat/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auto" w:space="0" w:sz="8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auto" w:space="0" w:sz="8" w:val="single"/>
        </w:tcBorders>
      </w:tcPr>
    </w:tblStylePr>
  </w:style>
  <w:style w:styleId="-11" w:type="table">
    <w:name w:val="Light Grid Accent 1"/>
    <w:basedOn w:val="a3"/>
    <w:uiPriority w:val="62"/>
    <w:qFormat/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auto" w:space="0" w:sz="8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auto" w:space="0" w:sz="8" w:val="single"/>
        </w:tcBorders>
      </w:tcPr>
    </w:tblStylePr>
  </w:style>
  <w:style w:styleId="-21" w:type="table">
    <w:name w:val="Light Grid Accent 2"/>
    <w:basedOn w:val="a3"/>
    <w:uiPriority w:val="62"/>
    <w:qFormat/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auto" w:space="0" w:sz="8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auto" w:space="0" w:sz="8" w:val="single"/>
        </w:tcBorders>
      </w:tcPr>
    </w:tblStylePr>
  </w:style>
  <w:style w:styleId="-31" w:type="table">
    <w:name w:val="Light Grid Accent 3"/>
    <w:basedOn w:val="a3"/>
    <w:uiPriority w:val="62"/>
    <w:qFormat/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auto" w:space="0" w:sz="8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auto" w:space="0" w:sz="8" w:val="single"/>
        </w:tcBorders>
      </w:tcPr>
    </w:tblStylePr>
  </w:style>
  <w:style w:styleId="-41" w:type="table">
    <w:name w:val="Light Grid Accent 4"/>
    <w:basedOn w:val="a3"/>
    <w:uiPriority w:val="62"/>
    <w:qFormat/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auto" w:space="0" w:sz="8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auto" w:space="0" w:sz="8" w:val="single"/>
        </w:tcBorders>
      </w:tcPr>
    </w:tblStylePr>
  </w:style>
  <w:style w:styleId="-51" w:type="table">
    <w:name w:val="Light Grid Accent 5"/>
    <w:basedOn w:val="a3"/>
    <w:uiPriority w:val="62"/>
    <w:qFormat/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auto" w:space="0" w:sz="8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auto" w:space="0" w:sz="8" w:val="single"/>
        </w:tcBorders>
      </w:tcPr>
    </w:tblStylePr>
  </w:style>
  <w:style w:styleId="-61" w:type="table">
    <w:name w:val="Light Grid Accent 6"/>
    <w:basedOn w:val="a3"/>
    <w:uiPriority w:val="62"/>
    <w:qFormat/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auto" w:space="0" w:sz="8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auto" w:space="0" w:sz="8" w:val="single"/>
        </w:tcBorders>
      </w:tcPr>
    </w:tblStylePr>
  </w:style>
  <w:style w:styleId="11" w:type="table">
    <w:name w:val="Medium Shading 1"/>
    <w:basedOn w:val="a3"/>
    <w:uiPriority w:val="63"/>
    <w:qFormat/>
    <w:tblPr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qFormat/>
    <w:tblPr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qFormat/>
    <w:tblPr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qFormat/>
    <w:tblPr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qFormat/>
    <w:tblPr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tblPr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qFormat/>
    <w:tblPr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7" w:type="table">
    <w:name w:val="Medium Shading 2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2" w:type="table">
    <w:name w:val="Medium List 1"/>
    <w:basedOn w:val="a3"/>
    <w:uiPriority w:val="65"/>
    <w:qFormat/>
    <w:rPr>
      <w:color w:themeColor="text1" w:val="000000"/>
    </w:rPr>
    <w:tblPr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qFormat/>
    <w:rPr>
      <w:color w:themeColor="text1" w:val="000000"/>
    </w:rPr>
    <w:tblPr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qFormat/>
    <w:rPr>
      <w:color w:themeColor="text1" w:val="000000"/>
    </w:rPr>
    <w:tblPr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qFormat/>
    <w:rPr>
      <w:color w:themeColor="text1" w:val="000000"/>
    </w:rPr>
    <w:tblPr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qFormat/>
    <w:rPr>
      <w:color w:themeColor="text1" w:val="000000"/>
    </w:rPr>
    <w:tblPr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qFormat/>
    <w:rPr>
      <w:color w:themeColor="text1" w:val="000000"/>
    </w:rPr>
    <w:tblPr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qFormat/>
    <w:rPr>
      <w:color w:themeColor="text1" w:val="000000"/>
    </w:rPr>
    <w:tblPr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8" w:type="table">
    <w:name w:val="Medium List 2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3" w:type="table">
    <w:name w:val="Medium Grid 1"/>
    <w:basedOn w:val="a3"/>
    <w:uiPriority w:val="67"/>
    <w:qFormat/>
    <w:tblPr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qFormat/>
    <w:tblPr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qFormat/>
    <w:tblPr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qFormat/>
    <w:tblPr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qFormat/>
    <w:tblPr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qFormat/>
    <w:tblPr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qFormat/>
    <w:tblPr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9" w:type="table">
    <w:name w:val="Medium Grid 2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7" w:type="table">
    <w:name w:val="Medium Grid 3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FBCAA2" w:themeFill="accent6" w:themeFillTint="7F" w:val="clear"/>
      </w:tcPr>
    </w:tblStylePr>
  </w:style>
  <w:style w:styleId="af8" w:type="table">
    <w:name w:val="Dark List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9" w:type="table">
    <w:name w:val="Colorful Shading"/>
    <w:basedOn w:val="a3"/>
    <w:uiPriority w:val="71"/>
    <w:qFormat/>
    <w:rPr>
      <w:color w:themeColor="text1" w:val="000000"/>
    </w:rPr>
    <w:tblPr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qFormat/>
    <w:rPr>
      <w:color w:themeColor="text1" w:val="000000"/>
    </w:rPr>
    <w:tblPr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qFormat/>
    <w:rPr>
      <w:color w:themeColor="text1" w:val="000000"/>
    </w:rPr>
    <w:tblPr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qFormat/>
    <w:rPr>
      <w:color w:themeColor="text1" w:val="000000"/>
    </w:rPr>
    <w:tblPr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qFormat/>
    <w:rPr>
      <w:color w:themeColor="text1" w:val="000000"/>
    </w:rPr>
    <w:tblPr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qFormat/>
    <w:rPr>
      <w:color w:themeColor="text1" w:val="000000"/>
    </w:rPr>
    <w:tblPr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qFormat/>
    <w:rPr>
      <w:color w:themeColor="text1" w:val="000000"/>
    </w:rPr>
    <w:tblPr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a" w:type="table">
    <w:name w:val="Colorful List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b" w:type="table">
    <w:name w:val="Colorful Grid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afc" w:type="character">
    <w:name w:val="Strong"/>
    <w:basedOn w:val="a2"/>
    <w:uiPriority w:val="22"/>
    <w:qFormat/>
    <w:rPr>
      <w:b/>
      <w:bCs/>
    </w:rPr>
  </w:style>
  <w:style w:styleId="afd" w:type="character">
    <w:name w:val="Emphasis"/>
    <w:basedOn w:val="a2"/>
    <w:uiPriority w:val="20"/>
    <w:qFormat/>
    <w:rPr>
      <w:i/>
      <w:iCs/>
    </w:rPr>
  </w:style>
  <w:style w:customStyle="1" w:styleId="ae" w:type="character">
    <w:name w:val="页眉 字符"/>
    <w:basedOn w:val="a2"/>
    <w:link w:val="ad"/>
    <w:uiPriority w:val="99"/>
    <w:qFormat/>
  </w:style>
  <w:style w:customStyle="1" w:styleId="ac" w:type="character">
    <w:name w:val="页脚 字符"/>
    <w:basedOn w:val="a2"/>
    <w:link w:val="ab"/>
    <w:uiPriority w:val="99"/>
    <w:qFormat/>
  </w:style>
  <w:style w:styleId="afe" w:type="paragraph">
    <w:name w:val="No Spacing"/>
    <w:uiPriority w:val="1"/>
    <w:qFormat/>
    <w:rPr>
      <w:sz w:val="22"/>
      <w:szCs w:val="22"/>
      <w:lang w:eastAsia="en-US"/>
    </w:rPr>
  </w:style>
  <w:style w:customStyle="1" w:styleId="10" w:type="character">
    <w:name w:val="标题 1 字符"/>
    <w:basedOn w:val="a2"/>
    <w:link w:val="1"/>
    <w:uiPriority w:val="9"/>
    <w:qFormat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2" w:type="character">
    <w:name w:val="标题 2 字符"/>
    <w:basedOn w:val="a2"/>
    <w:link w:val="21"/>
    <w:uiPriority w:val="9"/>
    <w:qFormat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2" w:type="character">
    <w:name w:val="标题 3 字符"/>
    <w:basedOn w:val="a2"/>
    <w:link w:val="31"/>
    <w:uiPriority w:val="9"/>
    <w:qFormat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af3" w:type="character">
    <w:name w:val="标题 字符"/>
    <w:basedOn w:val="a2"/>
    <w:link w:val="af2"/>
    <w:uiPriority w:val="10"/>
    <w:qFormat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af0" w:type="character">
    <w:name w:val="副标题 字符"/>
    <w:basedOn w:val="a2"/>
    <w:link w:val="af"/>
    <w:uiPriority w:val="11"/>
    <w:qFormat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ff" w:type="paragraph">
    <w:name w:val="List Paragraph"/>
    <w:basedOn w:val="a1"/>
    <w:uiPriority w:val="34"/>
    <w:qFormat/>
    <w:pPr>
      <w:ind w:left="720"/>
      <w:contextualSpacing/>
    </w:pPr>
  </w:style>
  <w:style w:customStyle="1" w:styleId="a9" w:type="character">
    <w:name w:val="正文文本 字符"/>
    <w:basedOn w:val="a2"/>
    <w:link w:val="a8"/>
    <w:uiPriority w:val="99"/>
    <w:qFormat/>
  </w:style>
  <w:style w:customStyle="1" w:styleId="25" w:type="character">
    <w:name w:val="正文文本 2 字符"/>
    <w:basedOn w:val="a2"/>
    <w:link w:val="24"/>
    <w:uiPriority w:val="99"/>
    <w:qFormat/>
  </w:style>
  <w:style w:customStyle="1" w:styleId="35" w:type="character">
    <w:name w:val="正文文本 3 字符"/>
    <w:basedOn w:val="a2"/>
    <w:link w:val="34"/>
    <w:uiPriority w:val="99"/>
    <w:qFormat/>
    <w:rPr>
      <w:sz w:val="16"/>
      <w:szCs w:val="16"/>
    </w:rPr>
  </w:style>
  <w:style w:customStyle="1" w:styleId="a6" w:type="character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styleId="aff0" w:type="paragraph">
    <w:name w:val="Quote"/>
    <w:basedOn w:val="a1"/>
    <w:next w:val="a1"/>
    <w:link w:val="aff1"/>
    <w:uiPriority w:val="29"/>
    <w:qFormat/>
    <w:rPr>
      <w:i/>
      <w:iCs/>
      <w:color w:themeColor="text1" w:val="000000"/>
    </w:rPr>
  </w:style>
  <w:style w:customStyle="1" w:styleId="aff1" w:type="character">
    <w:name w:val="引用 字符"/>
    <w:basedOn w:val="a2"/>
    <w:link w:val="aff0"/>
    <w:uiPriority w:val="29"/>
    <w:qFormat/>
    <w:rPr>
      <w:i/>
      <w:iCs/>
      <w:color w:themeColor="text1" w:val="000000"/>
    </w:rPr>
  </w:style>
  <w:style w:customStyle="1" w:styleId="40" w:type="character">
    <w:name w:val="标题 4 字符"/>
    <w:basedOn w:val="a2"/>
    <w:link w:val="4"/>
    <w:uiPriority w:val="9"/>
    <w:semiHidden/>
    <w:qFormat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0" w:type="character">
    <w:name w:val="标题 5 字符"/>
    <w:basedOn w:val="a2"/>
    <w:link w:val="5"/>
    <w:uiPriority w:val="9"/>
    <w:semiHidden/>
    <w:qFormat/>
    <w:rPr>
      <w:rFonts w:asciiTheme="majorHAnsi" w:cstheme="majorBidi" w:eastAsiaTheme="majorEastAsia" w:hAnsiTheme="majorHAnsi"/>
      <w:color w:themeColor="accent1" w:themeShade="80" w:val="244061"/>
    </w:rPr>
  </w:style>
  <w:style w:customStyle="1" w:styleId="60" w:type="character">
    <w:name w:val="标题 6 字符"/>
    <w:basedOn w:val="a2"/>
    <w:link w:val="6"/>
    <w:uiPriority w:val="9"/>
    <w:semiHidden/>
    <w:qFormat/>
    <w:rPr>
      <w:rFonts w:asciiTheme="majorHAnsi" w:cstheme="majorBidi" w:eastAsiaTheme="majorEastAsia" w:hAnsiTheme="majorHAnsi"/>
      <w:i/>
      <w:iCs/>
      <w:color w:themeColor="accent1" w:themeShade="80" w:val="244061"/>
    </w:rPr>
  </w:style>
  <w:style w:customStyle="1" w:styleId="70" w:type="character">
    <w:name w:val="标题 7 字符"/>
    <w:basedOn w:val="a2"/>
    <w:link w:val="7"/>
    <w:uiPriority w:val="9"/>
    <w:semiHidden/>
    <w:qFormat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0" w:type="character">
    <w:name w:val="标题 8 字符"/>
    <w:basedOn w:val="a2"/>
    <w:link w:val="8"/>
    <w:uiPriority w:val="9"/>
    <w:semiHidden/>
    <w:qFormat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0" w:type="character">
    <w:name w:val="标题 9 字符"/>
    <w:basedOn w:val="a2"/>
    <w:link w:val="9"/>
    <w:uiPriority w:val="9"/>
    <w:semiHidden/>
    <w:qFormat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f2" w:type="paragraph">
    <w:name w:val="Intense Quote"/>
    <w:basedOn w:val="a1"/>
    <w:next w:val="a1"/>
    <w:link w:val="aff3"/>
    <w:uiPriority w:val="30"/>
    <w:qFormat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aff3" w:type="character">
    <w:name w:val="明显引用 字符"/>
    <w:basedOn w:val="a2"/>
    <w:link w:val="aff2"/>
    <w:uiPriority w:val="30"/>
    <w:qFormat/>
    <w:rPr>
      <w:b/>
      <w:bCs/>
      <w:i/>
      <w:iCs/>
      <w:color w:themeColor="accent1" w:val="4F81BD"/>
    </w:rPr>
  </w:style>
  <w:style w:customStyle="1" w:styleId="14" w:type="character">
    <w:name w:val="不明显强调1"/>
    <w:basedOn w:val="a2"/>
    <w:uiPriority w:val="19"/>
    <w:qFormat/>
    <w:rPr>
      <w:i/>
      <w:iCs/>
      <w:color w:themeColor="text1" w:themeTint="80" w:val="7F7F7F"/>
    </w:rPr>
  </w:style>
  <w:style w:customStyle="1" w:styleId="15" w:type="character">
    <w:name w:val="明显强调1"/>
    <w:basedOn w:val="a2"/>
    <w:uiPriority w:val="21"/>
    <w:qFormat/>
    <w:rPr>
      <w:b/>
      <w:bCs/>
      <w:i/>
      <w:iCs/>
      <w:color w:themeColor="accent1" w:val="4F81BD"/>
    </w:rPr>
  </w:style>
  <w:style w:customStyle="1" w:styleId="16" w:type="character">
    <w:name w:val="不明显参考1"/>
    <w:basedOn w:val="a2"/>
    <w:uiPriority w:val="31"/>
    <w:qFormat/>
    <w:rPr>
      <w:smallCaps/>
      <w:color w:themeColor="accent2" w:val="C0504D"/>
      <w:u w:val="single"/>
    </w:rPr>
  </w:style>
  <w:style w:customStyle="1" w:styleId="17" w:type="character">
    <w:name w:val="明显参考1"/>
    <w:basedOn w:val="a2"/>
    <w:uiPriority w:val="32"/>
    <w:qFormat/>
    <w:rPr>
      <w:b/>
      <w:bCs/>
      <w:smallCaps/>
      <w:color w:themeColor="accent2" w:val="C0504D"/>
      <w:spacing w:val="5"/>
      <w:u w:val="single"/>
    </w:rPr>
  </w:style>
  <w:style w:customStyle="1" w:styleId="18" w:type="character">
    <w:name w:val="书籍标题1"/>
    <w:basedOn w:val="a2"/>
    <w:uiPriority w:val="33"/>
    <w:qFormat/>
    <w:rPr>
      <w:b/>
      <w:bCs/>
      <w:smallCaps/>
      <w:spacing w:val="5"/>
    </w:rPr>
  </w:style>
  <w:style w:customStyle="1" w:styleId="TOC1" w:type="paragraph">
    <w:name w:val="TOC 标题1"/>
    <w:basedOn w:val="1"/>
    <w:next w:val="a1"/>
    <w:uiPriority w:val="39"/>
    <w:semiHidden/>
    <w:unhideWhenUsed/>
    <w:qFormat/>
    <w:pPr>
      <w:outlineLvl w:val="9"/>
    </w:pPr>
  </w:style>
  <w:style w:styleId="TOC" w:type="paragraph">
    <w:name w:val="TOC Heading"/>
    <w:basedOn w:val="1"/>
    <w:next w:val="a1"/>
    <w:uiPriority w:val="39"/>
    <w:unhideWhenUsed/>
    <w:qFormat/>
    <w:rsid w:val="00575AD7"/>
    <w:pPr>
      <w:spacing w:before="240" w:line="259" w:lineRule="auto"/>
      <w:outlineLvl w:val="9"/>
    </w:pPr>
    <w:rPr>
      <w:b w:val="0"/>
      <w:bCs w:val="0"/>
      <w:sz w:val="32"/>
      <w:szCs w:val="32"/>
      <w:lang w:eastAsia="zh-CN"/>
    </w:rPr>
  </w:style>
  <w:style w:styleId="TOC2" w:type="paragraph">
    <w:name w:val="toc 2"/>
    <w:basedOn w:val="a1"/>
    <w:next w:val="a1"/>
    <w:autoRedefine/>
    <w:uiPriority w:val="39"/>
    <w:unhideWhenUsed/>
    <w:rsid w:val="00575AD7"/>
    <w:pPr>
      <w:spacing w:after="100" w:line="259" w:lineRule="auto"/>
      <w:ind w:left="220"/>
    </w:pPr>
    <w:rPr>
      <w:rFonts w:cs="Times New Roman"/>
      <w:lang w:eastAsia="zh-CN"/>
    </w:rPr>
  </w:style>
  <w:style w:styleId="TOC10" w:type="paragraph">
    <w:name w:val="toc 1"/>
    <w:basedOn w:val="a1"/>
    <w:next w:val="a1"/>
    <w:autoRedefine/>
    <w:uiPriority w:val="39"/>
    <w:unhideWhenUsed/>
    <w:rsid w:val="00575AD7"/>
    <w:pPr>
      <w:spacing w:after="100" w:line="259" w:lineRule="auto"/>
    </w:pPr>
    <w:rPr>
      <w:rFonts w:cs="Times New Roman"/>
      <w:lang w:eastAsia="zh-CN"/>
    </w:rPr>
  </w:style>
  <w:style w:styleId="TOC3" w:type="paragraph">
    <w:name w:val="toc 3"/>
    <w:basedOn w:val="a1"/>
    <w:next w:val="a1"/>
    <w:autoRedefine/>
    <w:uiPriority w:val="39"/>
    <w:unhideWhenUsed/>
    <w:rsid w:val="00575AD7"/>
    <w:pPr>
      <w:spacing w:after="100" w:line="259" w:lineRule="auto"/>
      <w:ind w:left="440"/>
    </w:pPr>
    <w:rPr>
      <w:rFonts w:cs="Times New Roman"/>
      <w:lang w:eastAsia="zh-CN"/>
    </w:rPr>
  </w:style>
  <w:style w:styleId="aff4" w:type="character">
    <w:name w:val="Hyperlink"/>
    <w:basedOn w:val="a2"/>
    <w:uiPriority w:val="99"/>
    <w:unhideWhenUsed/>
    <w:rsid w:val="00575AD7"/>
    <w:rPr>
      <w:color w:themeColor="hyperlink" w:val="0000FF"/>
      <w:u w:val="singl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21" Type="http://schemas.openxmlformats.org/officeDocument/2006/relationships/image" Target="media/rId21.png"/><Relationship Id="rId26" Type="http://schemas.openxmlformats.org/officeDocument/2006/relationships/image" Target="media/rId26.png"/><Relationship Id="rId33" Type="http://schemas.openxmlformats.org/officeDocument/2006/relationships/image" Target="media/rId33.png"/><Relationship Id="rId36" Type="http://schemas.openxmlformats.org/officeDocument/2006/relationships/image" Target="media/rId36.png"/><Relationship Id="rId40" Type="http://schemas.openxmlformats.org/officeDocument/2006/relationships/image" Target="media/rId40.png"/><Relationship Id="rId44" Type="http://schemas.openxmlformats.org/officeDocument/2006/relationships/image" Target="media/rId44.png"/><Relationship Id="rId47" Type="http://schemas.openxmlformats.org/officeDocument/2006/relationships/image" Target="media/rId47.png"/><Relationship Id="rId52" Type="http://schemas.openxmlformats.org/officeDocument/2006/relationships/image" Target="media/rId52.png"/><Relationship Id="rId58" Type="http://schemas.openxmlformats.org/officeDocument/2006/relationships/image" Target="media/rId58.png"/><Relationship Id="rId66" Type="http://schemas.openxmlformats.org/officeDocument/2006/relationships/image" Target="media/rId66.png"/><Relationship Id="rId73" Type="http://schemas.openxmlformats.org/officeDocument/2006/relationships/image" Target="media/rId7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2026-05-28T07:10:51Z</dcterms:created>
  <dcterms:modified xsi:type="dcterms:W3CDTF">2026-05-28T07:10:51Z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