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智能储能电池均衡控制系统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智能储能电池均衡控制系统 V1.0</w:t>
      </w:r>
    </w:p>
    <w:bookmarkEnd w:id="18"/>
    <w:bookmarkStart w:id="19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End w:id="19"/>
    <w:bookmarkStart w:id="23" w:name="Xb9706ce1f951de478d48b63f147ebf1e90a6a9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20" w:name="X900f8117a30b610b4fba18133109853c34d117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文档定位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手册用于指导站端运维、值班与管理人员完成电池包建档、采样、均衡策略配置、执行监控与告警处置。文档重点覆盖系统核心流程、关键字段口径、操作前置条件与异常处理路径，确保不同岗位能够按统一标准执行业务。</w:t>
      </w:r>
    </w:p>
    <w:bookmarkEnd w:id="20"/>
    <w:bookmarkStart w:id="21" w:name="X099ce28371720141d2e3ad565f0b782b24de35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运维人员：巡检、采样、校准、维护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值班人员：告警确认、策略下发、执行监控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管理人员：阈值模板、权限、审计与版本治理</w:t>
      </w:r>
    </w:p>
    <w:bookmarkEnd w:id="21"/>
    <w:bookmarkStart w:id="22" w:name="X83623b1d8eec5772e61142d696720a0703f6ad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1.3 </w:t>
      </w:r>
      <w:r>
        <w:rPr>
          <w:rFonts w:hint="eastAsia" w:eastAsia="宋体" w:ascii="Times New Roman" w:hAnsi="Times New Roman" w:cs="Times New Roman"/>
        </w:rPr>
        <w:t xml:space="preserve">阅读建议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首次使用建议按“系统入口与登录</w:t>
      </w:r>
      <w:r>
        <w:rPr>
          <w:rFonts w:eastAsia="宋体" w:ascii="Times New Roman" w:hAnsi="Times New Roman" w:cs="Times New Roman"/>
        </w:rPr>
        <w:t xml:space="preserve"> → </w:t>
      </w:r>
      <w:r>
        <w:rPr>
          <w:rFonts w:hint="eastAsia" w:eastAsia="宋体" w:ascii="Times New Roman" w:hAnsi="Times New Roman" w:cs="Times New Roman"/>
        </w:rPr>
        <w:t xml:space="preserve">首页操作</w:t>
      </w:r>
      <w:r>
        <w:rPr>
          <w:rFonts w:eastAsia="宋体" w:ascii="Times New Roman" w:hAnsi="Times New Roman" w:cs="Times New Roman"/>
        </w:rPr>
        <w:t xml:space="preserve"> → </w:t>
      </w:r>
      <w:r>
        <w:rPr>
          <w:rFonts w:hint="eastAsia" w:eastAsia="宋体" w:ascii="Times New Roman" w:hAnsi="Times New Roman" w:cs="Times New Roman"/>
        </w:rPr>
        <w:t xml:space="preserve">一级功能模块</w:t>
      </w:r>
      <w:r>
        <w:rPr>
          <w:rFonts w:eastAsia="宋体" w:ascii="Times New Roman" w:hAnsi="Times New Roman" w:cs="Times New Roman"/>
        </w:rPr>
        <w:t xml:space="preserve"> → </w:t>
      </w:r>
      <w:r>
        <w:rPr>
          <w:rFonts w:hint="eastAsia" w:eastAsia="宋体" w:ascii="Times New Roman" w:hAnsi="Times New Roman" w:cs="Times New Roman"/>
        </w:rPr>
        <w:t xml:space="preserve">端到端流程”顺序阅读；日常复盘建议重点查看第</w:t>
      </w:r>
      <w:r>
        <w:rPr>
          <w:rFonts w:eastAsia="宋体" w:ascii="Times New Roman" w:hAnsi="Times New Roman" w:cs="Times New Roman"/>
        </w:rPr>
        <w:t xml:space="preserve"> 4 </w:t>
      </w:r>
      <w:r>
        <w:rPr>
          <w:rFonts w:hint="eastAsia" w:eastAsia="宋体" w:ascii="Times New Roman" w:hAnsi="Times New Roman" w:cs="Times New Roman"/>
        </w:rPr>
        <w:t xml:space="preserve">章与第</w:t>
      </w:r>
      <w:r>
        <w:rPr>
          <w:rFonts w:eastAsia="宋体" w:ascii="Times New Roman" w:hAnsi="Times New Roman" w:cs="Times New Roman"/>
        </w:rPr>
        <w:t xml:space="preserve"> 5 </w:t>
      </w:r>
      <w:r>
        <w:rPr>
          <w:rFonts w:hint="eastAsia" w:eastAsia="宋体" w:ascii="Times New Roman" w:hAnsi="Times New Roman" w:cs="Times New Roman"/>
        </w:rPr>
        <w:t xml:space="preserve">章。</w:t>
      </w:r>
    </w:p>
    <w:bookmarkEnd w:id="22"/>
    <w:bookmarkEnd w:id="23"/>
    <w:bookmarkStart w:id="36" w:name="Xe33ceff4e39d3838b77c27fb27a7a1e5e3d8c8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4" w:name="Xc91ee028100c2c7a7be58744f2c2ddb4c64b31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登录入口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在浏览器访问系统地址后进入登录页，输入账号密码登录。若企业已部署统一认证，请使用平台分配账号，并确认账号已被授予对应角色。</w:t>
      </w:r>
    </w:p>
    <w:bookmarkEnd w:id="24"/>
    <w:bookmarkStart w:id="28" w:name="Xb0cf4c379392a288bab0c1a300ab48f89c160a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登录前检查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登录前应确认以下条件：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当前工作站可访问系统网络地址；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时间已与服务器对时，避免审计时间戳偏差；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现场采样网关在线，避免登录后首页数据全部为空。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fig-1-1-login-ful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图1-1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登录页全屏截图</w:t>
      </w:r>
    </w:p>
    <w:bookmarkEnd w:id="28"/>
    <w:bookmarkStart w:id="29" w:name="X1e7801a9053ca3f6ce66c80a9f78919ccb778d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2.3 </w:t>
      </w:r>
      <w:r>
        <w:rPr>
          <w:rFonts w:hint="eastAsia" w:eastAsia="宋体" w:ascii="Times New Roman" w:hAnsi="Times New Roman" w:cs="Times New Roman"/>
        </w:rPr>
        <w:t xml:space="preserve">登录后首页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登录成功进入首页，展示均衡目标、在线监测与闭环留痕。首页是值班人员的主工作面板，建议先查看</w:t>
      </w:r>
      <w:r>
        <w:rPr>
          <w:rFonts w:eastAsia="宋体" w:ascii="Times New Roman" w:hAnsi="Times New Roman" w:cs="Times New Roman"/>
        </w:rPr>
        <w:t xml:space="preserve"> API </w:t>
      </w:r>
      <w:r>
        <w:rPr>
          <w:rFonts w:hint="eastAsia" w:eastAsia="宋体" w:ascii="Times New Roman" w:hAnsi="Times New Roman" w:cs="Times New Roman"/>
        </w:rPr>
        <w:t xml:space="preserve">状态与风险提醒数量，再进入具体模块处理。</w:t>
      </w:r>
    </w:p>
    <w:bookmarkEnd w:id="29"/>
    <w:bookmarkStart w:id="30" w:name="Xdc274adcaea1c442127a7b3909f73399ec57f8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2.4 </w:t>
      </w:r>
      <w:r>
        <w:rPr>
          <w:rFonts w:hint="eastAsia" w:eastAsia="宋体" w:ascii="Times New Roman" w:hAnsi="Times New Roman" w:cs="Times New Roman"/>
        </w:rPr>
        <w:t xml:space="preserve">角色登录差异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不同角色登录后虽进入同一首页，但可见操作与按钮存在差异：运维角色以采样与维护入口为主，值班角色以告警与策略执行入口为主，管理员角色包含模板治理与审计复核入口。建议管理员定期抽样检查权限边界，避免出现越权操作。</w:t>
      </w:r>
    </w:p>
    <w:bookmarkEnd w:id="30"/>
    <w:bookmarkStart w:id="31" w:name="X6c355ee35b412695b4d86d2b4c6aad9a82d700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2.5 </w:t>
      </w:r>
      <w:r>
        <w:rPr>
          <w:rFonts w:hint="eastAsia" w:eastAsia="宋体" w:ascii="Times New Roman" w:hAnsi="Times New Roman" w:cs="Times New Roman"/>
        </w:rPr>
        <w:t xml:space="preserve">登录安全建议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生产环境应启用复杂口令策略、账号锁定策略与异地登录提醒。若发现同账号在短时间内多地登录，应立即暂停该账号并由管理员进行复核。系统日志中所有登录事件都会记录登录时间、来源地址与结果状态，可用于安全审计。</w:t>
      </w:r>
    </w:p>
    <w:bookmarkEnd w:id="31"/>
    <w:bookmarkStart w:id="35" w:name="Xaf2d4c9f00e0617c65cd6dcb1dfe7bca733f90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2.6 </w:t>
      </w:r>
      <w:r>
        <w:rPr>
          <w:rFonts w:hint="eastAsia" w:eastAsia="宋体" w:ascii="Times New Roman" w:hAnsi="Times New Roman" w:cs="Times New Roman"/>
        </w:rPr>
        <w:t xml:space="preserve">登录失败处置流程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当出现连续登录失败时，建议按以下顺序排查：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核验账号状态是否禁用或过期；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核验认证服务是否可用；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核验网络链路与</w:t>
      </w:r>
      <w:r>
        <w:rPr>
          <w:rFonts w:eastAsia="宋体" w:ascii="Times New Roman" w:hAnsi="Times New Roman" w:cs="Times New Roman"/>
        </w:rPr>
        <w:t xml:space="preserve"> DNS </w:t>
      </w:r>
      <w:r>
        <w:rPr>
          <w:rFonts w:hint="eastAsia" w:eastAsia="宋体" w:ascii="Times New Roman" w:hAnsi="Times New Roman" w:cs="Times New Roman"/>
        </w:rPr>
        <w:t xml:space="preserve">解析；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核验浏览器缓存是否导致旧会话冲突。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完成排查后应在值班记录中保留“故障现象、处理动作、恢复时间、影响范围”四项信息，作为后续安全审计和运维复盘依据。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fig-2-1-home-ful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图2-1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首页全屏截图</w:t>
      </w:r>
    </w:p>
    <w:bookmarkEnd w:id="35"/>
    <w:bookmarkEnd w:id="36"/>
    <w:bookmarkStart w:id="43" w:name="X54b01d3ce7f31ca30b9baae2a4e2340309e069a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首页操作</w:t>
      </w:r>
    </w:p>
    <w:bookmarkStart w:id="37" w:name="Xf072ab818bd5180979c0d6369a5b54903d1e09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首页信息解读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首页卡片用于概览均衡目标、在线监测与闭环留痕，值班员应优先检查</w:t>
      </w:r>
      <w:r>
        <w:rPr>
          <w:rFonts w:eastAsia="宋体" w:ascii="Times New Roman" w:hAnsi="Times New Roman" w:cs="Times New Roman"/>
        </w:rPr>
        <w:t xml:space="preserve"> API </w:t>
      </w:r>
      <w:r>
        <w:rPr>
          <w:rFonts w:hint="eastAsia" w:eastAsia="宋体" w:ascii="Times New Roman" w:hAnsi="Times New Roman" w:cs="Times New Roman"/>
        </w:rPr>
        <w:t xml:space="preserve">状态与风险提醒入口。若</w:t>
      </w:r>
      <w:r>
        <w:rPr>
          <w:rFonts w:eastAsia="宋体" w:ascii="Times New Roman" w:hAnsi="Times New Roman" w:cs="Times New Roman"/>
        </w:rPr>
        <w:t xml:space="preserve"> API </w:t>
      </w:r>
      <w:r>
        <w:rPr>
          <w:rFonts w:hint="eastAsia" w:eastAsia="宋体" w:ascii="Times New Roman" w:hAnsi="Times New Roman" w:cs="Times New Roman"/>
        </w:rPr>
        <w:t xml:space="preserve">状态异常，应先排查服务运行状态，避免在数据不完整的情况下误下发策略。</w:t>
      </w:r>
    </w:p>
    <w:bookmarkEnd w:id="37"/>
    <w:bookmarkStart w:id="38" w:name="X872a2b9f8cc1448bebcf91c988bbfc88a47e46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常用入口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资源分区：定位站点/柜/簇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工作台：创建均衡任务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风险提醒：确认处置路径</w:t>
      </w:r>
    </w:p>
    <w:bookmarkEnd w:id="38"/>
    <w:bookmarkStart w:id="39" w:name="X6e0413095d3acef6b91658ec15b09241c76c56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3.3 </w:t>
      </w:r>
      <w:r>
        <w:rPr>
          <w:rFonts w:hint="eastAsia" w:eastAsia="宋体" w:ascii="Times New Roman" w:hAnsi="Times New Roman" w:cs="Times New Roman"/>
        </w:rPr>
        <w:t xml:space="preserve">首页值班建议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每个班次建议执行三步检查：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检查昨日遗留告警是否全部闭环；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检查当日采样计划是否已执行；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检查当前策略版本是否与调度计划一致。</w:t>
      </w:r>
    </w:p>
    <w:bookmarkEnd w:id="39"/>
    <w:bookmarkStart w:id="40" w:name="X6e5b5904cf71b5fed518f86617c3f5e3ff0986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3.4 </w:t>
      </w:r>
      <w:r>
        <w:rPr>
          <w:rFonts w:hint="eastAsia" w:eastAsia="宋体" w:ascii="Times New Roman" w:hAnsi="Times New Roman" w:cs="Times New Roman"/>
        </w:rPr>
        <w:t xml:space="preserve">首页指标解释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首页核心指标通常包含“风险任务数、执行中任务数、已闭环告警数、近</w:t>
      </w:r>
      <w:r>
        <w:rPr>
          <w:rFonts w:eastAsia="宋体" w:ascii="Times New Roman" w:hAnsi="Times New Roman" w:cs="Times New Roman"/>
        </w:rPr>
        <w:t xml:space="preserve"> 24 </w:t>
      </w:r>
      <w:r>
        <w:rPr>
          <w:rFonts w:hint="eastAsia" w:eastAsia="宋体" w:ascii="Times New Roman" w:hAnsi="Times New Roman" w:cs="Times New Roman"/>
        </w:rPr>
        <w:t xml:space="preserve">小时平均电压差与温升趋势”。当风险任务数高但执行中任务数低时，说明处置可能存在滞后；当平均电压差长期不下降时，说明当前策略模板可能与现场工况不匹配，应组织复盘。</w:t>
      </w:r>
    </w:p>
    <w:bookmarkEnd w:id="40"/>
    <w:bookmarkStart w:id="41" w:name="X981c6c13dfcc38256ea93e6d834f4de5047231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3.5 </w:t>
      </w:r>
      <w:r>
        <w:rPr>
          <w:rFonts w:hint="eastAsia" w:eastAsia="宋体" w:ascii="Times New Roman" w:hAnsi="Times New Roman" w:cs="Times New Roman"/>
        </w:rPr>
        <w:t xml:space="preserve">班次交接建议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交接前建议在首页导出当班快照，并在交接记录中明确三项内容：未闭环风险、进行中任务、待复核处置。交接后由接班人员复核关键数据是否一致，若存在差异应立即标注并排查数据来源。</w:t>
      </w:r>
    </w:p>
    <w:bookmarkEnd w:id="41"/>
    <w:bookmarkStart w:id="42" w:name="Xebe8b1614ce7a80247bbe63c281106fcc5bb5a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3.6 </w:t>
      </w:r>
      <w:r>
        <w:rPr>
          <w:rFonts w:hint="eastAsia" w:eastAsia="宋体" w:ascii="Times New Roman" w:hAnsi="Times New Roman" w:cs="Times New Roman"/>
        </w:rPr>
        <w:t xml:space="preserve">首页巡检标准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建议建立统一巡检标准，至少覆盖以下项目：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数据完整性：关键指标是否存在空值、异常值、延迟值；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指标阈值：高风险指标是否达到预警/严重阈值；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模块可用性：导航切换、弹窗交互、查询筛选是否正常；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审计留痕：关键动作是否按要求写入审计日志。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每次巡检完成后，应由执行人签名并提交巡检结果，确保问题可追溯。</w:t>
      </w:r>
    </w:p>
    <w:bookmarkEnd w:id="42"/>
    <w:bookmarkEnd w:id="43"/>
    <w:bookmarkStart w:id="91" w:name="X0e0e8baccc7cdaded87c90fd995e0686784713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一级功能模块与二级菜单操作</w:t>
      </w:r>
    </w:p>
    <w:bookmarkStart w:id="49" w:name="X0f97997337ff4b15c922ebfd4ca98a582bfb72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 </w:t>
      </w:r>
      <w:r>
        <w:rPr>
          <w:rFonts w:hint="eastAsia" w:eastAsia="宋体" w:ascii="Times New Roman" w:hAnsi="Times New Roman" w:cs="Times New Roman"/>
        </w:rPr>
        <w:t xml:space="preserve">资源分区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用于按站点/柜/电池簇组织资产，支撑分区统计与权限隔离。资源分区建立后，可在后续任务中直接按分区筛选对象，降低误操作概率。</w:t>
      </w:r>
    </w:p>
    <w:bookmarkStart w:id="44" w:name="X4b7adea85098f1af64497e52c8fe8cde2a6122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4.1.1 </w:t>
      </w:r>
      <w:r>
        <w:rPr>
          <w:rFonts w:hint="eastAsia" w:eastAsia="宋体" w:ascii="Times New Roman" w:hAnsi="Times New Roman" w:cs="Times New Roman"/>
        </w:rPr>
        <w:t xml:space="preserve">新建分区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新建时应明确站点、设备层级与命名规则，建议命名包含“站点简称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柜号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簇号”，例如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HZ-A01-C03</w:t>
      </w:r>
      <w:r>
        <w:rPr>
          <w:rFonts w:eastAsia="宋体" w:ascii="Times New Roman" w:hAnsi="Times New Roman" w:cs="Times New Roman"/>
        </w:rPr>
        <w:t xml:space="preserve">。</w:t>
      </w:r>
    </w:p>
    <w:bookmarkEnd w:id="44"/>
    <w:bookmarkStart w:id="48" w:name="X3980eaf5a59cf4ae1dfa42af4859576b92d5dff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4.1.2 </w:t>
      </w:r>
      <w:r>
        <w:rPr>
          <w:rFonts w:hint="eastAsia" w:eastAsia="宋体" w:ascii="Times New Roman" w:hAnsi="Times New Roman" w:cs="Times New Roman"/>
        </w:rPr>
        <w:t xml:space="preserve">分区维护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当资产迁移或设备更换时，应先冻结旧分区、再迁移关联任务，最后启用新分区，避免历史报表断链。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fig-3-1-zon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图3-1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资源分区页面</w:t>
      </w:r>
    </w:p>
    <w:bookmarkEnd w:id="48"/>
    <w:bookmarkEnd w:id="49"/>
    <w:bookmarkStart w:id="69" w:name="X1fa4d32848c8b70db1b235ad6653a49b87eac3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 </w:t>
      </w:r>
      <w:r>
        <w:rPr>
          <w:rFonts w:hint="eastAsia" w:eastAsia="宋体" w:ascii="Times New Roman" w:hAnsi="Times New Roman" w:cs="Times New Roman"/>
        </w:rPr>
        <w:t xml:space="preserve">工作台（Stations）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用于创建均衡任务并在任务维度进行编辑、查看与删除。工作台是策略执行前的核心控制入口，所有任务操作都会写入审计记录。</w:t>
      </w:r>
    </w:p>
    <w:bookmarkStart w:id="56" w:name="Xa4af8f7980cf4c31b15bb80a3eaaf644403d33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4.2.1 </w:t>
      </w:r>
      <w:r>
        <w:rPr>
          <w:rFonts w:hint="eastAsia" w:eastAsia="宋体" w:ascii="Times New Roman" w:hAnsi="Times New Roman" w:cs="Times New Roman"/>
        </w:rPr>
        <w:t xml:space="preserve">新增任务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新增任务时需填写任务名称、目标电池包、采样窗口、策略模板和执行时段。建议任务名称包含“日期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分区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目标类型”，便于检索。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fig-3-2-station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图3-2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工作台页面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fig-3-2a-stations-create-moda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图3-2a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新增弹窗</w:t>
      </w:r>
    </w:p>
    <w:bookmarkEnd w:id="56"/>
    <w:bookmarkStart w:id="63" w:name="X8e6ac47925b42cd69a90606f7b9f854da175e1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4.2.2 </w:t>
      </w:r>
      <w:r>
        <w:rPr>
          <w:rFonts w:hint="eastAsia" w:eastAsia="宋体" w:ascii="Times New Roman" w:hAnsi="Times New Roman" w:cs="Times New Roman"/>
        </w:rPr>
        <w:t xml:space="preserve">编辑与查看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编辑时重点关注温升上限、电压差阈值、最大占空比等参数；查看页面用于复核任务上下文与历史变更。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fig-3-2b-stations-edit-moda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图3-2b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编辑弹窗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fig-3-2c-stations-view-mod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图3-2c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查看弹窗</w:t>
      </w:r>
    </w:p>
    <w:bookmarkEnd w:id="63"/>
    <w:bookmarkStart w:id="67" w:name="Xb9f7f9d9c8f6d92732177d3f0b9fd51b9fa582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4.2.3 </w:t>
      </w:r>
      <w:r>
        <w:rPr>
          <w:rFonts w:hint="eastAsia" w:eastAsia="宋体" w:ascii="Times New Roman" w:hAnsi="Times New Roman" w:cs="Times New Roman"/>
        </w:rPr>
        <w:t xml:space="preserve">删除前复核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删除仅适用于未执行且无下游引用任务。若任务已执行，建议改为“归档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备注原因”，避免审计链断裂。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fig-3-2d-stations-delete-moda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图3-2d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删除弹窗</w:t>
      </w:r>
    </w:p>
    <w:bookmarkEnd w:id="67"/>
    <w:bookmarkStart w:id="68" w:name="X04b63e3df6bc87edb6f8522e70c2ff66cf3fcf0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4.2.4 </w:t>
      </w:r>
      <w:r>
        <w:rPr>
          <w:rFonts w:hint="eastAsia" w:eastAsia="宋体" w:ascii="Times New Roman" w:hAnsi="Times New Roman" w:cs="Times New Roman"/>
        </w:rPr>
        <w:t xml:space="preserve">参数配置建议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对于不同运行工况建议使用不同模板：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常规工况：以稳定性优先，采用保守阈值；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峰值工况：以安全约束优先，缩短执行窗口并降低占空比；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异常工况：先做风险隔离，再执行试探性均衡。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参数调整应遵循“先小步、后放大”的原则，每次调整后都要观察至少一个完整采样周期。</w:t>
      </w:r>
    </w:p>
    <w:bookmarkEnd w:id="68"/>
    <w:bookmarkEnd w:id="69"/>
    <w:bookmarkStart w:id="75" w:name="Xf3db8d8a0a48c2f134c774def898686382ea4f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 </w:t>
      </w:r>
      <w:r>
        <w:rPr>
          <w:rFonts w:hint="eastAsia" w:eastAsia="宋体" w:ascii="Times New Roman" w:hAnsi="Times New Roman" w:cs="Times New Roman"/>
        </w:rPr>
        <w:t xml:space="preserve">交互检查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用于校验页面与接口关键路径可用性，并为审计留痕提供校验记录。系统升级或网络变更后，应优先执行交互检查。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fig-3-3-inspection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图3-3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交互检查页面</w:t>
      </w:r>
    </w:p>
    <w:bookmarkStart w:id="73" w:name="X375f2f08767d3bbc14e62cf449e5e8d33260c8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4.3.1 </w:t>
      </w:r>
      <w:r>
        <w:rPr>
          <w:rFonts w:hint="eastAsia" w:eastAsia="宋体" w:ascii="Times New Roman" w:hAnsi="Times New Roman" w:cs="Times New Roman"/>
        </w:rPr>
        <w:t xml:space="preserve">检查项建议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建议至少覆盖以下检查项：登录接口可用性、任务创建接口可用性、报表导出接口可用性、告警列表加载时延。对于延迟敏感接口，应设定阈值并在超阈时触发预警。</w:t>
      </w:r>
    </w:p>
    <w:bookmarkEnd w:id="73"/>
    <w:bookmarkStart w:id="74" w:name="X61bf402a017f384ef59ca32537ba8689b82eb3e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4.3.2 </w:t>
      </w:r>
      <w:r>
        <w:rPr>
          <w:rFonts w:hint="eastAsia" w:eastAsia="宋体" w:ascii="Times New Roman" w:hAnsi="Times New Roman" w:cs="Times New Roman"/>
        </w:rPr>
        <w:t xml:space="preserve">失败处理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若交互检查失败，应先确认依赖服务状态，再确认网络与鉴权信息，最后结合日志定位具体错误点。处理完成后必须重新执行检查，避免“修复未验证”直接恢复业务。</w:t>
      </w:r>
    </w:p>
    <w:bookmarkEnd w:id="74"/>
    <w:bookmarkEnd w:id="75"/>
    <w:bookmarkStart w:id="82" w:name="X05dba31e3940385e01222999678e57205460c4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 </w:t>
      </w:r>
      <w:r>
        <w:rPr>
          <w:rFonts w:hint="eastAsia" w:eastAsia="宋体" w:ascii="Times New Roman" w:hAnsi="Times New Roman" w:cs="Times New Roman"/>
        </w:rPr>
        <w:t xml:space="preserve">风险提醒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对电压差、温升、内阻漂移、采样缺失等风险给出提醒并形成处置记录。风险项应在同一班次内完成初次确认。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fig-3-4-alert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图3-4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风险提醒页面</w:t>
      </w:r>
    </w:p>
    <w:bookmarkStart w:id="79" w:name="X4ba662215347ef030d47128550d1d056d9ddba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4.4.1 </w:t>
      </w:r>
      <w:r>
        <w:rPr>
          <w:rFonts w:hint="eastAsia" w:eastAsia="宋体" w:ascii="Times New Roman" w:hAnsi="Times New Roman" w:cs="Times New Roman"/>
        </w:rPr>
        <w:t xml:space="preserve">风险分级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建议将风险分为提示、预警、严重三级。提示级用于观察，预警级需要在班次内处置，严重级需立即执行保护动作并上报。分级策略应与现场安全规程保持一致。</w:t>
      </w:r>
    </w:p>
    <w:bookmarkEnd w:id="79"/>
    <w:bookmarkStart w:id="80" w:name="X76e19ce6d9843d59a4e6394e8c6cc2285103e64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4.4.2 </w:t>
      </w:r>
      <w:r>
        <w:rPr>
          <w:rFonts w:hint="eastAsia" w:eastAsia="宋体" w:ascii="Times New Roman" w:hAnsi="Times New Roman" w:cs="Times New Roman"/>
        </w:rPr>
        <w:t xml:space="preserve">闭环要求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每条风险在关闭前应具备“确认人、处置动作、复核结论、时间戳”四项记录。缺少任一项都不应视为闭环完成。</w:t>
      </w:r>
    </w:p>
    <w:bookmarkEnd w:id="80"/>
    <w:bookmarkStart w:id="81" w:name="Xc12462aa99b8f09e910a1a735668830f4e32d9b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4.4.3 </w:t>
      </w:r>
      <w:r>
        <w:rPr>
          <w:rFonts w:hint="eastAsia" w:eastAsia="宋体" w:ascii="Times New Roman" w:hAnsi="Times New Roman" w:cs="Times New Roman"/>
        </w:rPr>
        <w:t xml:space="preserve">升级上报机制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当风险等级达到严重级，或同一设备在短时间内重复出现同类风险时，应触发升级上报：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立即通知值班负责人；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进入保护策略或停用策略；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启动多岗位会审；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明确恢复条件后再恢复业务。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升级过程必须全程留痕，避免口头决策无法追踪。</w:t>
      </w:r>
    </w:p>
    <w:bookmarkEnd w:id="81"/>
    <w:bookmarkEnd w:id="82"/>
    <w:bookmarkStart w:id="86" w:name="X2c4064f131b51c8e6fcbbd1a8a54f89e3d50fc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4.5 </w:t>
      </w:r>
      <w:r>
        <w:rPr>
          <w:rFonts w:hint="eastAsia" w:eastAsia="宋体" w:ascii="Times New Roman" w:hAnsi="Times New Roman" w:cs="Times New Roman"/>
        </w:rPr>
        <w:t xml:space="preserve">发布流水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均衡策略与任务执行的发布记录，可按版本回溯。每次下发后建议记录“下发人、变更原因、预期效果、回滚条件”。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fig-3-5-irrigati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图3-5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发布流水页面</w:t>
      </w:r>
    </w:p>
    <w:bookmarkEnd w:id="86"/>
    <w:bookmarkStart w:id="90" w:name="X8279d468e329b5d18387f4ab11a134e0576704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4.6 </w:t>
      </w:r>
      <w:r>
        <w:rPr>
          <w:rFonts w:hint="eastAsia" w:eastAsia="宋体" w:ascii="Times New Roman" w:hAnsi="Times New Roman" w:cs="Times New Roman"/>
        </w:rPr>
        <w:t xml:space="preserve">统计报表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用于导出均衡效果、告警处置与审计摘要，支撑验收与复核。导出报表前应先锁定统计区间，避免跨班次数据混入。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fig-3-6-report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图3-6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统计报表页面</w:t>
      </w:r>
    </w:p>
    <w:bookmarkEnd w:id="90"/>
    <w:bookmarkEnd w:id="91"/>
    <w:bookmarkStart w:id="99" w:name="Xd391ebc23355c9136701674c42811d189ef2997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端到端操作流程演示</w:t>
      </w:r>
    </w:p>
    <w:bookmarkStart w:id="92" w:name="Xbadb4df2f197c6aa7d8fe6c2d5ef07bda60c4f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新建均衡任务并执行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在工作台点击“新增”创建任务；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选择包号与采样窗口并确认样本完整性；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选择策略模板并保存；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在发布流水确认下发记录；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观察风险提醒是否清零；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在统计报表导出执行结果，作为班次留痕。</w:t>
      </w:r>
    </w:p>
    <w:bookmarkEnd w:id="92"/>
    <w:bookmarkStart w:id="93" w:name="X55658f5a76c2bb5f9c0a779a70f37fd883797d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告警处置闭环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在风险提醒确认告警级别；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根据温升与电压差选择处置路径（观察/降载/停用）；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生成处置报告并通知相关岗位；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管理员在审计留痕复核并归档。</w:t>
      </w:r>
    </w:p>
    <w:bookmarkEnd w:id="93"/>
    <w:bookmarkStart w:id="94" w:name="X42f62e07ece3eb55b9dfd6310e31fc181008cb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5.3 </w:t>
      </w:r>
      <w:r>
        <w:rPr>
          <w:rFonts w:hint="eastAsia" w:eastAsia="宋体" w:ascii="Times New Roman" w:hAnsi="Times New Roman" w:cs="Times New Roman"/>
        </w:rPr>
        <w:t xml:space="preserve">回滚与复盘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当执行效果不达预期时，按发布流水回滚到上一个稳定版本，复盘内容至少包含：阈值设置、环境因素、执行窗口、异常点及改进建议。</w:t>
      </w:r>
    </w:p>
    <w:bookmarkEnd w:id="94"/>
    <w:bookmarkStart w:id="95" w:name="X25a3a08f14edba6c3cf5e2549d97b9cdb585c2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5.4 </w:t>
      </w:r>
      <w:r>
        <w:rPr>
          <w:rFonts w:hint="eastAsia" w:eastAsia="宋体" w:ascii="Times New Roman" w:hAnsi="Times New Roman" w:cs="Times New Roman"/>
        </w:rPr>
        <w:t xml:space="preserve">周期性治理流程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建议按“日检、周检、月检”建立治理节奏。日检关注告警闭环与任务执行；周检关注策略效果与阈值适配；月检关注设备健康趋势与模板重构。通过周期性治理可减少临时性紧急处置，提升系统稳定性。</w:t>
      </w:r>
    </w:p>
    <w:bookmarkEnd w:id="95"/>
    <w:bookmarkStart w:id="96" w:name="X47bc99d4dca5704bf31cee0a4a681d5d778528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5.5 </w:t>
      </w:r>
      <w:r>
        <w:rPr>
          <w:rFonts w:hint="eastAsia" w:eastAsia="宋体" w:ascii="Times New Roman" w:hAnsi="Times New Roman" w:cs="Times New Roman"/>
        </w:rPr>
        <w:t xml:space="preserve">典型问题复盘模板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每次重大异常建议按统一模板复盘：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现象：何时、何地、何对象出现异常；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影响：是否影响安全或业务连续性；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根因：数据、策略、设备或流程问题；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处置：采取了哪些动作；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预防：后续如何避免再发。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统一模板有助于沉淀组织经验并提升跨班组协作效率。</w:t>
      </w:r>
    </w:p>
    <w:bookmarkEnd w:id="96"/>
    <w:bookmarkStart w:id="97" w:name="X5bcd0886330019b4d27c3af19ef6000002abd3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5.6 </w:t>
      </w:r>
      <w:r>
        <w:rPr>
          <w:rFonts w:hint="eastAsia" w:eastAsia="宋体" w:ascii="Times New Roman" w:hAnsi="Times New Roman" w:cs="Times New Roman"/>
        </w:rPr>
        <w:t xml:space="preserve">端到端质量验收要点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一次完整流程执行后，建议按“数据、策略、执行、审计、报表”五个维度验收：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数据维度：采样时间连续、关键字段齐全、无明显异常跳变；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策略维度：模板来源清晰、参数变更有审批记录；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执行维度：任务状态闭环、异常处置有结论；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审计维度：关键动作有责任人和时间戳；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报表维度：输出结果可复核、可追溯。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仅当五个维度均满足标准时，方可判定流程完成质量达标。</w:t>
      </w:r>
    </w:p>
    <w:bookmarkEnd w:id="97"/>
    <w:bookmarkStart w:id="98" w:name="Xcf2b85605602239fbfa45e73c96d134a1c315f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5.7 </w:t>
      </w:r>
      <w:r>
        <w:rPr>
          <w:rFonts w:hint="eastAsia" w:eastAsia="宋体" w:ascii="Times New Roman" w:hAnsi="Times New Roman" w:cs="Times New Roman"/>
        </w:rPr>
        <w:t xml:space="preserve">运行改进建议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建议每周对执行结果做一次趋势分析，关注电压差收敛速度、温升控制效果与告警复发率。若某类问题连续两周未改善，应组织专项优化，调整模板参数、执行窗口或现场维护策略，并在次周复盘中验证改进效果。</w:t>
      </w:r>
    </w:p>
    <w:bookmarkEnd w:id="98"/>
    <w:bookmarkEnd w:id="99"/>
    <w:bookmarkStart w:id="104" w:name="Xe417a9fb3426c85130034644c845b9581d095ff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附录</w:t>
      </w:r>
    </w:p>
    <w:bookmarkStart w:id="100" w:name="X56b69f5ab127237bf0ce4f7c8a7985096bd59cf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字段口径</w:t>
      </w:r>
    </w:p>
    <w:p>
      <w:pPr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电压差：同一电池包内最大电芯电压与最小电芯电压之差。</w:t>
      </w:r>
    </w:p>
    <w:p>
      <w:pPr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温升：采样窗口内温度变化量，用于限制均衡强度。</w:t>
      </w:r>
    </w:p>
    <w:p>
      <w:pPr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内阻漂移：相对基线内阻的偏差，用于识别老化与风险单体。</w:t>
      </w:r>
    </w:p>
    <w:bookmarkEnd w:id="100"/>
    <w:bookmarkStart w:id="101" w:name="X1343c18cbe1e43bf96fa341711548c9bb38b17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异常处理速查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采样缺失：检查采样窗口与网络连通性，必要时重启采集进程。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温升异常：降低均衡强度或暂停均衡，复核散热与风道。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电压差不收敛：检查单体一致性与连接件压降，必要时更换风险单体。</w:t>
      </w:r>
    </w:p>
    <w:bookmarkEnd w:id="101"/>
    <w:bookmarkStart w:id="102" w:name="Xb7d1f493bd6fbc8dfc2533efbac13b50c87b59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运行环境与访问检查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启动服务：在项目目录执行启动命令，确认控制台输出服务监听信息。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访问入口：通过系统部署地址进入登录页，地址与端口以部署配置为准。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健康检查：调用健康检查接口并确认返回正常状态。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端口冲突处理：若端口被占用，先释放冲突进程后再重试。</w:t>
      </w:r>
    </w:p>
    <w:bookmarkEnd w:id="102"/>
    <w:bookmarkStart w:id="103" w:name="X81ee352b82a2d6e7627cf97fd083fc71b1835c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6.4 </w:t>
      </w:r>
      <w:r>
        <w:rPr>
          <w:rFonts w:hint="eastAsia" w:eastAsia="宋体" w:ascii="Times New Roman" w:hAnsi="Times New Roman" w:cs="Times New Roman"/>
        </w:rPr>
        <w:t xml:space="preserve">交付一致性复核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术语一致：软件全称、版本号、模块名称在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PRD、操作手册、源代码文档中保持一致。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图片一致：图片编号、图题说明与页面内容保持一一对应。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功能一致：手册描述仅覆盖系统已实现功能，不引入未实现流程。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归档一致：md/docx/pdf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与</w:t>
      </w:r>
      <w:r>
        <w:rPr>
          <w:rFonts w:eastAsia="宋体" w:ascii="Times New Roman" w:hAnsi="Times New Roman" w:cs="Times New Roman"/>
        </w:rPr>
        <w:t xml:space="preserve"> images </w:t>
      </w:r>
      <w:r>
        <w:rPr>
          <w:rFonts w:hint="eastAsia" w:eastAsia="宋体" w:ascii="Times New Roman" w:hAnsi="Times New Roman" w:cs="Times New Roman"/>
        </w:rPr>
        <w:t xml:space="preserve">目录保持同批次生成时间。</w:t>
      </w:r>
    </w:p>
    <w:bookmarkEnd w:id="103"/>
    <w:bookmarkEnd w:id="104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tabs>
        <w:tab w:pos="8640" w:val="right"/>
      </w:tabs>
      <w:jc w:val="left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智能储能电池均衡控制系统V1.0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 w:val="0"/>
      <w:keepLines w:val="0"/>
      <w:pageBreakBefore w:val="0"/>
      <w:spacing w:after="0" w:before="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45" Type="http://schemas.openxmlformats.org/officeDocument/2006/relationships/image" Target="media/rId45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0" Type="http://schemas.openxmlformats.org/officeDocument/2006/relationships/image" Target="media/rId60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87" Type="http://schemas.openxmlformats.org/officeDocument/2006/relationships/image" Target="media/rId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2026-05-30T14:19:28Z</dcterms:created>
  <dcterms:modified xsi:type="dcterms:W3CDTF">2026-05-30T14:19:28Z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