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软件著作权登记申请表"/>
    <w:p>
      <w:pPr>
        <w:pStyle w:val="Heading1"/>
      </w:pPr>
      <w:r>
        <w:rPr>
          <w:rFonts w:eastAsia="宋体" w:ascii="Times New Roman" w:hAnsi="Times New Roman" w:cs="Times New Roman"/>
        </w:rPr>
        <w:t xml:space="preserve">软件著作权登记申请表</w:t>
      </w:r>
    </w:p>
    <w:bookmarkStart w:id="20" w:name="基本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软件全称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智能储能电池均衡控制系统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版本号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应用软件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源程序量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3000</w:t>
            </w:r>
          </w:p>
        </w:tc>
      </w:tr>
    </w:tbl>
    <w:bookmarkEnd w:id="20"/>
    <w:bookmarkStart w:id="21" w:name="环境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环境信息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i7处理器、16GB内存、512GB固态硬盘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i5及以上、8GB内存、100GB可用存储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11 64位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开发环境/工具（&lt;=50字）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VS Code、Node.js、TypeScript、Next.js、NestJS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运行平台/操作系统（&lt;=50字）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10/11、Linux、Chrome或Edge浏览器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运行支撑环境（&lt;=50字）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Node.js 20、浏览器、HTTP网络环境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编程语言（&lt;=50字）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TypeScript、JavaScript、HTML、CSS</w:t>
            </w:r>
          </w:p>
        </w:tc>
      </w:tr>
    </w:tbl>
    <w:bookmarkEnd w:id="21"/>
    <w:bookmarkStart w:id="22" w:name="业务与技术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业务与技术信息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开发目的（&lt;=50字）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统一车间工单跟踪与效率分析，提升现场调度效率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面向领域/行业（&lt;=50字）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制造业、车间生产管理、精益改善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主要功能（500-1300字）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本软件面向离散制造车间的精益生产管理场景，围绕“任务执行、工序报工、效率分析、班组协同”四条主线构建一体化业务能力。系统提供标准化登录入口，支持车间主管、班组长、操作员和质检员等角色以演示账号进入系统，并在登录后展示对应的姓名、工号、角色和所属班组信息。首页集中呈现近四班产量合计、平均工序耗时、综合良品率和在制工单占比等关键指标，帮助管理人员快速掌握生产节奏和异常波动。任务看板模块按照待开始、进行中、已完成、延期四种状态分栏展示工单，支持按班组、状态、优先级和关键字进行组合筛选，并支持对当前结果进行全选、批量状态更新和单卡片流转处理，从而满足班组长现场调度、异常催办和跨班协同的日常需要。任务详情模块面向具体工单，展示工单号、计划时间、当前工序、累计产量、累计耗时、良品率和任务进度等信息，并提供工序名称、开始时间、结束时间、产量和不良数的录入能力；系统对结束时间早于开始时间、不良数大于产量等场景进行校验，保证数据记录准确可靠。效率总览模块对多日KPI数据进行汇总，以趋势图和班组效率排行方式展示不同班组的产量、工时与良品率变化，便于管理者发现瓶颈工序和低效班组，及时安排改善动作。系统内置示例数据装载能力，可自动生成班组、人员、工单、工序记录和日KPI数据，便于快速部署、界面演示、测试验证和软著申报材料准备。整体上，本软件实现了从任务派工、执行跟踪、过程报工到结果分析的闭环管理，能够为制造企业的精益生产推进、现场透明化管理和持续改善提供数字化支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技术特点（50-100字）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采用Next.js与NestJS前后端分离架构，统一任务、工序与KPI数据模型，提供REST接口、批量流转、统计汇总和示例数据装载能力，便于快速部署与演示。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技术特点类型（1-3项）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云计算软件、大数据软件</w:t>
            </w:r>
          </w:p>
        </w:tc>
      </w:tr>
    </w:tbl>
    <w:bookmarkEnd w:id="22"/>
    <w:bookmarkStart w:id="23" w:name="主体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主体信息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著作权人名称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统一社会信用代码/证件号码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邮编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邮箱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日期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日期信息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开发完成日期</w:t>
            </w:r>
          </w:p>
        </w:tc>
        <w:tc>
          <w:tcPr/>
          <w:p>
            <w:r>
              <w:t>2026-05-30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eastAsia="宋体" w:ascii="Times New Roman" w:hAnsi="Times New Roman" w:cs="Times New Roman"/>
      </w:rPr>
      <w:t>智能储能电池均衡控制系统V1.0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2026-05-11T13:38:26Z</dcterms:created>
  <dcterms:modified xsi:type="dcterms:W3CDTF">2026-05-11T13:38:26Z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