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6"/>
        </w:rPr>
        <w:t>Tenacious-Bench Week 11 — Progress Report</w:t>
      </w:r>
    </w:p>
    <w:p>
      <w:pPr>
        <w:jc w:val="center"/>
      </w:pPr>
      <w:r>
        <w:rPr>
          <w:color w:val="666666"/>
          <w:sz w:val="20"/>
        </w:rPr>
        <w:t>Path B — Preference-Tuned DPO Judge  |  Bethelhem Abay  |  10 Academy TRP1  |  2026-04-29</w:t>
      </w:r>
    </w:p>
    <w:p/>
    <w:p>
      <w:pPr>
        <w:pStyle w:val="Heading1"/>
        <w:spacing w:before="160" w:after="80"/>
      </w:pPr>
      <w:r>
        <w:rPr>
          <w:sz w:val="28"/>
        </w:rPr>
        <w:t>1.  Bench Composition</w:t>
      </w:r>
    </w:p>
    <w:p>
      <w:pPr>
        <w:spacing w:after="80"/>
        <w:ind w:left="0"/>
      </w:pPr>
      <w:r>
        <w:rPr>
          <w:b w:val="0"/>
          <w:i w:val="0"/>
          <w:sz w:val="20"/>
        </w:rPr>
        <w:t>The dataset tenacious_bench_v0.1 contains 323 preference pairs spanning 10 probe failure modes, 3 partitions, and 4 source modes. Tables 1.1–1.3 report the composition along all three axes simultaneously. Any cell in Table 1.3 answers a query of the form 'how many [mode] pairs targeting [probe] are in [partition]' without consulting any other artifact.</w:t>
      </w:r>
    </w:p>
    <w:p>
      <w:pPr>
        <w:pStyle w:val="Heading2"/>
        <w:spacing w:before="160" w:after="80"/>
      </w:pPr>
      <w:r>
        <w:rPr>
          <w:sz w:val="24"/>
        </w:rPr>
        <w:t>Table 1.1  Partition Split — Target vs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Partition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Target %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Actual Count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Actual %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Deviation (pp)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train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50%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214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66.3%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7700"/>
                <w:sz w:val="18"/>
              </w:rPr>
              <w:t>+16.3  [!]</w:t>
            </w:r>
          </w:p>
        </w:tc>
      </w:tr>
      <w:tr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dev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30.7%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+0.7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held_out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20%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10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3.1%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CC0000"/>
                <w:sz w:val="18"/>
              </w:rPr>
              <w:t>-16.9  [!]</w:t>
            </w:r>
          </w:p>
        </w:tc>
      </w:tr>
      <w:tr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100%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323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100%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b/>
          <w:color w:val="CC0000"/>
          <w:sz w:val="18"/>
        </w:rPr>
        <w:t xml:space="preserve">Deviation note — held_out (−16.9 pp):  </w:t>
      </w:r>
      <w:r>
        <w:rPr>
          <w:sz w:val="18"/>
        </w:rPr>
        <w:t>The held_out split was fixed at 10 pairs (1 per probe) to guarantee full probe coverage in the sealed evaluation set rather than maximise raw size. Expanding to the 20% target (65 pairs) would have required reducing Mode 3 synthesis, trading diversity for partition balance. The current held_out is sufficient for ablation ranking but insufficient for statistical significance at alpha=0.05; this is documented as a known limitation in the datasheet.</w:t>
      </w:r>
    </w:p>
    <w:p>
      <w:pPr>
        <w:spacing w:after="80"/>
      </w:pPr>
      <w:r>
        <w:rPr>
          <w:b/>
          <w:color w:val="CC7700"/>
          <w:sz w:val="18"/>
        </w:rPr>
        <w:t xml:space="preserve">Deviation note — train (+16.3 pp):  </w:t>
      </w:r>
      <w:r>
        <w:rPr>
          <w:sz w:val="18"/>
        </w:rPr>
        <w:t>The train over-allocation is the direct consequence of the held_out under-allocation. The absolute train count (214) exceeds the DPO training requirement; no remediation needed.</w:t>
      </w:r>
    </w:p>
    <w:p>
      <w:pPr>
        <w:pStyle w:val="Heading2"/>
        <w:spacing w:before="160" w:after="80"/>
      </w:pPr>
      <w:r>
        <w:rPr>
          <w:sz w:val="24"/>
        </w:rPr>
        <w:t>Table 1.2  Source Mode — Target vs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Source Mode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Target %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Actual Count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Actual %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Deviation (pp)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trace_derived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27.9%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-2.1</w:t>
            </w:r>
          </w:p>
        </w:tc>
      </w:tr>
      <w:tr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programmatic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30%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73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22.6%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color w:val="CC0000"/>
                <w:sz w:val="18"/>
              </w:rPr>
              <w:t>-7.4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multi_llm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25%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120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37.2%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7700"/>
                <w:sz w:val="18"/>
              </w:rPr>
              <w:t>+12.2</w:t>
            </w:r>
          </w:p>
        </w:tc>
      </w:tr>
      <w:tr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hand_authored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12.4%</w:t>
            </w:r>
          </w:p>
        </w:tc>
        <w:tc>
          <w:tcPr>
            <w:tcW w:type="dxa" w:w="3028"/>
            <w:shd w:val="clear" w:color="auto" w:fill="F0F8FF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-2.6</w:t>
            </w:r>
          </w:p>
        </w:tc>
      </w:tr>
      <w:tr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100%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323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100%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b/>
          <w:color w:val="007700"/>
          <w:sz w:val="18"/>
        </w:rPr>
        <w:t xml:space="preserve">Deviation note — multi_llm (+12.2 pp):  </w:t>
      </w:r>
      <w:r>
        <w:rPr>
          <w:sz w:val="18"/>
        </w:rPr>
        <w:t>The synthesis script achieved a 100% judge-filter pass rate (120/120 accepted at threshold 0.8). Rather than discard valid pairs to hit 25%, the full run was retained. The higher proportion adds output-style diversity; no quality degradation observed.</w:t>
      </w:r>
    </w:p>
    <w:p>
      <w:pPr>
        <w:spacing w:after="80"/>
      </w:pPr>
      <w:r>
        <w:rPr>
          <w:b/>
          <w:color w:val="CC7700"/>
          <w:sz w:val="18"/>
        </w:rPr>
        <w:t xml:space="preserve">Deviation note — programmatic (−7.4 pp):  </w:t>
      </w:r>
      <w:r>
        <w:rPr>
          <w:sz w:val="18"/>
        </w:rPr>
        <w:t>Parameter sweeps exhausted meaningful signal variations at 73 pairs. Artificial duplication would inflate pair count without adding discriminative signal.</w:t>
      </w:r>
    </w:p>
    <w:p>
      <w:pPr>
        <w:pStyle w:val="Heading2"/>
        <w:spacing w:before="160" w:after="80"/>
      </w:pPr>
      <w:r>
        <w:rPr>
          <w:sz w:val="24"/>
        </w:rPr>
        <w:t>Table 1.3  Cross-Tabulation: Probe x Partition x Source Mode</w:t>
      </w:r>
    </w:p>
    <w:p>
      <w:pPr>
        <w:spacing w:after="80"/>
        <w:ind w:left="0"/>
      </w:pPr>
      <w:r>
        <w:rPr>
          <w:b w:val="0"/>
          <w:i/>
          <w:sz w:val="16"/>
        </w:rPr>
        <w:t>Columns: T=trace_derived  P=programmatic  M=multi_llm  H=hand_authored  S=split subtotal. Row groups: Judgment failures (J, Tiers 1-4) and Generation failures (G, Tiers 1-3). Margin totals on all four edges.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89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Probe</w:t>
            </w:r>
          </w:p>
        </w:tc>
        <w:tc>
          <w:tcPr>
            <w:tcW w:type="dxa" w:w="89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F·Tier</w:t>
            </w:r>
          </w:p>
        </w:tc>
        <w:tc>
          <w:tcPr>
            <w:tcW w:type="dxa" w:w="890"/>
            <w:shd w:val="clear" w:color="auto" w:fill="1A1A2E"/>
            <w:shd w:val="clear" w:color="auto" w:fill="1A408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Train-T</w:t>
            </w:r>
          </w:p>
        </w:tc>
        <w:tc>
          <w:tcPr>
            <w:tcW w:type="dxa" w:w="890"/>
            <w:shd w:val="clear" w:color="auto" w:fill="1A1A2E"/>
            <w:shd w:val="clear" w:color="auto" w:fill="1A408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Train-P</w:t>
            </w:r>
          </w:p>
        </w:tc>
        <w:tc>
          <w:tcPr>
            <w:tcW w:type="dxa" w:w="890"/>
            <w:shd w:val="clear" w:color="auto" w:fill="1A1A2E"/>
            <w:shd w:val="clear" w:color="auto" w:fill="1A408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Train-M</w:t>
            </w:r>
          </w:p>
        </w:tc>
        <w:tc>
          <w:tcPr>
            <w:tcW w:type="dxa" w:w="890"/>
            <w:shd w:val="clear" w:color="auto" w:fill="1A1A2E"/>
            <w:shd w:val="clear" w:color="auto" w:fill="1A408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Train-H</w:t>
            </w:r>
          </w:p>
        </w:tc>
        <w:tc>
          <w:tcPr>
            <w:tcW w:type="dxa" w:w="890"/>
            <w:shd w:val="clear" w:color="auto" w:fill="1A1A2E"/>
            <w:shd w:val="clear" w:color="auto" w:fill="1A408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Train-S</w:t>
            </w:r>
          </w:p>
        </w:tc>
        <w:tc>
          <w:tcPr>
            <w:tcW w:type="dxa" w:w="890"/>
            <w:shd w:val="clear" w:color="auto" w:fill="1A1A2E"/>
            <w:shd w:val="clear" w:color="auto" w:fill="0D6B4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Dev-T</w:t>
            </w:r>
          </w:p>
        </w:tc>
        <w:tc>
          <w:tcPr>
            <w:tcW w:type="dxa" w:w="890"/>
            <w:shd w:val="clear" w:color="auto" w:fill="1A1A2E"/>
            <w:shd w:val="clear" w:color="auto" w:fill="0D6B4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Dev-P</w:t>
            </w:r>
          </w:p>
        </w:tc>
        <w:tc>
          <w:tcPr>
            <w:tcW w:type="dxa" w:w="890"/>
            <w:shd w:val="clear" w:color="auto" w:fill="1A1A2E"/>
            <w:shd w:val="clear" w:color="auto" w:fill="0D6B4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Dev-M</w:t>
            </w:r>
          </w:p>
        </w:tc>
        <w:tc>
          <w:tcPr>
            <w:tcW w:type="dxa" w:w="890"/>
            <w:shd w:val="clear" w:color="auto" w:fill="1A1A2E"/>
            <w:shd w:val="clear" w:color="auto" w:fill="0D6B4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Dev-H</w:t>
            </w:r>
          </w:p>
        </w:tc>
        <w:tc>
          <w:tcPr>
            <w:tcW w:type="dxa" w:w="890"/>
            <w:shd w:val="clear" w:color="auto" w:fill="1A1A2E"/>
            <w:shd w:val="clear" w:color="auto" w:fill="0D6B4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Dev-S</w:t>
            </w:r>
          </w:p>
        </w:tc>
        <w:tc>
          <w:tcPr>
            <w:tcW w:type="dxa" w:w="890"/>
            <w:shd w:val="clear" w:color="auto" w:fill="1A1A2E"/>
            <w:shd w:val="clear" w:color="auto" w:fill="6B1A0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Held-T</w:t>
            </w:r>
          </w:p>
        </w:tc>
        <w:tc>
          <w:tcPr>
            <w:tcW w:type="dxa" w:w="890"/>
            <w:shd w:val="clear" w:color="auto" w:fill="1A1A2E"/>
            <w:shd w:val="clear" w:color="auto" w:fill="6B1A0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Held-P</w:t>
            </w:r>
          </w:p>
        </w:tc>
        <w:tc>
          <w:tcPr>
            <w:tcW w:type="dxa" w:w="890"/>
            <w:shd w:val="clear" w:color="auto" w:fill="1A1A2E"/>
            <w:shd w:val="clear" w:color="auto" w:fill="6B1A0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Held-M</w:t>
            </w:r>
          </w:p>
        </w:tc>
        <w:tc>
          <w:tcPr>
            <w:tcW w:type="dxa" w:w="890"/>
            <w:shd w:val="clear" w:color="auto" w:fill="1A1A2E"/>
            <w:shd w:val="clear" w:color="auto" w:fill="6B1A0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Held-H</w:t>
            </w:r>
          </w:p>
        </w:tc>
        <w:tc>
          <w:tcPr>
            <w:tcW w:type="dxa" w:w="890"/>
            <w:shd w:val="clear" w:color="auto" w:fill="1A1A2E"/>
            <w:shd w:val="clear" w:color="auto" w:fill="6B1A0D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Held-S</w:t>
            </w:r>
          </w:p>
        </w:tc>
      </w:tr>
      <w:tr>
        <w:tc>
          <w:tcPr>
            <w:tcW w:type="dxa" w:w="890"/>
            <w:shd w:val="clear" w:color="auto" w:fill="FFF8E8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A07</w:t>
            </w:r>
          </w:p>
        </w:tc>
        <w:tc>
          <w:tcPr>
            <w:tcW w:type="dxa" w:w="890"/>
            <w:shd w:val="clear" w:color="auto" w:fill="FFF8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J Tier 1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11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FFF8E8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E01</w:t>
            </w:r>
          </w:p>
        </w:tc>
        <w:tc>
          <w:tcPr>
            <w:tcW w:type="dxa" w:w="890"/>
            <w:shd w:val="clear" w:color="auto" w:fill="FFF8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J Tier 1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20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10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FFF8E8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E02</w:t>
            </w:r>
          </w:p>
        </w:tc>
        <w:tc>
          <w:tcPr>
            <w:tcW w:type="dxa" w:w="890"/>
            <w:shd w:val="clear" w:color="auto" w:fill="FFF8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J Tier 3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21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8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FFF8E8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E03</w:t>
            </w:r>
          </w:p>
        </w:tc>
        <w:tc>
          <w:tcPr>
            <w:tcW w:type="dxa" w:w="890"/>
            <w:shd w:val="clear" w:color="auto" w:fill="FFF8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J Tier 4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25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7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FFF8E8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G03</w:t>
            </w:r>
          </w:p>
        </w:tc>
        <w:tc>
          <w:tcPr>
            <w:tcW w:type="dxa" w:w="890"/>
            <w:shd w:val="clear" w:color="auto" w:fill="FFF8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J Tier 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32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10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FFFBE8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EAF4FF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B03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G Tier 2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19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11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EAF4FF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B04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G Tier 2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16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12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EAF4FF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C02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G Tier 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20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10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EAF4FF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C04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G Tier 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19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10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EAF4FF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D05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G Tier 1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DDE8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20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</w:t>
            </w:r>
          </w:p>
        </w:tc>
        <w:tc>
          <w:tcPr>
            <w:tcW w:type="dxa" w:w="890"/>
            <w:shd w:val="clear" w:color="auto" w:fill="DDFFF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10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90"/>
            <w:shd w:val="clear" w:color="auto" w:fill="EAF4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DDDD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</w:tr>
      <w:tr>
        <w:tc>
          <w:tcPr>
            <w:tcW w:type="dxa" w:w="890"/>
            <w:shd w:val="clear" w:color="auto" w:fill="FFE8A0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J subtotal</w:t>
            </w:r>
          </w:p>
        </w:tc>
        <w:tc>
          <w:tcPr>
            <w:tcW w:type="dxa" w:w="890"/>
            <w:shd w:val="clear" w:color="auto" w:fill="FFE8A0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26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37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47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10</w:t>
            </w:r>
          </w:p>
        </w:tc>
        <w:tc>
          <w:tcPr>
            <w:tcW w:type="dxa" w:w="890"/>
            <w:shd w:val="clear" w:color="auto" w:fill="FFD07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120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19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7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12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8</w:t>
            </w:r>
          </w:p>
        </w:tc>
        <w:tc>
          <w:tcPr>
            <w:tcW w:type="dxa" w:w="890"/>
            <w:shd w:val="clear" w:color="auto" w:fill="FFD07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46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0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0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FFF0C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4</w:t>
            </w:r>
          </w:p>
        </w:tc>
        <w:tc>
          <w:tcPr>
            <w:tcW w:type="dxa" w:w="890"/>
            <w:shd w:val="clear" w:color="auto" w:fill="FFD070"/>
            <w:shd w:val="clear" w:color="auto" w:fill="FFD07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171</w:t>
            </w:r>
          </w:p>
        </w:tc>
      </w:tr>
      <w:tr>
        <w:tc>
          <w:tcPr>
            <w:tcW w:type="dxa" w:w="890"/>
            <w:shd w:val="clear" w:color="auto" w:fill="A0D8FF"/>
          </w:tcPr>
          <w:p>
            <w:pPr>
              <w:jc w:val="left"/>
            </w:pPr>
            <w:r/>
            <w:r>
              <w:rPr>
                <w:b/>
                <w:i w:val="0"/>
                <w:sz w:val="14"/>
              </w:rPr>
              <w:t>G subtotal</w:t>
            </w:r>
          </w:p>
        </w:tc>
        <w:tc>
          <w:tcPr>
            <w:tcW w:type="dxa" w:w="890"/>
            <w:shd w:val="clear" w:color="auto" w:fill="A0D8FF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25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22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41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6</w:t>
            </w:r>
          </w:p>
        </w:tc>
        <w:tc>
          <w:tcPr>
            <w:tcW w:type="dxa" w:w="890"/>
            <w:shd w:val="clear" w:color="auto" w:fill="70C0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94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20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7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19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7</w:t>
            </w:r>
          </w:p>
        </w:tc>
        <w:tc>
          <w:tcPr>
            <w:tcW w:type="dxa" w:w="890"/>
            <w:shd w:val="clear" w:color="auto" w:fill="70C0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53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0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0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0</w:t>
            </w:r>
          </w:p>
        </w:tc>
        <w:tc>
          <w:tcPr>
            <w:tcW w:type="dxa" w:w="890"/>
            <w:shd w:val="clear" w:color="auto" w:fill="C8EE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5</w:t>
            </w:r>
          </w:p>
        </w:tc>
        <w:tc>
          <w:tcPr>
            <w:tcW w:type="dxa" w:w="890"/>
            <w:shd w:val="clear" w:color="auto" w:fill="70C0FF"/>
            <w:shd w:val="clear" w:color="auto" w:fill="70C0FF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152</w:t>
            </w:r>
          </w:p>
        </w:tc>
      </w:tr>
      <w:tr>
        <w:tc>
          <w:tcPr>
            <w:tcW w:type="dxa" w:w="890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14"/>
              </w:rPr>
              <w:t>TOTAL</w:t>
            </w:r>
          </w:p>
        </w:tc>
        <w:tc>
          <w:tcPr>
            <w:tcW w:type="dxa" w:w="890"/>
            <w:shd w:val="clear" w:color="auto" w:fill="1A1A2E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51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59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88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16</w:t>
            </w:r>
          </w:p>
        </w:tc>
        <w:tc>
          <w:tcPr>
            <w:tcW w:type="dxa" w:w="890"/>
            <w:shd w:val="clear" w:color="auto" w:fill="BBBBBB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214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39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14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31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15</w:t>
            </w:r>
          </w:p>
        </w:tc>
        <w:tc>
          <w:tcPr>
            <w:tcW w:type="dxa" w:w="890"/>
            <w:shd w:val="clear" w:color="auto" w:fill="BBBBBB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99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0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0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1</w:t>
            </w:r>
          </w:p>
        </w:tc>
        <w:tc>
          <w:tcPr>
            <w:tcW w:type="dxa" w:w="890"/>
            <w:shd w:val="clear" w:color="auto" w:fill="E0E0E0"/>
          </w:tcPr>
          <w:p>
            <w:pPr>
              <w:jc w:val="center"/>
            </w:pPr>
            <w:r/>
            <w:r>
              <w:rPr>
                <w:b/>
                <w:i w:val="0"/>
                <w:sz w:val="14"/>
              </w:rPr>
              <w:t>9</w:t>
            </w:r>
          </w:p>
        </w:tc>
        <w:tc>
          <w:tcPr>
            <w:tcW w:type="dxa" w:w="890"/>
            <w:shd w:val="clear" w:color="auto" w:fill="BBBBBB"/>
            <w:shd w:val="clear" w:color="auto" w:fill="888888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4"/>
              </w:rPr>
              <w:t>323</w:t>
            </w:r>
          </w:p>
        </w:tc>
      </w:tr>
      <w:tr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  <w:tc>
          <w:tcPr>
            <w:tcW w:type="dxa" w:w="890"/>
          </w:tcPr>
          <w:p/>
        </w:tc>
      </w:tr>
    </w:tbl>
    <w:p/>
    <w:p>
      <w:pPr>
        <w:spacing w:after="80"/>
        <w:ind w:left="0"/>
      </w:pPr>
      <w:r>
        <w:rPr>
          <w:b w:val="0"/>
          <w:i/>
          <w:sz w:val="18"/>
        </w:rPr>
        <w:t>Reading example: 'How many trace-derived judgment pairs are in the held-out partition?' -&gt; Row group J subtotal, column Held-T = 0 pair(s). 'How many multi-LLM pairs target PROBE-E01 across all partitions?' -&gt; Row PROBE-E01, columns Train-M + Dev-M + Held-M = 12 pairs.</w:t>
      </w:r>
    </w:p>
    <w:p>
      <w:r>
        <w:br w:type="page"/>
      </w:r>
    </w:p>
    <w:p>
      <w:pPr>
        <w:pStyle w:val="Heading1"/>
        <w:spacing w:before="160" w:after="80"/>
      </w:pPr>
      <w:r>
        <w:rPr>
          <w:sz w:val="28"/>
        </w:rPr>
        <w:t>2.  Inter-Rater Agreement Results</w:t>
      </w:r>
    </w:p>
    <w:p>
      <w:pPr>
        <w:spacing w:after="80"/>
        <w:ind w:left="0"/>
      </w:pPr>
      <w:r>
        <w:rPr>
          <w:b w:val="0"/>
          <w:i w:val="0"/>
          <w:sz w:val="20"/>
        </w:rPr>
        <w:t>The IRA protocol calls for a 30-pair hand-labeled subset sampled from the train split (3 pairs per probe x 10 probes), independently annotated by a second rater. The primary annotator's labels are deterministic — derived directly from the 7-rule priority order. Agreement is measured per rubric dimension using Cohen's kappa (target &gt;= 0.80). Any dimension falling below threshold triggers rubric revision before DPO training proceeds.</w:t>
      </w:r>
    </w:p>
    <w:p>
      <w:pPr>
        <w:spacing w:after="80"/>
      </w:pPr>
      <w:r>
        <w:rPr>
          <w:b/>
          <w:color w:val="CC0000"/>
          <w:sz w:val="20"/>
        </w:rPr>
        <w:t xml:space="preserve">STATUS:  </w:t>
      </w:r>
      <w:r>
        <w:rPr>
          <w:sz w:val="20"/>
        </w:rPr>
        <w:t>The second-annotator pass (GPT-4o via OpenRouter) has NOT yet been executed as of this report. This section documents the planned protocol, per-dimension framework, and pre-run analysis of expected disagreement zones. The pass is scheduled for Day 4, before training begins on Day 5.</w:t>
      </w:r>
    </w:p>
    <w:p>
      <w:pPr>
        <w:pStyle w:val="Heading2"/>
        <w:spacing w:before="160" w:after="80"/>
      </w:pPr>
      <w:r>
        <w:rPr>
          <w:sz w:val="24"/>
        </w:rPr>
        <w:t>2.1  Scoring Dimensions and Agreement Protocol</w:t>
      </w:r>
    </w:p>
    <w:p>
      <w:pPr>
        <w:spacing w:after="80"/>
        <w:ind w:left="0"/>
      </w:pPr>
      <w:r>
        <w:rPr>
          <w:b w:val="0"/>
          <w:i w:val="0"/>
          <w:sz w:val="20"/>
        </w:rPr>
        <w:t>The 7-rule priority order defines 7 binary scoring dimensions. Rules 1-3 are fully deterministic (no judgment required). Rules 4-6 require signal-grounding or quality assessment. Rule 7 is a pass-through.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Dimension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Check Type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Expected kappa</w:t>
            </w:r>
          </w:p>
        </w:tc>
        <w:tc>
          <w:tcPr>
            <w:tcW w:type="dxa" w:w="30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Disagreement Risk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Rule 1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Disqualifier suppression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Deterministic: flag in disqualifiers[]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&gt;=0.95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LOW — boolean field lookup</w:t>
            </w:r>
          </w:p>
        </w:tc>
      </w:tr>
      <w:tr>
        <w:tc>
          <w:tcPr>
            <w:tcW w:type="dxa" w:w="3028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Rule 2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Opt-out channel respect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Deterministic: channel in opt_out_channels[]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&gt;=0.95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LOW — boolean field lookup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Rule 3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C-level escalation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Deterministic: headcount&gt;=2000 AND C-level role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&gt;=0.90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LOW — except exact boundary (headcount=2000 vs 2001)</w:t>
            </w:r>
          </w:p>
        </w:tc>
      </w:tr>
      <w:tr>
        <w:tc>
          <w:tcPr>
            <w:tcW w:type="dxa" w:w="3028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Rule 4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Thread isolation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Signal-grounding: output references absent signal?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0.75–0.85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MEDIUM — subtle leaks (low-severity personal refs)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Rule 5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Funding confidence hedge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Deterministic + judge: confidence field + hedge phrase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&gt;=0.88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LOW-MED — 'reportedly' vs 'confirmed' threshold</w:t>
            </w:r>
          </w:p>
        </w:tc>
      </w:tr>
      <w:tr>
        <w:tc>
          <w:tcPr>
            <w:tcW w:type="dxa" w:w="3028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Rule 6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Peer specificity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Judge call: are peers city/industry-specific?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0.70–0.82</w:t>
            </w:r>
          </w:p>
        </w:tc>
        <w:tc>
          <w:tcPr>
            <w:tcW w:type="dxa" w:w="3028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MEDIUM — 'how specific is specific enough'</w:t>
            </w:r>
          </w:p>
        </w:tc>
      </w:tr>
      <w:tr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Rule 7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Overall quality pass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Judge call: holistic quality score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0.65–0.80</w:t>
            </w:r>
          </w:p>
        </w:tc>
        <w:tc>
          <w:tcPr>
            <w:tcW w:type="dxa" w:w="30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CC0000"/>
                <w:sz w:val="16"/>
              </w:rPr>
              <w:t>MEDIUM-HIGH — D05 soft rejection ambiguity</w:t>
            </w:r>
          </w:p>
        </w:tc>
      </w:tr>
      <w:tr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Overall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All dimensions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Mixed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Target: &gt;=0.80</w:t>
            </w:r>
          </w:p>
        </w:tc>
        <w:tc>
          <w:tcPr>
            <w:tcW w:type="dxa" w:w="3028"/>
            <w:shd w:val="clear" w:color="auto" w:fill="E0E8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Rules 6-7 are the likely revision trigger</w:t>
            </w:r>
          </w:p>
        </w:tc>
      </w:tr>
    </w:tbl>
    <w:p>
      <w:pPr>
        <w:pStyle w:val="Heading2"/>
        <w:spacing w:before="160" w:after="80"/>
      </w:pPr>
      <w:r>
        <w:rPr>
          <w:sz w:val="24"/>
        </w:rPr>
        <w:t>2.2  Pre-Run Disagreement Analysis</w:t>
      </w:r>
    </w:p>
    <w:p>
      <w:pPr>
        <w:spacing w:after="80"/>
        <w:ind w:left="0"/>
      </w:pPr>
      <w:r>
        <w:rPr>
          <w:b w:val="0"/>
          <w:i w:val="0"/>
          <w:sz w:val="20"/>
        </w:rPr>
        <w:t>Three specific boundary cases are identified as likely disagreement sources:</w:t>
      </w:r>
    </w:p>
    <w:p>
      <w:pPr>
        <w:spacing w:after="80"/>
      </w:pPr>
      <w:r>
        <w:rPr>
          <w:b/>
          <w:color w:val="CC7700"/>
          <w:sz w:val="18"/>
        </w:rPr>
        <w:t xml:space="preserve">D1 — G03 boundary (headcount = 2,000 exactly):  </w:t>
      </w:r>
      <w:r>
        <w:rPr>
          <w:sz w:val="18"/>
        </w:rPr>
        <w:t>Rule 3 fires at headcount &gt;= 2,000. A prospect with headcount = 2,000 should NOT trigger escalation (boundary is exclusive on the 2,000 side per probe definition). GPT-4o may interpret '2,000-person company' as 'large company' and escalate regardless. Rubric clarification: add explicit note 'headcount &gt; 2,000 triggers Rule 3; headcount = 2,000 does not.'</w:t>
      </w:r>
    </w:p>
    <w:p>
      <w:pPr>
        <w:spacing w:after="80"/>
      </w:pPr>
      <w:r>
        <w:rPr>
          <w:b/>
          <w:color w:val="CC7700"/>
          <w:sz w:val="18"/>
        </w:rPr>
        <w:t xml:space="preserve">D2 — D05 soft rejection ('Not a priority right now'):  </w:t>
      </w:r>
      <w:r>
        <w:rPr>
          <w:sz w:val="18"/>
        </w:rPr>
        <w:t>Rule 7 requires the agent to pivot after a rejection. A soft rejection phrase may be ambiguous to a second annotator who reads it as exploratory rather than definitive. Rubric clarification: 'Any explicit or implicit rejection of the suggested gap, regardless of strength, triggers the pivot requirement on the next agent turn.'</w:t>
      </w:r>
    </w:p>
    <w:p>
      <w:pPr>
        <w:spacing w:after="80"/>
      </w:pPr>
      <w:r>
        <w:rPr>
          <w:b/>
          <w:color w:val="CC7700"/>
          <w:sz w:val="18"/>
        </w:rPr>
        <w:t xml:space="preserve">D3 — E02 peer specificity threshold:  </w:t>
      </w:r>
      <w:r>
        <w:rPr>
          <w:sz w:val="18"/>
        </w:rPr>
        <w:t>Rule 6 penalises generic peer names. The boundary between 'sufficiently specific' and 'generic' is soft. Rubric clarification: 'A peer name is specific if it uniquely identifies a company known to operate in the prospect's city AND industry. Generic tech giants (Stripe, Google, Meta) that operate everywhere do not count as city-specific.'</w:t>
      </w:r>
    </w:p>
    <w:p>
      <w:pPr>
        <w:pStyle w:val="Heading2"/>
        <w:spacing w:before="160" w:after="80"/>
      </w:pPr>
      <w:r>
        <w:rPr>
          <w:sz w:val="24"/>
        </w:rPr>
        <w:t>2.3  Revision Protocol if kappa &lt; 0.80</w:t>
      </w:r>
    </w:p>
    <w:p>
      <w:pPr>
        <w:spacing w:after="80"/>
        <w:ind w:left="0"/>
      </w:pPr>
      <w:r>
        <w:rPr>
          <w:b w:val="0"/>
          <w:i w:val="0"/>
          <w:sz w:val="20"/>
        </w:rPr>
        <w:t>If any dimension falls below 0.80 on first pass: (1) identify the specific pair IDs where the two annotators disagree; (2) apply the clarification language from Section 2.2 above; (3) re-annotate only the disagreed pairs; (4) recompute kappa; (5) if still below 0.80, escalate to a third annotator (human) to break ties. Training does not proceed until all dimensions reach kappa &gt;= 0.80 or the third-annotator tie-break is complete.</w:t>
      </w:r>
    </w:p>
    <w:p>
      <w:r>
        <w:br w:type="page"/>
      </w:r>
    </w:p>
    <w:p>
      <w:pPr>
        <w:pStyle w:val="Heading1"/>
        <w:spacing w:before="160" w:after="80"/>
      </w:pPr>
      <w:r>
        <w:rPr>
          <w:sz w:val="28"/>
        </w:rPr>
        <w:t>3.  Worked Examples with Rubric Application</w:t>
      </w:r>
    </w:p>
    <w:p>
      <w:pPr>
        <w:spacing w:after="80"/>
        <w:ind w:left="0"/>
      </w:pPr>
      <w:r>
        <w:rPr>
          <w:b w:val="0"/>
          <w:i w:val="0"/>
          <w:sz w:val="20"/>
        </w:rPr>
        <w:t>Three pairs are shown end-to-end: one programmatic, one trace-derived, one adversarial (hand-authored). Each shows the full mechanical scoring path: deterministic checks first (with field values shown explicitly), then judge calls (with prompt and result), then per-dimension scores aggregating to the final verdict. Example 3 is a deliberate partial-credit case that demonstrates the evaluator discriminating rather than rubber-stamping.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sz w:val="24"/>
        </w:rPr>
        <w:t>Example 1 — Programmatic  |  PROBE-B03  |  Funding-Tier Language  |  Pair: B03-PROG-007</w:t>
      </w:r>
    </w:p>
    <w:p>
      <w:pPr>
        <w:spacing w:after="80"/>
        <w:ind w:left="0"/>
      </w:pPr>
      <w:r>
        <w:rPr>
          <w:b/>
          <w:i w:val="0"/>
          <w:sz w:val="18"/>
        </w:rPr>
        <w:t>INPUT CONTEXT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company           = "Co_public"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headcount         = 100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funding_stage     = "public"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funding_confidence= "high"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disqualifiers     = []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opt_out_channels  = []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recipient_role    = "cto"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available_signals = {"prospect_industry": "saas", "funding_amount_usd": 0}</w:t>
      </w:r>
    </w:p>
    <w:p/>
    <w:p>
      <w:pPr>
        <w:spacing w:after="80"/>
        <w:ind w:left="0"/>
      </w:pPr>
      <w:r>
        <w:rPr>
          <w:b/>
          <w:i w:val="0"/>
          <w:color w:val="AA0000"/>
          <w:sz w:val="18"/>
        </w:rPr>
        <w:t>CANDIDATE OUTPUT (REJECTED — the failure we want to catch)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"We help early-stage startups hire their first engineers affordably."</w:t>
      </w:r>
    </w:p>
    <w:p/>
    <w:p>
      <w:pPr>
        <w:spacing w:after="80"/>
        <w:ind w:left="0"/>
      </w:pPr>
      <w:r>
        <w:rPr>
          <w:b/>
          <w:i w:val="0"/>
          <w:sz w:val="18"/>
        </w:rPr>
        <w:t>MECHANICAL SCORING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Field Value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1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disqualifiers[]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[]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no disqualifier flags</w:t>
            </w:r>
          </w:p>
        </w:tc>
      </w:tr>
      <w:tr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2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opt_out_channels[]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[]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no opt-out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3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headcount &gt;= 2000 AND C-level role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100 / CTO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headcount below threshold</w:t>
            </w:r>
          </w:p>
        </w:tc>
      </w:tr>
      <w:tr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4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output references absent signals?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n/a — single thread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no thread isolation issue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5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funding_confidence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confidence high, no hedge needed</w:t>
            </w:r>
          </w:p>
        </w:tc>
      </w:tr>
      <w:tr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6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peer names present?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none in output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no peer names to score</w:t>
            </w:r>
          </w:p>
        </w:tc>
      </w:tr>
      <w:tr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7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holistic quality: is language calibrated to funding_stage?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funding_stage=public; output says 'early-stage startups'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color w:val="CC0000"/>
                <w:sz w:val="16"/>
              </w:rPr>
              <w:t>FAIL — language targets wrong stage</w:t>
            </w:r>
          </w:p>
        </w:tc>
      </w:tr>
      <w:tr>
        <w:tc>
          <w:tcPr>
            <w:tcW w:type="dxa" w:w="3784"/>
            <w:shd w:val="clear" w:color="auto" w:fill="CC000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VERDICT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BLOCK — Rule 7 fires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Final score: 0.08</w:t>
            </w:r>
          </w:p>
        </w:tc>
        <w:tc>
          <w:tcPr>
            <w:tcW w:type="dxa" w:w="3784"/>
            <w:shd w:val="clear" w:color="auto" w:fill="E8FF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Chosen output scores 0.94 (correct tier language for public company)</w:t>
            </w:r>
          </w:p>
        </w:tc>
      </w:tr>
    </w:tbl>
    <w:p/>
    <w:p>
      <w:pPr>
        <w:spacing w:after="80"/>
        <w:ind w:left="0"/>
      </w:pPr>
      <w:r>
        <w:rPr>
          <w:b/>
          <w:i w:val="0"/>
          <w:sz w:val="18"/>
        </w:rPr>
        <w:t>JUDGE CALL — Rule 7 (Holistic Quality)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Model: openai/gpt-4o-mini via OpenRouter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Prompt fragment: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CONTEXT: {funding_stage: "public", headcount: 100, ...}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DRAFT: "We help early-stage startups hire their first engineers affordably."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Rule 7: Is this output well-formed and appropriately calibrated to the prospect context?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Respond: {"decision": "PASS|BLOCK", "rule": "...", "score": 0.0-1.0, "reason": "..."}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Response: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{"decision": "BLOCK", "rule": "funding_tier_mismatch",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"score": 0.08,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"reason": "Output targets early-stage companies. Prospect is public.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          Public company clients require seniority-focused, compliance-aware language."}</w:t>
      </w:r>
    </w:p>
    <w:p>
      <w:pPr>
        <w:spacing w:after="80"/>
      </w:pPr>
      <w:r>
        <w:rPr>
          <w:b/>
          <w:color w:val="1A1A2E"/>
          <w:sz w:val="18"/>
        </w:rPr>
        <w:t xml:space="preserve">Score breakdown:  </w:t>
      </w:r>
      <w:r>
        <w:rPr>
          <w:sz w:val="18"/>
        </w:rPr>
        <w:t>Rules 1-6: all PASS (0 deterministic triggers). Rule 7 judge call: score=0.08 → BLOCK. Final score: 0.08.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sz w:val="24"/>
        </w:rPr>
        <w:t>Example 2 — Trace-derived  |  PROBE-A07  |  Anti-offshore Disqualifier  |  Pair: A07-003</w:t>
      </w:r>
    </w:p>
    <w:p>
      <w:pPr>
        <w:spacing w:after="80"/>
        <w:ind w:left="0"/>
      </w:pPr>
      <w:r>
        <w:rPr>
          <w:b/>
          <w:i w:val="0"/>
          <w:sz w:val="18"/>
        </w:rPr>
        <w:t>INPUT CONTEXT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company           = "LocalFirst Tech"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headcount         = 8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funding_stage     = "seed"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disqualifiers     = ["anti_offshore"]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opt_out_channels  = []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recipient_role    = "cto"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available_signals = {"anti_offshore_quote": "Offshore is not for us — we are a local-first company."}</w:t>
      </w:r>
    </w:p>
    <w:p/>
    <w:p>
      <w:pPr>
        <w:spacing w:after="80"/>
        <w:ind w:left="0"/>
      </w:pPr>
      <w:r>
        <w:rPr>
          <w:b/>
          <w:i w:val="0"/>
          <w:color w:val="AA0000"/>
          <w:sz w:val="18"/>
        </w:rPr>
        <w:t>CANDIDATE OUTPUT (REJECTED — the observed failure)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"Hi Priya, love the local-first brand. We have Ethiopian engineers ready to join your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team on a contract basis, remote-friendly and async-first."</w:t>
      </w:r>
    </w:p>
    <w:p/>
    <w:p>
      <w:pPr>
        <w:spacing w:after="80"/>
        <w:ind w:left="0"/>
      </w:pPr>
      <w:r>
        <w:rPr>
          <w:b/>
          <w:i w:val="0"/>
          <w:sz w:val="18"/>
        </w:rPr>
        <w:t>MECHANICAL SCORING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Field Value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1 [TERMINAL]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BANNED_FLAGS = {anti_offshore, local_only, do_not_contact, competitor}</w:t>
              <w:br/>
              <w:t>Any flag in disqualifiers[] -&gt; BLOCK immediately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disqualifiers = ["anti_offshore"]</w:t>
              <w:br/>
              <w:t>"anti_offshore" in BANNED_FLAGS? YES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color w:val="CC0000"/>
                <w:sz w:val="16"/>
              </w:rPr>
              <w:t>BLOCK — Rule 1 is terminal. Rules 2-7 are NOT evaluated.</w:t>
            </w:r>
          </w:p>
        </w:tc>
      </w:tr>
      <w:tr>
        <w:tc>
          <w:tcPr>
            <w:tcW w:type="dxa" w:w="3784"/>
            <w:shd w:val="clear" w:color="auto" w:fill="CC000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VERDICT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BLOCK — Rule 1 fires (terminal)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Final score: 0.00</w:t>
            </w:r>
          </w:p>
        </w:tc>
        <w:tc>
          <w:tcPr>
            <w:tcW w:type="dxa" w:w="3784"/>
            <w:shd w:val="clear" w:color="auto" w:fill="E8FF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Chosen: action=suppress, output='' (empty). Score: 1.00.</w:t>
            </w:r>
          </w:p>
        </w:tc>
      </w:tr>
      <w:tr>
        <w:tc>
          <w:tcPr>
            <w:tcW w:type="dxa" w:w="3784"/>
            <w:shd w:val="clear" w:color="auto" w:fill="FFF8E0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NOTE</w:t>
            </w:r>
          </w:p>
        </w:tc>
        <w:tc>
          <w:tcPr>
            <w:tcW w:type="dxa" w:w="3784"/>
            <w:shd w:val="clear" w:color="auto" w:fill="FFF8E0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Rule 1 is a deterministic lookup — no model call is made.</w:t>
            </w:r>
          </w:p>
        </w:tc>
        <w:tc>
          <w:tcPr>
            <w:tcW w:type="dxa" w:w="3784"/>
            <w:shd w:val="clear" w:color="auto" w:fill="FFF8E0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784"/>
            <w:shd w:val="clear" w:color="auto" w:fill="FFF8E0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Cost: $0.00 for this pair (no API call needed).</w:t>
            </w:r>
          </w:p>
        </w:tc>
      </w:tr>
    </w:tbl>
    <w:p/>
    <w:p>
      <w:pPr>
        <w:spacing w:after="80"/>
        <w:ind w:left="0"/>
      </w:pPr>
      <w:r>
        <w:rPr>
          <w:b w:val="0"/>
          <w:i/>
          <w:sz w:val="18"/>
        </w:rPr>
        <w:t>Signal-grounding reference: The available_signals field contains anti_offshore_quote = 'Offshore is not for us — we are a local-first company.' This long string (&gt;20 chars) was used by the contamination check to uniquely fingerprint the pair and confirm it does not appear in the held-out split.</w:t>
      </w:r>
    </w:p>
    <w:p>
      <w:pPr>
        <w:spacing w:after="80"/>
      </w:pPr>
      <w:r>
        <w:rPr>
          <w:b/>
          <w:color w:val="1A1A2E"/>
          <w:sz w:val="18"/>
        </w:rPr>
        <w:t xml:space="preserve">Score breakdown:  </w:t>
      </w:r>
      <w:r>
        <w:rPr>
          <w:sz w:val="18"/>
        </w:rPr>
        <w:t>Rule 1 deterministic check: BLOCK (score=0.00). Terminal — no further rules evaluated. This is the highest-severity class: Tier 1 brand-reputation. Any non-zero score on this pair would indicate a judge calibration failure.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160" w:after="80"/>
      </w:pPr>
      <w:r>
        <w:rPr>
          <w:sz w:val="24"/>
        </w:rPr>
        <w:t>Example 3 — Adversarial / Hand-Authored  |  PROBE-E01  |  Thread Contamination  |  Pair: HAND-E01-003</w:t>
      </w:r>
    </w:p>
    <w:p>
      <w:pPr>
        <w:spacing w:after="80"/>
        <w:ind w:left="0"/>
      </w:pPr>
      <w:r>
        <w:rPr>
          <w:b w:val="0"/>
          <w:i/>
          <w:color w:val="663300"/>
          <w:sz w:val="18"/>
        </w:rPr>
        <w:t>This is a deliberate partial-credit case. The output correctly addresses the CTO's technical question — it is not a suppression or escalation failure. The violation is subtle: the output leaks a signal from a concurrent CFO thread that was not in scope for the CTO reply. A naive evaluator would PASS this output. The judge must discriminate.</w:t>
      </w:r>
    </w:p>
    <w:p>
      <w:pPr>
        <w:spacing w:after="80"/>
        <w:ind w:left="0"/>
      </w:pPr>
      <w:r>
        <w:rPr>
          <w:b/>
          <w:i w:val="0"/>
          <w:sz w:val="18"/>
        </w:rPr>
        <w:t>INPUT CONTEXT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company           = "ThreeThreads"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headcount         = 200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disqualifiers     = []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opt_out_channels  = []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thread_id         = "thread_cto_main"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recipient_role    = "cto"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available_signals = {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 "other_active_thread": "thread_cfo",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 "backend_needs": true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}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# thread_cfo context (NOT available to CTO thread):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# {"budget_freeze": "Q2 budget freeze — CFO instructed hiring pause"}</w:t>
      </w:r>
    </w:p>
    <w:p/>
    <w:p>
      <w:pPr>
        <w:spacing w:after="80"/>
        <w:ind w:left="0"/>
      </w:pPr>
      <w:r>
        <w:rPr>
          <w:b/>
          <w:i w:val="0"/>
          <w:color w:val="AA0000"/>
          <w:sz w:val="18"/>
        </w:rPr>
        <w:t>CANDIDATE OUTPUT (REJECTED — partial credit: answers the question but leaks CFO data)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"Regarding backend needs — and noting the Q2 budget freeze your CFO mentioned —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our contract model might be especially flexible for your situation."</w:t>
      </w:r>
    </w:p>
    <w:p/>
    <w:p>
      <w:pPr>
        <w:spacing w:after="80"/>
        <w:ind w:left="0"/>
      </w:pPr>
      <w:r>
        <w:rPr>
          <w:b/>
          <w:i w:val="0"/>
          <w:sz w:val="18"/>
        </w:rPr>
        <w:t>MECHANICAL SCORING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Field Value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1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disqualifiers[]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[]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no disqualifier</w:t>
            </w:r>
          </w:p>
        </w:tc>
      </w:tr>
      <w:tr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2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opt_out_channels[]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[]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no opt-out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3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headcount &gt;= 2000?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PASS — below threshold</w:t>
            </w:r>
          </w:p>
        </w:tc>
      </w:tr>
      <w:tr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Rule 4 [TRIGGER]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SIGNAL-GROUNDING CHECK: does output reference a string not present in thread_cto_main.available_signals?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"Q2 budget freeze" -&gt; NOT in thread_cto_main signals.</w:t>
              <w:br/>
              <w:t>Present only in thread_cfo (out of scope for this reply).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color w:val="CC0000"/>
                <w:sz w:val="16"/>
              </w:rPr>
              <w:t>BLOCK — cross-thread contamination detected. Rule 4 fires.</w:t>
            </w:r>
          </w:p>
        </w:tc>
      </w:tr>
      <w:tr>
        <w:tc>
          <w:tcPr>
            <w:tcW w:type="dxa" w:w="3784"/>
            <w:shd w:val="clear" w:color="auto" w:fill="FFF8E0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NOTE</w:t>
            </w:r>
          </w:p>
        </w:tc>
        <w:tc>
          <w:tcPr>
            <w:tcW w:type="dxa" w:w="3784"/>
            <w:shd w:val="clear" w:color="auto" w:fill="FFF8E0"/>
          </w:tcPr>
          <w:p>
            <w:pPr>
              <w:jc w:val="left"/>
            </w:pPr>
            <w:r/>
            <w:r>
              <w:rPr>
                <w:b w:val="0"/>
                <w:i/>
                <w:sz w:val="16"/>
              </w:rPr>
              <w:t>Rules 5-7 NOT evaluated — Rule 4 is the terminal trigger here. The output is substantively helpful (backend focus is correct) but must still be blocked because it leaks out-of-scope information.</w:t>
            </w:r>
          </w:p>
        </w:tc>
        <w:tc>
          <w:tcPr>
            <w:tcW w:type="dxa" w:w="3784"/>
            <w:shd w:val="clear" w:color="auto" w:fill="FFF8E0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784"/>
            <w:shd w:val="clear" w:color="auto" w:fill="FFF8E0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784"/>
            <w:shd w:val="clear" w:color="auto" w:fill="CC000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VERDICT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BLOCK — Rule 4 fires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Final score: 0.05</w:t>
            </w:r>
          </w:p>
        </w:tc>
        <w:tc>
          <w:tcPr>
            <w:tcW w:type="dxa" w:w="3784"/>
            <w:shd w:val="clear" w:color="auto" w:fill="E8FF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Chosen: "Regarding your backend engineering needs: we have three senior engineers available." Score: 0.95</w:t>
            </w:r>
          </w:p>
        </w:tc>
      </w:tr>
      <w:tr>
        <w:tc>
          <w:tcPr>
            <w:tcW w:type="dxa" w:w="3784"/>
            <w:shd w:val="clear" w:color="auto" w:fill="FF880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PARTIAL CREDIT</w:t>
            </w:r>
          </w:p>
        </w:tc>
        <w:tc>
          <w:tcPr>
            <w:tcW w:type="dxa" w:w="3784"/>
            <w:shd w:val="clear" w:color="auto" w:fill="FFF0E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The output earns partial conceptual credit for addressing the correct topic (backend). It earns zero judge credit because the thread-isolation rule is binary: any out-of-scope reference = BLOCK, regardless of otherwise correct framing.</w:t>
            </w:r>
          </w:p>
        </w:tc>
        <w:tc>
          <w:tcPr>
            <w:tcW w:type="dxa" w:w="3784"/>
            <w:shd w:val="clear" w:color="auto" w:fill="FFF0E0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784"/>
            <w:shd w:val="clear" w:color="auto" w:fill="FFF0E0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</w:r>
          </w:p>
        </w:tc>
      </w:tr>
    </w:tbl>
    <w:p/>
    <w:p>
      <w:pPr>
        <w:spacing w:after="80"/>
        <w:ind w:left="0"/>
      </w:pPr>
      <w:r>
        <w:rPr>
          <w:b/>
          <w:i w:val="0"/>
          <w:sz w:val="18"/>
        </w:rPr>
        <w:t>JUDGE CALL — Rule 4 (Thread Isolation)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Model: openai/gpt-4o-mini via OpenRouter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Prompt fragment: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CONTEXT: {thread_id: "thread_cto_main",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        available_signals: {other_active_thread: "thread_cfo", backend_needs: true}}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DRAFT: "...noting the Q2 budget freeze your CFO mentioned..."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Rule 4: Does the output reference any information not present in the current thread's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       available_signals? Respond: {decision, confidence, evidence}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>Response: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{"decision": "BLOCK", "confidence": 0.97,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"evidence": "Q2 budget freeze is not in thread_cto_main.available_signals.</w:t>
      </w:r>
    </w:p>
    <w:p>
      <w:pPr>
        <w:spacing w:after="40"/>
        <w:ind w:left="283"/>
      </w:pPr>
      <w:r>
        <w:rPr>
          <w:rFonts w:ascii="Courier New" w:hAnsi="Courier New"/>
          <w:sz w:val="16"/>
        </w:rPr>
        <w:t xml:space="preserve">               It originates from thread_cfo which is out of scope for this reply."}</w:t>
      </w:r>
    </w:p>
    <w:p>
      <w:pPr>
        <w:spacing w:after="80"/>
      </w:pPr>
      <w:r>
        <w:rPr>
          <w:b/>
          <w:color w:val="1A1A2E"/>
          <w:sz w:val="18"/>
        </w:rPr>
        <w:t xml:space="preserve">Score breakdown:  </w:t>
      </w:r>
      <w:r>
        <w:rPr>
          <w:sz w:val="18"/>
        </w:rPr>
        <w:t>Rules 1-3: all PASS (deterministic, no API calls, $0.00 cost). Rule 4 judge call: BLOCK (score=0.05, confidence=0.97). Terminal. This example demonstrates the evaluator discriminating on a subtle violation that a surface-level quality check would miss.</w:t>
      </w:r>
    </w:p>
    <w:p>
      <w:r>
        <w:br w:type="page"/>
      </w:r>
    </w:p>
    <w:p>
      <w:pPr>
        <w:pStyle w:val="Heading1"/>
        <w:spacing w:before="160" w:after="80"/>
      </w:pPr>
      <w:r>
        <w:rPr>
          <w:sz w:val="28"/>
        </w:rPr>
        <w:t>4.  Honest Status Assessment and Forward Plan</w:t>
      </w:r>
    </w:p>
    <w:p>
      <w:pPr>
        <w:pStyle w:val="Heading2"/>
        <w:spacing w:before="160" w:after="80"/>
      </w:pPr>
      <w:r>
        <w:rPr>
          <w:sz w:val="24"/>
        </w:rPr>
        <w:t>4.1  What Is Working (with evidence)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504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504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Concrete Evidence</w:t>
            </w:r>
          </w:p>
        </w:tc>
      </w:tr>
      <w:tr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Dataset v0.1</w:t>
            </w:r>
          </w:p>
        </w:tc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Complete</w:t>
            </w:r>
          </w:p>
        </w:tc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323 pairs, train=214, dev=99, held_out=10. contamination_report.json: passed=True, total_violations=0 (8-gram n-gram, pair_id uniqueness, probe isolation).</w:t>
            </w:r>
          </w:p>
        </w:tc>
      </w:tr>
      <w:tr>
        <w:tc>
          <w:tcPr>
            <w:tcW w:type="dxa" w:w="5046"/>
            <w:shd w:val="clear" w:color="auto" w:fill="F0FFF0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Multi-LLM synthesis</w:t>
            </w:r>
          </w:p>
        </w:tc>
        <w:tc>
          <w:tcPr>
            <w:tcW w:type="dxa" w:w="5046"/>
            <w:shd w:val="clear" w:color="auto" w:fill="F0FFF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Complete — 100% pass</w:t>
            </w:r>
          </w:p>
        </w:tc>
        <w:tc>
          <w:tcPr>
            <w:tcW w:type="dxa" w:w="5046"/>
            <w:shd w:val="clear" w:color="auto" w:fill="F0FFF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120/120 pairs accepted by judge filter (gpt-4o-mini, threshold=0.8). Pass rate 100.0% across all 10 probes. Both deepseek/deepseek-chat and meta-llama/llama-3.1-70b-instruct contributed 60 pairs each.</w:t>
            </w:r>
          </w:p>
        </w:tc>
      </w:tr>
      <w:tr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Judge inference wrapper</w:t>
            </w:r>
          </w:p>
        </w:tc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Functional</w:t>
            </w:r>
          </w:p>
        </w:tc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scoring_evaluator.py calls gpt-4o-mini via OpenRouter. CLI commands 'score' and 'evaluate' both execute. Rule 1 deterministic check confirmed: A07-003 returns BLOCK, score=0.00.</w:t>
            </w:r>
          </w:p>
        </w:tc>
      </w:tr>
      <w:tr>
        <w:tc>
          <w:tcPr>
            <w:tcW w:type="dxa" w:w="5046"/>
            <w:shd w:val="clear" w:color="auto" w:fill="F0FFF0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DPO training config</w:t>
            </w:r>
          </w:p>
        </w:tc>
        <w:tc>
          <w:tcPr>
            <w:tcW w:type="dxa" w:w="5046"/>
            <w:shd w:val="clear" w:color="auto" w:fill="F0FFF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Ready</w:t>
            </w:r>
          </w:p>
        </w:tc>
        <w:tc>
          <w:tcPr>
            <w:tcW w:type="dxa" w:w="5046"/>
            <w:shd w:val="clear" w:color="auto" w:fill="F0FFF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training/config.yaml: base=unsloth/llama-3-8b-bnb-4bit, LoRA r=16, beta=0.1, lr=2e-4, T4-compatible (fp16, adamw_8bit). train_judge.py syntax-checked and importable.</w:t>
            </w:r>
          </w:p>
        </w:tc>
      </w:tr>
      <w:tr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Budget utilisation</w:t>
            </w:r>
          </w:p>
        </w:tc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$0.00 of $10.00 spent</w:t>
            </w:r>
          </w:p>
        </w:tc>
        <w:tc>
          <w:tcPr>
            <w:tcW w:type="dxa" w:w="504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All 203 base pairs generated at $0.00 (modes 1, 2, 4). Multi-LLM synthesis cost logged in cost_log.csv. $2.00 reserved for held-out evaluation (est. ~300 judge calls at $0.0006 = $0.18 actual).</w:t>
            </w:r>
          </w:p>
        </w:tc>
      </w:tr>
      <w:tr>
        <w:tc>
          <w:tcPr>
            <w:tcW w:type="dxa" w:w="5046"/>
            <w:shd w:val="clear" w:color="auto" w:fill="FFF8E0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Inter-rater agreement</w:t>
            </w:r>
          </w:p>
        </w:tc>
        <w:tc>
          <w:tcPr>
            <w:tcW w:type="dxa" w:w="5046"/>
            <w:shd w:val="clear" w:color="auto" w:fill="FFE0A0"/>
          </w:tcPr>
          <w:p>
            <w:pPr>
              <w:jc w:val="center"/>
            </w:pPr>
            <w:r/>
            <w:r>
              <w:rPr>
                <w:b/>
                <w:i w:val="0"/>
                <w:color w:val="CC7700"/>
                <w:sz w:val="16"/>
              </w:rPr>
              <w:t>NOT YET RUN</w:t>
            </w:r>
          </w:p>
        </w:tc>
        <w:tc>
          <w:tcPr>
            <w:tcW w:type="dxa" w:w="5046"/>
            <w:shd w:val="clear" w:color="auto" w:fill="FFF8E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Protocol and dimensions documented in Section 2. Second-annotator pass (GPT-4o) scheduled Day 4.</w:t>
            </w:r>
          </w:p>
        </w:tc>
      </w:tr>
    </w:tbl>
    <w:p>
      <w:pPr>
        <w:pStyle w:val="Heading2"/>
        <w:spacing w:before="160" w:after="80"/>
      </w:pPr>
      <w:r>
        <w:rPr>
          <w:sz w:val="24"/>
        </w:rPr>
        <w:t>4.2  What Is Not Working or At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Issue</w:t>
            </w:r>
          </w:p>
        </w:tc>
        <w:tc>
          <w:tcPr>
            <w:tcW w:type="dxa" w:w="504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504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Honest Assessment</w:t>
            </w:r>
          </w:p>
        </w:tc>
      </w:tr>
      <w:tr>
        <w:tc>
          <w:tcPr>
            <w:tcW w:type="dxa" w:w="5046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DPO training not yet run</w:t>
            </w:r>
          </w:p>
        </w:tc>
        <w:tc>
          <w:tcPr>
            <w:tcW w:type="dxa" w:w="5046"/>
            <w:shd w:val="clear" w:color="auto" w:fill="FFE8E8"/>
          </w:tcPr>
          <w:p>
            <w:pPr>
              <w:jc w:val="center"/>
            </w:pPr>
            <w:r/>
            <w:r>
              <w:rPr>
                <w:b/>
                <w:i w:val="0"/>
                <w:color w:val="CC0000"/>
                <w:sz w:val="16"/>
              </w:rPr>
              <w:t>HIGH</w:t>
            </w:r>
          </w:p>
        </w:tc>
        <w:tc>
          <w:tcPr>
            <w:tcW w:type="dxa" w:w="5046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No convergence evidence exists. training/train_judge.py is written and syntax-valid but untested end-to-end. Unknown: whether Unsloth installs cleanly on current Colab runtime, and whether 214 train pairs are sufficient for measurable DPO loss decrease within 3 epochs.</w:t>
            </w:r>
          </w:p>
        </w:tc>
      </w:tr>
      <w:tr>
        <w:tc>
          <w:tcPr>
            <w:tcW w:type="dxa" w:w="5046"/>
            <w:shd w:val="clear" w:color="auto" w:fill="FFF8E0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held_out partition undersized (3.1% vs 20% target)</w:t>
            </w:r>
          </w:p>
        </w:tc>
        <w:tc>
          <w:tcPr>
            <w:tcW w:type="dxa" w:w="5046"/>
            <w:shd w:val="clear" w:color="auto" w:fill="FFF8E0"/>
          </w:tcPr>
          <w:p>
            <w:pPr>
              <w:jc w:val="center"/>
            </w:pPr>
            <w:r/>
            <w:r>
              <w:rPr>
                <w:b/>
                <w:i w:val="0"/>
                <w:color w:val="CC7700"/>
                <w:sz w:val="16"/>
              </w:rPr>
              <w:t>MEDIUM</w:t>
            </w:r>
          </w:p>
        </w:tc>
        <w:tc>
          <w:tcPr>
            <w:tcW w:type="dxa" w:w="5046"/>
            <w:shd w:val="clear" w:color="auto" w:fill="FFF8E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10 pairs is sufficient for probe-coverage verification but not for statistical significance testing (alpha=0.05 requires n&gt;=30 per class). Ablation results will be directional only, not statistically conclusive.</w:t>
            </w:r>
          </w:p>
        </w:tc>
      </w:tr>
      <w:tr>
        <w:tc>
          <w:tcPr>
            <w:tcW w:type="dxa" w:w="5046"/>
            <w:shd w:val="clear" w:color="auto" w:fill="FFF8E0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IRA not yet executed</w:t>
            </w:r>
          </w:p>
        </w:tc>
        <w:tc>
          <w:tcPr>
            <w:tcW w:type="dxa" w:w="5046"/>
            <w:shd w:val="clear" w:color="auto" w:fill="FFF8E0"/>
          </w:tcPr>
          <w:p>
            <w:pPr>
              <w:jc w:val="center"/>
            </w:pPr>
            <w:r/>
            <w:r>
              <w:rPr>
                <w:b/>
                <w:i w:val="0"/>
                <w:color w:val="CC7700"/>
                <w:sz w:val="16"/>
              </w:rPr>
              <w:t>MEDIUM</w:t>
            </w:r>
          </w:p>
        </w:tc>
        <w:tc>
          <w:tcPr>
            <w:tcW w:type="dxa" w:w="5046"/>
            <w:shd w:val="clear" w:color="auto" w:fill="FFF8E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Cannot confirm kappa &gt;= 0.80 for Rules 4-7. The label quality for soft-signal pairs (D05, E02) is assumed to be high based on rule clarity, but this is unverified. Risk: if kappa &lt; 0.80, training must be delayed for rubric revision.</w:t>
            </w:r>
          </w:p>
        </w:tc>
      </w:tr>
      <w:tr>
        <w:tc>
          <w:tcPr>
            <w:tcW w:type="dxa" w:w="5046"/>
            <w:shd w:val="clear" w:color="auto" w:fill="FFF8E0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All-1.00 synthesis scores</w:t>
            </w:r>
          </w:p>
        </w:tc>
        <w:tc>
          <w:tcPr>
            <w:tcW w:type="dxa" w:w="5046"/>
            <w:shd w:val="clear" w:color="auto" w:fill="FFF8E0"/>
          </w:tcPr>
          <w:p>
            <w:pPr>
              <w:jc w:val="center"/>
            </w:pPr>
            <w:r/>
            <w:r>
              <w:rPr>
                <w:b/>
                <w:i w:val="0"/>
                <w:color w:val="CC7700"/>
                <w:sz w:val="16"/>
              </w:rPr>
              <w:t>LOW-MEDIUM</w:t>
            </w:r>
          </w:p>
        </w:tc>
        <w:tc>
          <w:tcPr>
            <w:tcW w:type="dxa" w:w="5046"/>
            <w:shd w:val="clear" w:color="auto" w:fill="FFF8E0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120/120 pairs scored 1.00 by the judge filter — zero variance. This may indicate the judge filter is not discriminating hard enough (threshold too easy) rather than the pairs being genuinely perfect. Risk: multi-LLM pairs may contain subtle template repetition not caught by the n-gram check.</w:t>
            </w:r>
          </w:p>
        </w:tc>
      </w:tr>
    </w:tbl>
    <w:p>
      <w:pPr>
        <w:pStyle w:val="Heading2"/>
        <w:spacing w:before="160" w:after="80"/>
      </w:pPr>
      <w:r>
        <w:rPr>
          <w:sz w:val="24"/>
        </w:rPr>
        <w:t>4.3  Forward Plan — Days 4 to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Day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Task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Deliverable / Script</w:t>
            </w:r>
          </w:p>
        </w:tc>
        <w:tc>
          <w:tcPr>
            <w:tcW w:type="dxa" w:w="37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Priority / Budget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Day 4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Run IRA pass: sample 30 pairs (3 per probe), second-annotate with GPT-4o, compute Cohen's kappa per dimension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generation_scripts/inter_rater_agreement.md</w:t>
              <w:br/>
              <w:t>scoring_evaluator.py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| est. ~$0.02 (100 judge calls)</w:t>
            </w:r>
          </w:p>
        </w:tc>
      </w:tr>
      <w:tr>
        <w:tc>
          <w:tcPr>
            <w:tcW w:type="dxa" w:w="3784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Day 4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Apply rubric clarifications for D1-D3 disagreement zones if kappa &lt; 0.80 on any dimension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Update rationale fields in pairs.jsonl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| $0.00</w:t>
            </w:r>
          </w:p>
        </w:tc>
      </w:tr>
      <w:tr>
        <w:tc>
          <w:tcPr>
            <w:tcW w:type="dxa" w:w="3784"/>
            <w:shd w:val="clear" w:color="auto" w:fill="FFE8E8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Day 5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DPO training on Colab T4: install Unsloth, run train_judge.py --config config.yaml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training/judge_adapter/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CRITICAL | $0.00 (free Colab)</w:t>
            </w:r>
          </w:p>
        </w:tc>
      </w:tr>
      <w:tr>
        <w:tc>
          <w:tcPr>
            <w:tcW w:type="dxa" w:w="3784"/>
            <w:shd w:val="clear" w:color="auto" w:fill="FFE8E8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Day 5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Monitor training loss curve: check epoch-1 loss vs initial loss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training/training_run.log</w:t>
            </w:r>
          </w:p>
        </w:tc>
        <w:tc>
          <w:tcPr>
            <w:tcW w:type="dxa" w:w="3784"/>
            <w:shd w:val="clear" w:color="auto" w:fill="FFE8E8"/>
          </w:tcPr>
          <w:p>
            <w:pPr>
              <w:jc w:val="left"/>
            </w:pPr>
            <w:r/>
            <w:r>
              <w:rPr>
                <w:b/>
                <w:i w:val="0"/>
                <w:sz w:val="16"/>
              </w:rPr>
              <w:t>CRITICAL | see kill criterion below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Day 5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If training diverges: pivot to GPT-4o-mini as production judge (fallback)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evaluator/scoring_evaluator.py already functional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CONTINGENCY</w:t>
            </w:r>
          </w:p>
        </w:tc>
      </w:tr>
      <w:tr>
        <w:tc>
          <w:tcPr>
            <w:tcW w:type="dxa" w:w="3784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Day 6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Unseal held_out split: run judge on 10 held-out pairs, record per-probe accuracy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ablations/ablation_results.json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| est. ~$0.02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Day 6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A/B ablation: DPO judge vs GPT-4o-mini-only judge vs no-judge baseline on dev set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ablations/statistical_test.py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MEDIUM | est. ~$0.05</w:t>
            </w:r>
          </w:p>
        </w:tc>
      </w:tr>
      <w:tr>
        <w:tc>
          <w:tcPr>
            <w:tcW w:type="dxa" w:w="3784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Day 7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Publish LoRA adapter and dataset to HuggingFace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training/judge_adapter/ + datasheet.md</w:t>
            </w:r>
          </w:p>
        </w:tc>
        <w:tc>
          <w:tcPr>
            <w:tcW w:type="dxa" w:w="3784"/>
            <w:shd w:val="clear" w:color="auto" w:fill="F8F8F8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MEDIUM | $0.00</w:t>
            </w:r>
          </w:p>
        </w:tc>
      </w:tr>
      <w:tr>
        <w:tc>
          <w:tcPr>
            <w:tcW w:type="dxa" w:w="37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Day 7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Update README with training results, kappa results, ablation delta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README.md</w:t>
            </w:r>
          </w:p>
        </w:tc>
        <w:tc>
          <w:tcPr>
            <w:tcW w:type="dxa" w:w="37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MEDIUM | $0.00</w:t>
            </w:r>
          </w:p>
        </w:tc>
      </w:tr>
    </w:tbl>
    <w:p/>
    <w:p>
      <w:pPr>
        <w:pStyle w:val="Heading2"/>
        <w:spacing w:before="160" w:after="80"/>
      </w:pPr>
      <w:r>
        <w:rPr>
          <w:sz w:val="24"/>
        </w:rPr>
        <w:t>4.4  Kill Criterion and Pivot Trigger for Day 5 Training</w:t>
      </w:r>
    </w:p>
    <w:p>
      <w:pPr>
        <w:spacing w:after="80"/>
        <w:ind w:left="0"/>
      </w:pPr>
      <w:r>
        <w:rPr>
          <w:b w:val="0"/>
          <w:i w:val="0"/>
          <w:sz w:val="20"/>
        </w:rPr>
        <w:t>The brief specifies a 30-minute training window. At batch size 2 with gradient accumulation 4 (effective batch 8) and 214 training pairs, epoch 1 is approximately 27 steps. At the end of epoch 1 (step 27, approximately 8 minutes into training), the following check is applied:</w:t>
      </w:r>
    </w:p>
    <w:p>
      <w:pPr>
        <w:spacing w:after="80"/>
      </w:pPr>
      <w:r>
        <w:rPr>
          <w:b/>
          <w:color w:val="CC0000"/>
          <w:sz w:val="20"/>
        </w:rPr>
        <w:t xml:space="preserve">KILL CRITERION:  </w:t>
      </w:r>
      <w:r>
        <w:rPr>
          <w:sz w:val="20"/>
        </w:rPr>
        <w:t>If training loss at step 27 has not decreased by at least 10% relative to the initial loss (step 1), training is terminated. A flat or increasing loss curve indicates either a learning-rate problem or an instability in the DPO objective (likely beta too low or chosen/rejected outputs too similar in embedding space).</w:t>
      </w:r>
    </w:p>
    <w:p>
      <w:pPr>
        <w:spacing w:after="80"/>
      </w:pPr>
      <w:r>
        <w:rPr>
          <w:b/>
          <w:color w:val="CC7700"/>
          <w:sz w:val="20"/>
        </w:rPr>
        <w:t xml:space="preserve">PIVOT PLAN A — Hyperparameter adjustment:  </w:t>
      </w:r>
      <w:r>
        <w:rPr>
          <w:sz w:val="20"/>
        </w:rPr>
        <w:t>Reduce lr from 2e-4 to 5e-5, increase beta from 0.1 to 0.3 (reduces KL over-constraint), re-run training. Budget: one additional Colab session (~30 min), $0.00.</w:t>
      </w:r>
    </w:p>
    <w:p>
      <w:pPr>
        <w:spacing w:after="80"/>
      </w:pPr>
      <w:r>
        <w:rPr>
          <w:b/>
          <w:color w:val="004488"/>
          <w:sz w:val="20"/>
        </w:rPr>
        <w:t xml:space="preserve">PIVOT PLAN B — Fallback to GPT-4o-mini as production judge:  </w:t>
      </w:r>
      <w:r>
        <w:rPr>
          <w:sz w:val="20"/>
        </w:rPr>
        <w:t>evaluator/scoring_evaluator.py is already fully functional and achieved a 100% pass rate filtering the 120 multi-LLM pairs. If DPO training fails to converge by end of Day 5, the production judge will be the GPT-4o-mini prompt-based evaluator. The LoRA adapter target is dropped; the Week 11 submission documents the decision transparently.</w:t>
      </w:r>
    </w:p>
    <w:p>
      <w:pPr>
        <w:spacing w:after="80"/>
      </w:pPr>
      <w:r>
        <w:rPr>
          <w:b/>
          <w:color w:val="1A1A2E"/>
          <w:sz w:val="20"/>
        </w:rPr>
        <w:t xml:space="preserve">BUDGET ENVELOPE:  </w:t>
      </w:r>
      <w:r>
        <w:rPr>
          <w:sz w:val="20"/>
        </w:rPr>
        <w:t>Spent to date: $0.0000. Reserved for eval-tier (held_out + ablations): $0.10 (300 GPT-4o-mini calls). IRA pass: $0.02. Total projected spend: ${total_cost + 0.12:.2f} of $10.00. No scenario exists in which the $10 budget is breached.</w:t>
      </w:r>
    </w:p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6"/>
        </w:rPr>
        <w:t>Generated 2026-04-29  |  tenacious-bench v0.1  |  Path B — DPO Judge  |  bethelhem@10academy.org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