
<file path=[Content_Types].xml><?xml version="1.0" encoding="utf-8"?>
<Types xmlns="http://schemas.openxmlformats.org/package/2006/content-types">
  <Default ContentType="application/xml" Extension="xml"/>
  <Default ContentType="application/vnd.openxmlformats-officedocument.obfuscatedFont" Extension="odttf"/>
  <Default ContentType="application/vnd.openxmlformats-package.relationships+xml" Extension="rels"/>
  <Override ContentType="application/vnd.openxmlformats-officedocument.wordprocessingml.settings+xml" PartName="/word/settings.xml"/>
  <Override ContentType="application/vnd.openxmlformats-officedocument.wordprocessingml.styles+xml" PartName="/word/styles.xml"/>
  <Override ContentType="application/vnd.openxmlformats-officedocument.wordprocessingml.fontTable+xml" PartName="/word/fontTable.xml"/>
  <Override ContentType="application/vnd.openxmlformats-officedocument.wordprocessingml.numbering+xml" PartName="/word/numbering.xml"/>
  <Override ContentType="application/vnd.openxmlformats-officedocument.wordprocessingml.document.main+xml" PartName="/word/document.xml"/>
  <Override ContentType="application/vnd.openxmlformats-officedocument.theme+xml" PartName="/word/theme/theme1.xml"/>
</Types>
</file>

<file path=_rels/.rels><?xml version="1.0" encoding="UTF-8" standalone="yes"?><Relationships xmlns="http://schemas.openxmlformats.org/package/2006/relationships"><Relationship Id="rId1" Type="http://schemas.openxmlformats.org/officeDocument/2006/relationships/officeDocument" Target="word/document.xml"/></Relationships>
</file>

<file path=word/document.xml><?xml version="1.0" encoding="utf-8"?>
<w:document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body>
    <w:p w:rsidR="00000000" w:rsidDel="00000000" w:rsidP="00000000" w:rsidRDefault="00000000" w:rsidRPr="00000000" w14:paraId="00000001">
      <w:pPr>
        <w:jc w:val="center"/>
        <w:rPr>
          <w:b w:val="1"/>
          <w:bCs w:val="1"/>
        </w:rPr>
      </w:pPr>
      <w:r w:rsidDel="00000000" w:rsidR="00000000" w:rsidRPr="00000000">
        <w:rPr>
          <w:b w:val="1"/>
          <w:bCs w:val="1"/>
          <w:rtl w:val="0"/>
        </w:rPr>
        <w:t xml:space="preserve">WISCONSIN UPDATED</w:t>
      </w:r>
    </w:p>
    <w:p w:rsidR="00000000" w:rsidDel="00000000" w:rsidP="00000000" w:rsidRDefault="00000000" w:rsidRPr="00000000" w14:paraId="00000002">
      <w:pPr>
        <w:jc w:val="center"/>
        <w:rPr>
          <w:b w:val="1"/>
          <w:bCs w:val="1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3">
      <w:pPr>
        <w:pStyle w:val="Heading3"/>
        <w:keepNext w:val="0"/>
        <w:keepLines w:val="0"/>
        <w:spacing w:before="280" w:lineRule="auto"/>
        <w:rPr>
          <w:b w:val="1"/>
          <w:bCs w:val="1"/>
          <w:color w:val="000000"/>
          <w:sz w:val="26"/>
          <w:szCs w:val="26"/>
        </w:rPr>
      </w:pPr>
      <w:bookmarkStart w:colFirst="0" w:colLast="0" w:name="_yjq6xyfpk7d0" w:id="0"/>
      <w:bookmarkEnd w:id="0"/>
      <w:r w:rsidDel="00000000" w:rsidR="00000000" w:rsidRPr="00000000">
        <w:rPr>
          <w:b w:val="1"/>
          <w:bCs w:val="1"/>
          <w:color w:val="000000"/>
          <w:sz w:val="26"/>
          <w:szCs w:val="26"/>
          <w:rtl w:val="0"/>
        </w:rPr>
        <w:t xml:space="preserve">Analysis of Results</w:t>
      </w:r>
    </w:p>
    <w:p w:rsidR="00000000" w:rsidDel="00000000" w:rsidP="00000000" w:rsidRDefault="00000000" w:rsidRPr="00000000" w14:paraId="00000004">
      <w:pPr>
        <w:numPr>
          <w:ilvl w:val="0"/>
          <w:numId w:val="1"/>
        </w:numPr>
        <w:spacing w:after="0" w:afterAutospacing="0" w:before="240" w:lineRule="auto"/>
        <w:ind w:left="720" w:hanging="360"/>
        <w:rPr>
          <w:b w:val="1"/>
          <w:bCs w:val="1"/>
        </w:rPr>
      </w:pPr>
      <w:r w:rsidDel="00000000" w:rsidR="00000000" w:rsidRPr="00000000">
        <w:rPr>
          <w:b w:val="1"/>
          <w:bCs w:val="1"/>
          <w:rtl w:val="0"/>
        </w:rPr>
        <w:t xml:space="preserve">Before Balancing</w:t>
      </w:r>
    </w:p>
    <w:p w:rsidR="00000000" w:rsidDel="00000000" w:rsidP="00000000" w:rsidRDefault="00000000" w:rsidRPr="00000000" w14:paraId="00000005">
      <w:pPr>
        <w:numPr>
          <w:ilvl w:val="1"/>
          <w:numId w:val="1"/>
        </w:numPr>
        <w:spacing w:after="0" w:afterAutospacing="0" w:before="0" w:beforeAutospacing="0" w:lineRule="auto"/>
        <w:ind w:left="1440" w:hanging="360"/>
        <w:rPr/>
      </w:pPr>
      <w:r w:rsidDel="00000000" w:rsidR="00000000" w:rsidRPr="00000000">
        <w:rPr>
          <w:rtl w:val="0"/>
        </w:rPr>
        <w:t xml:space="preserve">Accuracy: 97%</w:t>
      </w:r>
    </w:p>
    <w:p w:rsidR="00000000" w:rsidDel="00000000" w:rsidP="00000000" w:rsidRDefault="00000000" w:rsidRPr="00000000" w14:paraId="00000006">
      <w:pPr>
        <w:numPr>
          <w:ilvl w:val="1"/>
          <w:numId w:val="1"/>
        </w:numPr>
        <w:spacing w:after="0" w:afterAutospacing="0" w:before="0" w:beforeAutospacing="0" w:lineRule="auto"/>
        <w:ind w:left="1440" w:hanging="360"/>
        <w:rPr/>
      </w:pPr>
      <w:r w:rsidDel="00000000" w:rsidR="00000000" w:rsidRPr="00000000">
        <w:rPr>
          <w:rtl w:val="0"/>
        </w:rPr>
        <w:t xml:space="preserve">Confusion Matrix:</w:t>
      </w:r>
    </w:p>
    <w:p w:rsidR="00000000" w:rsidDel="00000000" w:rsidP="00000000" w:rsidRDefault="00000000" w:rsidRPr="00000000" w14:paraId="00000007">
      <w:pPr>
        <w:numPr>
          <w:ilvl w:val="2"/>
          <w:numId w:val="1"/>
        </w:numPr>
        <w:spacing w:after="0" w:afterAutospacing="0" w:before="0" w:beforeAutospacing="0" w:lineRule="auto"/>
        <w:ind w:left="2160" w:hanging="360"/>
        <w:rPr/>
      </w:pPr>
      <w:r w:rsidDel="00000000" w:rsidR="00000000" w:rsidRPr="00000000">
        <w:rPr>
          <w:rtl w:val="0"/>
        </w:rPr>
        <w:t xml:space="preserve">2 False Negatives (FN)</w:t>
      </w:r>
    </w:p>
    <w:p w:rsidR="00000000" w:rsidDel="00000000" w:rsidP="00000000" w:rsidRDefault="00000000" w:rsidRPr="00000000" w14:paraId="00000008">
      <w:pPr>
        <w:numPr>
          <w:ilvl w:val="2"/>
          <w:numId w:val="1"/>
        </w:numPr>
        <w:spacing w:after="0" w:afterAutospacing="0" w:before="0" w:beforeAutospacing="0" w:lineRule="auto"/>
        <w:ind w:left="2160" w:hanging="360"/>
        <w:rPr/>
      </w:pPr>
      <w:r w:rsidDel="00000000" w:rsidR="00000000" w:rsidRPr="00000000">
        <w:rPr>
          <w:rtl w:val="0"/>
        </w:rPr>
        <w:t xml:space="preserve">1 False Positive (FP)</w:t>
      </w:r>
    </w:p>
    <w:p w:rsidR="00000000" w:rsidDel="00000000" w:rsidP="00000000" w:rsidRDefault="00000000" w:rsidRPr="00000000" w14:paraId="00000009">
      <w:pPr>
        <w:numPr>
          <w:ilvl w:val="1"/>
          <w:numId w:val="1"/>
        </w:numPr>
        <w:spacing w:after="0" w:afterAutospacing="0" w:before="0" w:beforeAutospacing="0" w:lineRule="auto"/>
        <w:ind w:left="1440" w:hanging="360"/>
        <w:rPr/>
      </w:pPr>
      <w:r w:rsidDel="00000000" w:rsidR="00000000" w:rsidRPr="00000000">
        <w:rPr>
          <w:rtl w:val="0"/>
        </w:rPr>
        <w:t xml:space="preserve">Precision &amp; Recall:</w:t>
      </w:r>
    </w:p>
    <w:p w:rsidR="00000000" w:rsidDel="00000000" w:rsidP="00000000" w:rsidRDefault="00000000" w:rsidRPr="00000000" w14:paraId="0000000A">
      <w:pPr>
        <w:numPr>
          <w:ilvl w:val="2"/>
          <w:numId w:val="1"/>
        </w:numPr>
        <w:spacing w:after="0" w:afterAutospacing="0" w:before="0" w:beforeAutospacing="0" w:lineRule="auto"/>
        <w:ind w:left="2160" w:hanging="360"/>
        <w:rPr/>
      </w:pPr>
      <w:r w:rsidDel="00000000" w:rsidR="00000000" w:rsidRPr="00000000">
        <w:rPr>
          <w:rtl w:val="0"/>
        </w:rPr>
        <w:t xml:space="preserve">Benign (0): Precision: 0.97, Recall: 0.99</w:t>
      </w:r>
    </w:p>
    <w:p w:rsidR="00000000" w:rsidDel="00000000" w:rsidP="00000000" w:rsidRDefault="00000000" w:rsidRPr="00000000" w14:paraId="0000000B">
      <w:pPr>
        <w:numPr>
          <w:ilvl w:val="2"/>
          <w:numId w:val="1"/>
        </w:numPr>
        <w:spacing w:after="240" w:before="0" w:beforeAutospacing="0" w:lineRule="auto"/>
        <w:ind w:left="2160" w:hanging="360"/>
        <w:rPr/>
      </w:pPr>
      <w:r w:rsidDel="00000000" w:rsidR="00000000" w:rsidRPr="00000000">
        <w:rPr>
          <w:rtl w:val="0"/>
        </w:rPr>
        <w:t xml:space="preserve">Malignant (1): Precision: 0.98, Recall: 0.95</w:t>
      </w:r>
    </w:p>
    <w:p w:rsidR="00000000" w:rsidDel="00000000" w:rsidP="00000000" w:rsidRDefault="00000000" w:rsidRPr="00000000" w14:paraId="0000000C">
      <w:pPr>
        <w:spacing w:after="240" w:before="240" w:lineRule="auto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D">
      <w:pPr>
        <w:numPr>
          <w:ilvl w:val="0"/>
          <w:numId w:val="1"/>
        </w:numPr>
        <w:spacing w:after="240" w:before="240" w:lineRule="auto"/>
        <w:ind w:left="720" w:hanging="360"/>
        <w:rPr>
          <w:b w:val="1"/>
          <w:bCs w:val="1"/>
        </w:rPr>
      </w:pPr>
      <w:r w:rsidDel="00000000" w:rsidR="00000000" w:rsidRPr="00000000">
        <w:rPr>
          <w:b w:val="1"/>
          <w:bCs w:val="1"/>
          <w:rtl w:val="0"/>
        </w:rPr>
        <w:t xml:space="preserve">After Balancing</w:t>
      </w:r>
      <w:r w:rsidDel="00000000" w:rsidR="00000000" w:rsidRPr="00000000">
        <w:rPr>
          <w:rtl w:val="0"/>
        </w:rPr>
      </w:r>
    </w:p>
    <w:tbl>
      <w:tblPr>
        <w:tblStyle w:val="Table1"/>
        <w:tblW w:w="7190.0" w:type="dxa"/>
        <w:jc w:val="left"/>
        <w:tblBorders>
          <w:top w:color="000000" w:space="0" w:sz="0" w:val="nil"/>
          <w:left w:color="000000" w:space="0" w:sz="0" w:val="nil"/>
          <w:bottom w:color="000000" w:space="0" w:sz="0" w:val="nil"/>
          <w:right w:color="000000" w:space="0" w:sz="0" w:val="nil"/>
          <w:insideH w:color="000000" w:space="0" w:sz="0" w:val="nil"/>
          <w:insideV w:color="000000" w:space="0" w:sz="0" w:val="nil"/>
        </w:tblBorders>
        <w:tblLayout w:type="fixed"/>
        <w:tblLook w:val="0600"/>
      </w:tblPr>
      <w:tblGrid>
        <w:gridCol w:w="2465"/>
        <w:gridCol w:w="1205"/>
        <w:gridCol w:w="1715"/>
        <w:gridCol w:w="1805"/>
        <w:tblGridChange w:id="0">
          <w:tblGrid>
            <w:gridCol w:w="2465"/>
            <w:gridCol w:w="1205"/>
            <w:gridCol w:w="1715"/>
            <w:gridCol w:w="1805"/>
          </w:tblGrid>
        </w:tblGridChange>
      </w:tblGrid>
      <w:tr>
        <w:trPr>
          <w:cantSplit w:val="0"/>
          <w:trHeight w:val="500" w:hRule="atLeast"/>
          <w:tblHeader w:val="0"/>
        </w:trPr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0E">
            <w:pPr>
              <w:spacing w:after="240" w:before="240" w:lineRule="auto"/>
              <w:jc w:val="left"/>
              <w:rPr>
                <w:u w:val="single"/>
              </w:rPr>
            </w:pPr>
            <w:r w:rsidDel="00000000" w:rsidR="00000000" w:rsidRPr="00000000">
              <w:rPr>
                <w:u w:val="single"/>
                <w:rtl w:val="0"/>
              </w:rPr>
              <w:t xml:space="preserve">Model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0F">
            <w:pPr>
              <w:spacing w:after="240" w:before="240" w:lineRule="auto"/>
              <w:jc w:val="left"/>
              <w:rPr>
                <w:u w:val="single"/>
              </w:rPr>
            </w:pPr>
            <w:r w:rsidDel="00000000" w:rsidR="00000000" w:rsidRPr="00000000">
              <w:rPr>
                <w:u w:val="single"/>
                <w:rtl w:val="0"/>
              </w:rPr>
              <w:t xml:space="preserve">Accuracy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10">
            <w:pPr>
              <w:spacing w:after="240" w:before="240" w:lineRule="auto"/>
              <w:jc w:val="center"/>
              <w:rPr>
                <w:u w:val="single"/>
              </w:rPr>
            </w:pPr>
            <w:r w:rsidDel="00000000" w:rsidR="00000000" w:rsidRPr="00000000">
              <w:rPr>
                <w:u w:val="single"/>
                <w:rtl w:val="0"/>
              </w:rPr>
              <w:t xml:space="preserve">False Positives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11">
            <w:pPr>
              <w:spacing w:after="240" w:before="240" w:lineRule="auto"/>
              <w:jc w:val="center"/>
              <w:rPr>
                <w:u w:val="single"/>
              </w:rPr>
            </w:pPr>
            <w:r w:rsidDel="00000000" w:rsidR="00000000" w:rsidRPr="00000000">
              <w:rPr>
                <w:u w:val="single"/>
                <w:rtl w:val="0"/>
              </w:rPr>
              <w:t xml:space="preserve">False Negatives</w:t>
            </w:r>
          </w:p>
        </w:tc>
      </w:tr>
      <w:tr>
        <w:trPr>
          <w:cantSplit w:val="0"/>
          <w:trHeight w:val="500" w:hRule="atLeast"/>
          <w:tblHeader w:val="0"/>
        </w:trPr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12">
            <w:pPr>
              <w:spacing w:after="240" w:before="240" w:lineRule="auto"/>
              <w:rPr/>
            </w:pPr>
            <w:r w:rsidDel="00000000" w:rsidR="00000000" w:rsidRPr="00000000">
              <w:rPr>
                <w:b w:val="1"/>
                <w:bCs w:val="1"/>
                <w:rtl w:val="0"/>
              </w:rPr>
              <w:t xml:space="preserve">Logistic Regression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13">
            <w:pPr>
              <w:spacing w:after="240" w:before="240" w:lineRule="auto"/>
              <w:rPr/>
            </w:pPr>
            <w:r w:rsidDel="00000000" w:rsidR="00000000" w:rsidRPr="00000000">
              <w:rPr>
                <w:rtl w:val="0"/>
              </w:rPr>
              <w:t xml:space="preserve">95.8%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14">
            <w:pPr>
              <w:spacing w:after="240" w:before="240" w:lineRule="auto"/>
              <w:rPr/>
            </w:pPr>
            <w:r w:rsidDel="00000000" w:rsidR="00000000" w:rsidRPr="00000000">
              <w:rPr>
                <w:rtl w:val="0"/>
              </w:rPr>
              <w:t xml:space="preserve">2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15">
            <w:pPr>
              <w:spacing w:after="240" w:before="240" w:lineRule="auto"/>
              <w:rPr/>
            </w:pPr>
            <w:r w:rsidDel="00000000" w:rsidR="00000000" w:rsidRPr="00000000">
              <w:rPr>
                <w:rtl w:val="0"/>
              </w:rPr>
              <w:t xml:space="preserve">4</w:t>
            </w:r>
          </w:p>
        </w:tc>
      </w:tr>
      <w:tr>
        <w:trPr>
          <w:cantSplit w:val="0"/>
          <w:trHeight w:val="500" w:hRule="atLeast"/>
          <w:tblHeader w:val="0"/>
        </w:trPr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16">
            <w:pPr>
              <w:spacing w:after="240" w:before="240" w:lineRule="auto"/>
              <w:rPr/>
            </w:pPr>
            <w:r w:rsidDel="00000000" w:rsidR="00000000" w:rsidRPr="00000000">
              <w:rPr>
                <w:b w:val="1"/>
                <w:bCs w:val="1"/>
                <w:rtl w:val="0"/>
              </w:rPr>
              <w:t xml:space="preserve">MLP Neural Network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17">
            <w:pPr>
              <w:spacing w:after="240" w:before="240" w:lineRule="auto"/>
              <w:rPr/>
            </w:pPr>
            <w:r w:rsidDel="00000000" w:rsidR="00000000" w:rsidRPr="00000000">
              <w:rPr>
                <w:rtl w:val="0"/>
              </w:rPr>
              <w:t xml:space="preserve">99.3%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18">
            <w:pPr>
              <w:spacing w:after="240" w:before="240" w:lineRule="auto"/>
              <w:rPr/>
            </w:pPr>
            <w:r w:rsidDel="00000000" w:rsidR="00000000" w:rsidRPr="00000000">
              <w:rPr>
                <w:rtl w:val="0"/>
              </w:rPr>
              <w:t xml:space="preserve">1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19">
            <w:pPr>
              <w:spacing w:after="240" w:before="240" w:lineRule="auto"/>
              <w:rPr/>
            </w:pPr>
            <w:r w:rsidDel="00000000" w:rsidR="00000000" w:rsidRPr="00000000">
              <w:rPr>
                <w:rtl w:val="0"/>
              </w:rPr>
              <w:t xml:space="preserve">0</w:t>
            </w:r>
          </w:p>
        </w:tc>
      </w:tr>
    </w:tbl>
    <w:p w:rsidR="00000000" w:rsidDel="00000000" w:rsidP="00000000" w:rsidRDefault="00000000" w:rsidRPr="00000000" w14:paraId="0000001A">
      <w:pPr>
        <w:spacing w:after="240" w:before="240" w:lineRule="auto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B">
      <w:pPr>
        <w:rPr>
          <w:b w:val="1"/>
          <w:bCs w:val="1"/>
        </w:rPr>
      </w:pPr>
      <w:r w:rsidDel="00000000" w:rsidR="00000000" w:rsidRPr="00000000">
        <w:rPr>
          <w:rtl w:val="0"/>
        </w:rPr>
      </w:r>
    </w:p>
    <w:sectPr>
      <w:pgSz w:h="15840" w:w="12240" w:orient="portrait"/>
      <w:pgMar w:bottom="1440" w:top="1440" w:left="1440" w:right="1440" w:header="720" w:footer="720"/>
      <w:pgNumType w:start="1"/>
    </w:sectPr>
  </w:body>
</w:document>
</file>

<file path=word/fontTable.xml><?xml version="1.0" encoding="utf-8"?>
<w:font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font w:name="Arial"/>
</w:fonts>
</file>

<file path=word/numbering.xml><?xml version="1.0" encoding="utf-8"?>
<w:numbering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abstractNum w:abstractNumId="1">
    <w:lvl w:ilvl="0">
      <w:start w:val="1"/>
      <w:numFmt w:val="decimal"/>
      <w:lvlText w:val="%1.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decimal"/>
      <w:lvlText w:val="%4."/>
      <w:lvlJc w:val="left"/>
      <w:pPr>
        <w:ind w:left="2880" w:hanging="360"/>
      </w:pPr>
      <w:rPr>
        <w:u w:val="none"/>
      </w:rPr>
    </w:lvl>
    <w:lvl w:ilvl="4">
      <w:start w:val="1"/>
      <w:numFmt w:val="lowerLetter"/>
      <w:lvlText w:val="%5."/>
      <w:lvlJc w:val="left"/>
      <w:pPr>
        <w:ind w:left="3600" w:hanging="360"/>
      </w:pPr>
      <w:rPr>
        <w:u w:val="none"/>
      </w:rPr>
    </w:lvl>
    <w:lvl w:ilvl="5">
      <w:start w:val="1"/>
      <w:numFmt w:val="lowerRoman"/>
      <w:lvlText w:val="%6."/>
      <w:lvlJc w:val="left"/>
      <w:pPr>
        <w:ind w:left="4320" w:hanging="360"/>
      </w:pPr>
      <w:rPr>
        <w:u w:val="none"/>
      </w:rPr>
    </w:lvl>
    <w:lvl w:ilvl="6">
      <w:start w:val="1"/>
      <w:numFmt w:val="decimal"/>
      <w:lvlText w:val="%7."/>
      <w:lvlJc w:val="left"/>
      <w:pPr>
        <w:ind w:left="5040" w:hanging="360"/>
      </w:pPr>
      <w:rPr>
        <w:u w:val="none"/>
      </w:rPr>
    </w:lvl>
    <w:lvl w:ilvl="7">
      <w:start w:val="1"/>
      <w:numFmt w:val="lowerLetter"/>
      <w:lvlText w:val="%8."/>
      <w:lvlJc w:val="left"/>
      <w:pPr>
        <w:ind w:left="5760" w:hanging="360"/>
      </w:pPr>
      <w:rPr>
        <w:u w:val="none"/>
      </w:rPr>
    </w:lvl>
    <w:lvl w:ilvl="8">
      <w:start w:val="1"/>
      <w:numFmt w:val="lowerRoman"/>
      <w:lvlText w:val="%9."/>
      <w:lvlJc w:val="left"/>
      <w:pPr>
        <w:ind w:left="6480" w:hanging="360"/>
      </w:pPr>
      <w:rPr>
        <w:u w:val="none"/>
      </w:rPr>
    </w:lvl>
  </w:abstractNum>
  <w:num w:numId="1">
    <w:abstractNumId w:val="1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embedTrueTypeFonts w:val="1"/>
  <w:defaultTabStop w:val="720"/>
  <w:compat>
    <w:compatSetting w:val="15" w:name="compatibilityMode" w:uri="http://schemas.microsoft.com/office/word"/>
  </w:compat>
  <w:clrSchemeMapping w:bg1="light1" w:t1="dark1" w:bg2="light2" w:t2="dark2" w:accent1="accent1" w:accent2="accent2" w:accent3="accent3" w:accent4="accent4" w:accent5="accent5" w:accent6="accent6" w:hyperlink="hyperlink" w:followedHyperlink="followedHyperlink"/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docDefaults>
    <w:rPrDefault>
      <w:rPr>
        <w:rFonts w:ascii="Arial" w:cs="Arial" w:eastAsia="Arial" w:hAnsi="Arial"/>
        <w:sz w:val="22"/>
        <w:szCs w:val="22"/>
        <w:lang w:val="en"/>
      </w:rPr>
    </w:rPrDefault>
    <w:pPrDefault>
      <w:pPr>
        <w:spacing w:line="276" w:lineRule="auto"/>
      </w:pPr>
    </w:pPrDefault>
  </w:docDefaults>
  <w:style w:type="table" w:styleId="TableNormal" w:default="1">
    <w:name w:val="TableNormal"/>
    <w:tblPr>
      <w:tblCellMar>
        <w:top w:w="100.0" w:type="dxa"/>
        <w:left w:w="100.0" w:type="dxa"/>
        <w:bottom w:w="100.0" w:type="dxa"/>
        <w:right w:w="100.0" w:type="dxa"/>
      </w:tblCellMar>
    </w:tblPr>
  </w:style>
  <w:style w:type="paragraph" w:styleId="Normal" w:default="1">
    <w:name w:val="normal"/>
  </w:style>
  <w:style w:type="paragraph" w:styleId="Heading1">
    <w:name w:val="heading 1"/>
    <w:basedOn w:val="Normal"/>
    <w:next w:val="Normal"/>
    <w:pPr>
      <w:keepNext w:val="1"/>
      <w:keepLines w:val="1"/>
      <w:pageBreakBefore w:val="0"/>
      <w:spacing w:after="120" w:before="400" w:lineRule="auto"/>
    </w:pPr>
    <w:rPr>
      <w:sz w:val="40"/>
      <w:szCs w:val="40"/>
    </w:rPr>
  </w:style>
  <w:style w:type="paragraph" w:styleId="Heading2">
    <w:name w:val="heading 2"/>
    <w:basedOn w:val="Normal"/>
    <w:next w:val="Normal"/>
    <w:pPr>
      <w:keepNext w:val="1"/>
      <w:keepLines w:val="1"/>
      <w:pageBreakBefore w:val="0"/>
      <w:spacing w:after="120" w:before="360" w:lineRule="auto"/>
    </w:pPr>
    <w:rPr>
      <w:b w:val="0"/>
      <w:bCs w:val="0"/>
      <w:sz w:val="32"/>
      <w:szCs w:val="32"/>
    </w:rPr>
  </w:style>
  <w:style w:type="paragraph" w:styleId="Heading3">
    <w:name w:val="heading 3"/>
    <w:basedOn w:val="Normal"/>
    <w:next w:val="Normal"/>
    <w:pPr>
      <w:keepNext w:val="1"/>
      <w:keepLines w:val="1"/>
      <w:pageBreakBefore w:val="0"/>
      <w:spacing w:after="80" w:before="320" w:lineRule="auto"/>
    </w:pPr>
    <w:rPr>
      <w:b w:val="0"/>
      <w:bCs w:val="0"/>
      <w:color w:val="434343"/>
      <w:sz w:val="28"/>
      <w:szCs w:val="28"/>
    </w:rPr>
  </w:style>
  <w:style w:type="paragraph" w:styleId="Heading4">
    <w:name w:val="heading 4"/>
    <w:basedOn w:val="Normal"/>
    <w:next w:val="Normal"/>
    <w:pPr>
      <w:keepNext w:val="1"/>
      <w:keepLines w:val="1"/>
      <w:pageBreakBefore w:val="0"/>
      <w:spacing w:after="80" w:before="280" w:lineRule="auto"/>
    </w:pPr>
    <w:rPr>
      <w:color w:val="666666"/>
      <w:sz w:val="24"/>
      <w:szCs w:val="24"/>
    </w:rPr>
  </w:style>
  <w:style w:type="paragraph" w:styleId="Heading5">
    <w:name w:val="heading 5"/>
    <w:basedOn w:val="Normal"/>
    <w:next w:val="Normal"/>
    <w:pPr>
      <w:keepNext w:val="1"/>
      <w:keepLines w:val="1"/>
      <w:pageBreakBefore w:val="0"/>
      <w:spacing w:after="80" w:before="240" w:lineRule="auto"/>
    </w:pPr>
    <w:rPr>
      <w:color w:val="666666"/>
      <w:sz w:val="22"/>
      <w:szCs w:val="22"/>
    </w:rPr>
  </w:style>
  <w:style w:type="paragraph" w:styleId="Heading6">
    <w:name w:val="heading 6"/>
    <w:basedOn w:val="Normal"/>
    <w:next w:val="Normal"/>
    <w:pPr>
      <w:keepNext w:val="1"/>
      <w:keepLines w:val="1"/>
      <w:pageBreakBefore w:val="0"/>
      <w:spacing w:after="80" w:before="240" w:lineRule="auto"/>
    </w:pPr>
    <w:rPr>
      <w:i w:val="1"/>
      <w:iCs w:val="1"/>
      <w:color w:val="666666"/>
      <w:sz w:val="22"/>
      <w:szCs w:val="22"/>
    </w:rPr>
  </w:style>
  <w:style w:type="paragraph" w:styleId="Title">
    <w:name w:val="Title"/>
    <w:basedOn w:val="Normal"/>
    <w:next w:val="Normal"/>
    <w:pPr>
      <w:keepNext w:val="1"/>
      <w:keepLines w:val="1"/>
      <w:pageBreakBefore w:val="0"/>
      <w:spacing w:after="60" w:before="0" w:lineRule="auto"/>
    </w:pPr>
    <w:rPr>
      <w:sz w:val="52"/>
      <w:szCs w:val="52"/>
    </w:rPr>
  </w:style>
  <w:style w:type="paragraph" w:styleId="Subtitle">
    <w:name w:val="Subtitle"/>
    <w:basedOn w:val="Normal"/>
    <w:next w:val="Normal"/>
    <w:pPr>
      <w:keepNext w:val="1"/>
      <w:keepLines w:val="1"/>
      <w:pageBreakBefore w:val="0"/>
      <w:spacing w:after="320" w:before="0" w:lineRule="auto"/>
    </w:pPr>
    <w:rPr>
      <w:rFonts w:ascii="Arial" w:cs="Arial" w:eastAsia="Arial" w:hAnsi="Arial"/>
      <w:i w:val="0"/>
      <w:iCs w:val="0"/>
      <w:color w:val="666666"/>
      <w:sz w:val="30"/>
      <w:szCs w:val="30"/>
    </w:rPr>
  </w:style>
  <w:style w:type="table" w:styleId="Table1">
    <w:basedOn w:val="TableNormal"/>
    <w:tblPr>
      <w:tblStyleRowBandSize w:val="1"/>
      <w:tblStyleColBandSize w:val="1"/>
      <w:tblCellMar/>
    </w:tblPr>
  </w:style>
</w:styles>
</file>

<file path=word/_rels/document.xml.rels><?xml version="1.0" encoding="UTF-8" standalone="yes"?><Relationships xmlns="http://schemas.openxmlformats.org/package/2006/relationships"><Relationship Id="rId1" Type="http://schemas.openxmlformats.org/officeDocument/2006/relationships/theme" Target="theme/theme1.xml"/><Relationship Id="rId2" Type="http://schemas.openxmlformats.org/officeDocument/2006/relationships/settings" Target="settings.xml"/><Relationship Id="rId3" Type="http://schemas.openxmlformats.org/officeDocument/2006/relationships/fontTable" Target="fontTable.xml"/><Relationship Id="rId4" Type="http://schemas.openxmlformats.org/officeDocument/2006/relationships/numbering" Target="numbering.xml"/><Relationship Id="rId5" Type="http://schemas.openxmlformats.org/officeDocument/2006/relationships/styles" Target="style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