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Workforce Summary: Non-Billable</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35</w:t>
            </w:r>
          </w:p>
          <w:p>
            <w:pPr>
              <w:spacing w:after="0" w:before="0" w:line="240"/>
              <w:jc w:val="center"/>
            </w:pPr>
            <w:r>
              <w:rPr>
                <w:rFonts w:ascii="Calibri" w:cs="Calibri" w:eastAsia="Calibri" w:hAnsi="Calibri"/>
                <w:b/>
                <w:bCs/>
                <w:i w:val="false"/>
                <w:iCs w:val="false"/>
                <w:color w:val="5B6472"/>
                <w:spacing w:val="20"/>
                <w:sz w:val="13"/>
                <w:szCs w:val="13"/>
              </w:rPr>
              <w:t xml:space="preserve">OPEN REQS</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41</w:t>
            </w:r>
          </w:p>
          <w:p>
            <w:pPr>
              <w:spacing w:after="0" w:before="0" w:line="240"/>
              <w:jc w:val="center"/>
            </w:pPr>
            <w:r>
              <w:rPr>
                <w:rFonts w:ascii="Calibri" w:cs="Calibri" w:eastAsia="Calibri" w:hAnsi="Calibri"/>
                <w:b/>
                <w:bCs/>
                <w:i w:val="false"/>
                <w:iCs w:val="false"/>
                <w:color w:val="5B6472"/>
                <w:spacing w:val="20"/>
                <w:sz w:val="13"/>
                <w:szCs w:val="13"/>
              </w:rPr>
              <w:t xml:space="preserve">CLOSED REQS (JUL–AUG)</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21</w:t>
            </w:r>
          </w:p>
          <w:p>
            <w:pPr>
              <w:spacing w:after="0" w:before="0" w:line="240"/>
              <w:jc w:val="center"/>
            </w:pPr>
            <w:r>
              <w:rPr>
                <w:rFonts w:ascii="Calibri" w:cs="Calibri" w:eastAsia="Calibri" w:hAnsi="Calibri"/>
                <w:b/>
                <w:bCs/>
                <w:i w:val="false"/>
                <w:iCs w:val="false"/>
                <w:color w:val="5B6472"/>
                <w:spacing w:val="20"/>
                <w:sz w:val="13"/>
                <w:szCs w:val="13"/>
              </w:rPr>
              <w:t xml:space="preserve">TERMINATIONS (JUL–AUG)</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13</w:t>
            </w:r>
          </w:p>
          <w:p>
            <w:pPr>
              <w:spacing w:after="0" w:before="0" w:line="240"/>
              <w:jc w:val="center"/>
            </w:pPr>
            <w:r>
              <w:rPr>
                <w:rFonts w:ascii="Calibri" w:cs="Calibri" w:eastAsia="Calibri" w:hAnsi="Calibri"/>
                <w:b/>
                <w:bCs/>
                <w:i w:val="false"/>
                <w:iCs w:val="false"/>
                <w:color w:val="5B6472"/>
                <w:spacing w:val="20"/>
                <w:sz w:val="13"/>
                <w:szCs w:val="13"/>
              </w:rPr>
              <w:t xml:space="preserve">PENDING STARTS</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40</w:t>
            </w:r>
          </w:p>
          <w:p>
            <w:pPr>
              <w:spacing w:after="0" w:before="0" w:line="240"/>
              <w:jc w:val="center"/>
            </w:pPr>
            <w:r>
              <w:rPr>
                <w:rFonts w:ascii="Calibri" w:cs="Calibri" w:eastAsia="Calibri" w:hAnsi="Calibri"/>
                <w:b/>
                <w:bCs/>
                <w:i w:val="false"/>
                <w:iCs w:val="false"/>
                <w:color w:val="5B6472"/>
                <w:spacing w:val="20"/>
                <w:sz w:val="13"/>
                <w:szCs w:val="13"/>
              </w:rPr>
              <w:t xml:space="preserve">COMING OPEN (ANTICIPATED)</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Activity by Department / Program</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3300"/>
              <w:gridCol w:w="1050"/>
              <w:gridCol w:w="1050"/>
              <w:gridCol w:w="1050"/>
              <w:gridCol w:w="1050"/>
            </w:tblGrid>
            <w:tr>
              <w:trPr>
                <w:tblHeader/>
              </w:trPr>
              <w:tc>
                <w:tcPr>
                  <w:tcW w:type="dxa" w:w="33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Department / Program</w:t>
                  </w:r>
                </w:p>
              </w:tc>
              <w:tc>
                <w:tcPr>
                  <w:tcW w:type="dxa" w:w="10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Open</w:t>
                  </w:r>
                </w:p>
              </w:tc>
              <w:tc>
                <w:tcPr>
                  <w:tcW w:type="dxa" w:w="10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Closed</w:t>
                  </w:r>
                </w:p>
              </w:tc>
              <w:tc>
                <w:tcPr>
                  <w:tcW w:type="dxa" w:w="10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Terms</w:t>
                  </w:r>
                </w:p>
              </w:tc>
              <w:tc>
                <w:tcPr>
                  <w:tcW w:type="dxa" w:w="10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Coming Open</w:t>
                  </w:r>
                </w:p>
              </w:tc>
            </w:tr>
            <w:tr>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Project Management Org</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13</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14</w:t>
                  </w:r>
                </w:p>
              </w:tc>
            </w:tr>
            <w:tr>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Development</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12</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r>
            <w:tr>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Product</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9</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r>
            <w:tr>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Account Management</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13</w:t>
                  </w:r>
                </w:p>
              </w:tc>
            </w:tr>
            <w:tr>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Data &amp; Reporting</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r>
            <w:tr>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Enterprise Data</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r>
            <w:tr>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Architecture &amp; DevOps</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r>
            <w:tr>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Marketing</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r>
            <w:tr>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Quality &amp; Release Mngmt</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w:t>
                  </w:r>
                </w:p>
              </w:tc>
              <w:tc>
                <w:tcPr>
                  <w:tcW w:type="dxa" w:w="10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r>
            <w:tr>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Other depts (5)*</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c>
                <w:tcPr>
                  <w:tcW w:type="dxa" w:w="10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Pipeline at a Glance</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Coming Open</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221"/>
                    <w:gridCol w:w="79"/>
                  </w:tblGrid>
                  <w:tr>
                    <w:trPr>
                      <w:trHeight w:val="150" w:hRule="exact"/>
                    </w:trPr>
                    <w:tc>
                      <w:tcPr>
                        <w:tcW w:type="dxa" w:w="3221"/>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79"/>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40</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Closed (Jul–Aug)</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2E9E5B"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41</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Open Now</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818"/>
                    <w:gridCol w:w="482"/>
                  </w:tblGrid>
                  <w:tr>
                    <w:trPr>
                      <w:trHeight w:val="150" w:hRule="exact"/>
                    </w:trPr>
                    <w:tc>
                      <w:tcPr>
                        <w:tcW w:type="dxa" w:w="2818"/>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48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35</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Terms (Jul–Aug)</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690"/>
                    <w:gridCol w:w="1610"/>
                  </w:tblGrid>
                  <w:tr>
                    <w:trPr>
                      <w:trHeight w:val="150" w:hRule="exact"/>
                    </w:trPr>
                    <w:tc>
                      <w:tcPr>
                        <w:tcW w:type="dxa" w:w="1690"/>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61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21</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Pending Starts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046"/>
                    <w:gridCol w:w="2254"/>
                  </w:tblGrid>
                  <w:tr>
                    <w:trPr>
                      <w:trHeight w:val="150" w:hRule="exact"/>
                    </w:trPr>
                    <w:tc>
                      <w:tcPr>
                        <w:tcW w:type="dxa" w:w="1046"/>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254"/>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13</w:t>
                  </w:r>
                </w:p>
              </w:tc>
            </w:tr>
          </w:tbl>
          <w:p>
            <w:pPr>
              <w:spacing w:after="0" w:before="120" w:line="240"/>
              <w:jc w:val="left"/>
            </w:pPr>
            <w:r>
              <w:rPr>
                <w:rFonts w:ascii="Calibri" w:cs="Calibri" w:eastAsia="Calibri" w:hAnsi="Calibri"/>
                <w:b w:val="false"/>
                <w:bCs w:val="false"/>
                <w:i w:val="false"/>
                <w:iCs w:val="false"/>
                <w:color w:val="6B7480"/>
                <w:sz w:val="15"/>
                <w:szCs w:val="15"/>
              </w:rPr>
              <w:t xml:space="preserve">Closed reqs (41) run roughly 2.0x terminations (21) over the same period. Full-year closed volume (Jan–Aug) is 169 reqs.</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The org is net-adding headcount: 41 reqs closed vs. 21 terminations in July–August, plus 13 accepted offers starting in August. Project Management Org is busiest across every stage (open, closed, terms, and future demand), while Development and Product show heavy closing activity against light current openings, meaning recent demand there is largely satisfied. Account Management and Project Management Org carry the most anticipated future demand (13 and 14 of the 40 coming-open positions).</w:t>
            </w:r>
          </w:p>
        </w:tc>
      </w:tr>
    </w:tbl>
    <w:p>
      <w:pPr>
        <w:spacing w:after="0" w:before="120" w:line="200"/>
        <w:jc w:val="left"/>
      </w:pPr>
      <w:r>
        <w:rPr>
          <w:rFonts w:ascii="Calibri" w:cs="Calibri" w:eastAsia="Calibri" w:hAnsi="Calibri"/>
          <w:b w:val="false"/>
          <w:bCs w:val="false"/>
          <w:i w:val="false"/>
          <w:iCs w:val="false"/>
          <w:color w:val="A3AAB6"/>
          <w:sz w:val="12"/>
          <w:szCs w:val="12"/>
        </w:rPr>
        <w:t xml:space="preserve">*Other departments: Infrastructure &amp; Telecom, Human Resources, Finance, Allazo Technology, Executive Leadership, Internal Systems (1-2 reqs each, across categories). Closed reqs and terminations reflect July–August 2026; Open, Pending Starts, and Coming Open reflect the August 11, 2026 snapshot.</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Open Non-Billable Requisitions</w:t>
      </w:r>
    </w:p>
    <w:p>
      <w:pPr>
        <w:spacing w:after="140" w:before="0" w:line="240"/>
        <w:jc w:val="left"/>
      </w:pPr>
      <w:r>
        <w:rPr>
          <w:rFonts w:ascii="Calibri" w:cs="Calibri" w:eastAsia="Calibri" w:hAnsi="Calibri"/>
          <w:b w:val="false"/>
          <w:bCs w:val="false"/>
          <w:i w:val="false"/>
          <w:iCs w:val="false"/>
          <w:color w:val="6B7480"/>
          <w:sz w:val="18"/>
          <w:szCs w:val="18"/>
        </w:rPr>
        <w:t xml:space="preserve">Data as of August 11, 2026  ·  Req Status: Open  ·  Billable Type: Non-Billable</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35</w:t>
            </w:r>
          </w:p>
          <w:p>
            <w:pPr>
              <w:spacing w:after="0" w:before="0" w:line="240"/>
              <w:jc w:val="center"/>
            </w:pPr>
            <w:r>
              <w:rPr>
                <w:rFonts w:ascii="Calibri" w:cs="Calibri" w:eastAsia="Calibri" w:hAnsi="Calibri"/>
                <w:b/>
                <w:bCs/>
                <w:i w:val="false"/>
                <w:iCs w:val="false"/>
                <w:color w:val="5B6472"/>
                <w:spacing w:val="20"/>
                <w:sz w:val="13"/>
                <w:szCs w:val="13"/>
              </w:rPr>
              <w:t xml:space="preserve">OPEN REQS</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18 / 17</w:t>
            </w:r>
          </w:p>
          <w:p>
            <w:pPr>
              <w:spacing w:after="0" w:before="0" w:line="240"/>
              <w:jc w:val="center"/>
            </w:pPr>
            <w:r>
              <w:rPr>
                <w:rFonts w:ascii="Calibri" w:cs="Calibri" w:eastAsia="Calibri" w:hAnsi="Calibri"/>
                <w:b/>
                <w:bCs/>
                <w:i w:val="false"/>
                <w:iCs w:val="false"/>
                <w:color w:val="5B6472"/>
                <w:spacing w:val="20"/>
                <w:sz w:val="13"/>
                <w:szCs w:val="13"/>
              </w:rPr>
              <w:t xml:space="preserve">NEW / BACKFILL</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w:t>
            </w:r>
          </w:p>
          <w:p>
            <w:pPr>
              <w:spacing w:after="0" w:before="0" w:line="240"/>
              <w:jc w:val="center"/>
            </w:pPr>
            <w:r>
              <w:rPr>
                <w:rFonts w:ascii="Calibri" w:cs="Calibri" w:eastAsia="Calibri" w:hAnsi="Calibri"/>
                <w:b/>
                <w:bCs/>
                <w:i w:val="false"/>
                <w:iCs w:val="false"/>
                <w:color w:val="5B6472"/>
                <w:spacing w:val="20"/>
                <w:sz w:val="13"/>
                <w:szCs w:val="13"/>
              </w:rPr>
              <w:t xml:space="preserve">LEADERS WITH OPEN DEMAND</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11</w:t>
            </w:r>
          </w:p>
          <w:p>
            <w:pPr>
              <w:spacing w:after="0" w:before="0" w:line="240"/>
              <w:jc w:val="center"/>
            </w:pPr>
            <w:r>
              <w:rPr>
                <w:rFonts w:ascii="Calibri" w:cs="Calibri" w:eastAsia="Calibri" w:hAnsi="Calibri"/>
                <w:b/>
                <w:bCs/>
                <w:i w:val="false"/>
                <w:iCs w:val="false"/>
                <w:color w:val="5B6472"/>
                <w:spacing w:val="20"/>
                <w:sz w:val="13"/>
                <w:szCs w:val="13"/>
              </w:rPr>
              <w:t xml:space="preserve">DEPARTMENTS REPRESENTED</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13</w:t>
            </w:r>
          </w:p>
          <w:p>
            <w:pPr>
              <w:spacing w:after="0" w:before="0" w:line="240"/>
              <w:jc w:val="center"/>
            </w:pPr>
            <w:r>
              <w:rPr>
                <w:rFonts w:ascii="Calibri" w:cs="Calibri" w:eastAsia="Calibri" w:hAnsi="Calibri"/>
                <w:b/>
                <w:bCs/>
                <w:i w:val="false"/>
                <w:iCs w:val="false"/>
                <w:color w:val="5B6472"/>
                <w:spacing w:val="20"/>
                <w:sz w:val="13"/>
                <w:szCs w:val="13"/>
              </w:rPr>
              <w:t xml:space="preserve">PENDING STARTS</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Open Reqs by Department / Program</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5100"/>
              <w:gridCol w:w="2400"/>
            </w:tblGrid>
            <w:tr>
              <w:trPr>
                <w:tblHeader/>
              </w:trPr>
              <w:tc>
                <w:tcPr>
                  <w:tcW w:type="dxa" w:w="51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Department / Program</w:t>
                  </w:r>
                </w:p>
              </w:tc>
              <w:tc>
                <w:tcPr>
                  <w:tcW w:type="dxa" w:w="24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Open Reqs</w:t>
                  </w:r>
                </w:p>
              </w:tc>
            </w:tr>
            <w:tr>
              <w:tc>
                <w:tcPr>
                  <w:tcW w:type="dxa" w:w="5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Project Management Org</w:t>
                  </w:r>
                </w:p>
              </w:tc>
              <w:tc>
                <w:tcPr>
                  <w:tcW w:type="dxa" w:w="2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13</w:t>
                  </w:r>
                </w:p>
              </w:tc>
            </w:tr>
            <w:tr>
              <w:tc>
                <w:tcPr>
                  <w:tcW w:type="dxa" w:w="5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Development</w:t>
                  </w:r>
                </w:p>
              </w:tc>
              <w:tc>
                <w:tcPr>
                  <w:tcW w:type="dxa" w:w="2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r>
            <w:tr>
              <w:tc>
                <w:tcPr>
                  <w:tcW w:type="dxa" w:w="5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Enterprise Data</w:t>
                  </w:r>
                </w:p>
              </w:tc>
              <w:tc>
                <w:tcPr>
                  <w:tcW w:type="dxa" w:w="2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w:t>
                  </w:r>
                </w:p>
              </w:tc>
            </w:tr>
            <w:tr>
              <w:tc>
                <w:tcPr>
                  <w:tcW w:type="dxa" w:w="5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Data &amp; Reporting</w:t>
                  </w:r>
                </w:p>
              </w:tc>
              <w:tc>
                <w:tcPr>
                  <w:tcW w:type="dxa" w:w="2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r>
            <w:tr>
              <w:tc>
                <w:tcPr>
                  <w:tcW w:type="dxa" w:w="5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Product</w:t>
                  </w:r>
                </w:p>
              </w:tc>
              <w:tc>
                <w:tcPr>
                  <w:tcW w:type="dxa" w:w="2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r>
            <w:tr>
              <w:tc>
                <w:tcPr>
                  <w:tcW w:type="dxa" w:w="5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Quality &amp; Release Mngmt</w:t>
                  </w:r>
                </w:p>
              </w:tc>
              <w:tc>
                <w:tcPr>
                  <w:tcW w:type="dxa" w:w="2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w:t>
                  </w:r>
                </w:p>
              </w:tc>
            </w:tr>
            <w:tr>
              <w:tc>
                <w:tcPr>
                  <w:tcW w:type="dxa" w:w="5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Other departments (5, 1 each)*</w:t>
                  </w:r>
                </w:p>
              </w:tc>
              <w:tc>
                <w:tcPr>
                  <w:tcW w:type="dxa" w:w="2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w:t>
                  </w:r>
                </w:p>
              </w:tc>
            </w:tr>
            <w:tr>
              <w:tc>
                <w:tcPr>
                  <w:tcW w:type="dxa" w:w="51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w:t>
                  </w:r>
                </w:p>
              </w:tc>
              <w:tc>
                <w:tcPr>
                  <w:tcW w:type="dxa" w:w="24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35</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Open Reqs by Leader</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Jackie Britt</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14</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Lynn Mettler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14</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Nick Wilbar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944"/>
                    <w:gridCol w:w="2356"/>
                  </w:tblGrid>
                  <w:tr>
                    <w:trPr>
                      <w:trHeight w:val="150" w:hRule="exact"/>
                    </w:trPr>
                    <w:tc>
                      <w:tcPr>
                        <w:tcW w:type="dxa" w:w="944"/>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356"/>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Stacey Little</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706"/>
                    <w:gridCol w:w="2594"/>
                  </w:tblGrid>
                  <w:tr>
                    <w:trPr>
                      <w:trHeight w:val="150" w:hRule="exact"/>
                    </w:trPr>
                    <w:tc>
                      <w:tcPr>
                        <w:tcW w:type="dxa" w:w="706"/>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594"/>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w:t>
                  </w:r>
                </w:p>
              </w:tc>
            </w:tr>
          </w:tbl>
          <w:p>
            <w:pPr>
              <w:spacing w:after="0" w:before="120" w:line="240"/>
              <w:jc w:val="left"/>
            </w:pPr>
            <w:r>
              <w:rPr>
                <w:rFonts w:ascii="Calibri" w:cs="Calibri" w:eastAsia="Calibri" w:hAnsi="Calibri"/>
                <w:b w:val="false"/>
                <w:bCs w:val="false"/>
                <w:i w:val="false"/>
                <w:iCs w:val="false"/>
                <w:color w:val="6B7480"/>
                <w:sz w:val="15"/>
                <w:szCs w:val="15"/>
              </w:rPr>
              <w:t xml:space="preserve">Leader is the department roll-up owner.</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Demand is concentrated: Project Management Org and Development hold 19 of 35 open reqs (54%), and two leaders — Lynn Mettler and Jackie Britt — own 28 of 35. Nearly half the list (18 reqs) is net-new headcount rather than backfill. Separately, 13 accepted offers are pending start and 40 further positions are expected to open.</w:t>
            </w:r>
          </w:p>
        </w:tc>
      </w:tr>
    </w:tbl>
    <w:p>
      <w:pPr>
        <w:spacing w:after="0" w:before="120" w:line="200"/>
        <w:jc w:val="left"/>
      </w:pPr>
      <w:r>
        <w:rPr>
          <w:rFonts w:ascii="Calibri" w:cs="Calibri" w:eastAsia="Calibri" w:hAnsi="Calibri"/>
          <w:b w:val="false"/>
          <w:bCs w:val="false"/>
          <w:i w:val="false"/>
          <w:iCs w:val="false"/>
          <w:color w:val="A3AAB6"/>
          <w:sz w:val="12"/>
          <w:szCs w:val="12"/>
        </w:rPr>
        <w:t xml:space="preserve">*Other departments (1 req each): Executive Leadership, Marketing, Architecture &amp; DevOps, Infrastructure &amp; Telecom, Account Management.</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Positions by Recruiting Status</w:t>
      </w:r>
    </w:p>
    <w:p>
      <w:pPr>
        <w:spacing w:after="140" w:before="0" w:line="240"/>
        <w:jc w:val="left"/>
      </w:pPr>
      <w:r>
        <w:rPr>
          <w:rFonts w:ascii="Calibri" w:cs="Calibri" w:eastAsia="Calibri" w:hAnsi="Calibri"/>
          <w:b w:val="false"/>
          <w:bCs w:val="false"/>
          <w:i w:val="false"/>
          <w:iCs w:val="false"/>
          <w:color w:val="6B7480"/>
          <w:sz w:val="18"/>
          <w:szCs w:val="18"/>
        </w:rPr>
        <w:t xml:space="preserve">All 35 open Non-Billable reqs  ·  Pipeline status per recruiter notes; every req not yet at interview stage is in active sourcing</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w:t>
            </w:r>
          </w:p>
          <w:p>
            <w:pPr>
              <w:spacing w:after="0" w:before="0" w:line="240"/>
              <w:jc w:val="center"/>
            </w:pPr>
            <w:r>
              <w:rPr>
                <w:rFonts w:ascii="Calibri" w:cs="Calibri" w:eastAsia="Calibri" w:hAnsi="Calibri"/>
                <w:b/>
                <w:bCs/>
                <w:i w:val="false"/>
                <w:iCs w:val="false"/>
                <w:color w:val="5B6472"/>
                <w:spacing w:val="20"/>
                <w:sz w:val="13"/>
                <w:szCs w:val="13"/>
              </w:rPr>
              <w:t xml:space="preserve">FINAL INTERVIEW</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w:t>
            </w:r>
          </w:p>
          <w:p>
            <w:pPr>
              <w:spacing w:after="0" w:before="0" w:line="240"/>
              <w:jc w:val="center"/>
            </w:pPr>
            <w:r>
              <w:rPr>
                <w:rFonts w:ascii="Calibri" w:cs="Calibri" w:eastAsia="Calibri" w:hAnsi="Calibri"/>
                <w:b/>
                <w:bCs/>
                <w:i w:val="false"/>
                <w:iCs w:val="false"/>
                <w:color w:val="5B6472"/>
                <w:spacing w:val="20"/>
                <w:sz w:val="13"/>
                <w:szCs w:val="13"/>
              </w:rPr>
              <w:t xml:space="preserve">PIV STAGE</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w:t>
            </w:r>
          </w:p>
          <w:p>
            <w:pPr>
              <w:spacing w:after="0" w:before="0" w:line="240"/>
              <w:jc w:val="center"/>
            </w:pPr>
            <w:r>
              <w:rPr>
                <w:rFonts w:ascii="Calibri" w:cs="Calibri" w:eastAsia="Calibri" w:hAnsi="Calibri"/>
                <w:b/>
                <w:bCs/>
                <w:i w:val="false"/>
                <w:iCs w:val="false"/>
                <w:color w:val="5B6472"/>
                <w:spacing w:val="20"/>
                <w:sz w:val="13"/>
                <w:szCs w:val="13"/>
              </w:rPr>
              <w:t xml:space="preserve">ASSESSMENT / PRE-OFFER</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w:t>
            </w:r>
          </w:p>
          <w:p>
            <w:pPr>
              <w:spacing w:after="0" w:before="0" w:line="240"/>
              <w:jc w:val="center"/>
            </w:pPr>
            <w:r>
              <w:rPr>
                <w:rFonts w:ascii="Calibri" w:cs="Calibri" w:eastAsia="Calibri" w:hAnsi="Calibri"/>
                <w:b/>
                <w:bCs/>
                <w:i w:val="false"/>
                <w:iCs w:val="false"/>
                <w:color w:val="5B6472"/>
                <w:spacing w:val="20"/>
                <w:sz w:val="13"/>
                <w:szCs w:val="13"/>
              </w:rPr>
              <w:t xml:space="preserve">INTERVIEWING</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25</w:t>
            </w:r>
          </w:p>
          <w:p>
            <w:pPr>
              <w:spacing w:after="0" w:before="0" w:line="240"/>
              <w:jc w:val="center"/>
            </w:pPr>
            <w:r>
              <w:rPr>
                <w:rFonts w:ascii="Calibri" w:cs="Calibri" w:eastAsia="Calibri" w:hAnsi="Calibri"/>
                <w:b/>
                <w:bCs/>
                <w:i w:val="false"/>
                <w:iCs w:val="false"/>
                <w:color w:val="5B6472"/>
                <w:spacing w:val="20"/>
                <w:sz w:val="13"/>
                <w:szCs w:val="13"/>
              </w:rPr>
              <w:t xml:space="preserve">SOURCING</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000"/>
        <w:gridCol w:w="400"/>
        <w:gridCol w:w="70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20" w:line="240"/>
              <w:jc w:val="left"/>
            </w:pPr>
            <w:r>
              <w:rPr>
                <w:rFonts w:ascii="Calibri" w:cs="Calibri" w:eastAsia="Calibri" w:hAnsi="Calibri"/>
                <w:b/>
                <w:bCs/>
                <w:i w:val="false"/>
                <w:iCs w:val="false"/>
                <w:color w:val="1C2A5E"/>
                <w:sz w:val="21"/>
                <w:szCs w:val="21"/>
              </w:rPr>
              <w:t xml:space="preserve">New Reqs — 18</w:t>
            </w:r>
          </w:p>
          <w:p>
            <w:pPr>
              <w:spacing w:after="80" w:before="0" w:line="240"/>
              <w:jc w:val="left"/>
            </w:pPr>
            <w:r>
              <w:rPr>
                <w:rFonts w:ascii="Calibri" w:cs="Calibri" w:eastAsia="Calibri" w:hAnsi="Calibri"/>
                <w:b w:val="false"/>
                <w:bCs w:val="false"/>
                <w:i w:val="false"/>
                <w:iCs w:val="false"/>
                <w:color w:val="6B7480"/>
                <w:sz w:val="15"/>
                <w:szCs w:val="15"/>
              </w:rPr>
              <w:t xml:space="preserve">1 Final Interview · 2 PIV Stage · 3 Interviewing · 12 Sourcing</w:t>
            </w:r>
          </w:p>
          <w:tbl>
            <w:tblPr>
              <w:tblW w:type="dxa" w:w="7000"/>
              <w:tblBorders>
                <w:top w:val="none" w:color="FFFFFF" w:sz="0"/>
                <w:left w:val="none" w:color="FFFFFF" w:sz="0"/>
                <w:bottom w:val="none" w:color="FFFFFF" w:sz="0"/>
                <w:right w:val="none" w:color="FFFFFF" w:sz="0"/>
                <w:insideH w:val="none" w:color="FFFFFF" w:sz="0"/>
                <w:insideV w:val="none" w:color="FFFFFF" w:sz="0"/>
              </w:tblBorders>
            </w:tblPr>
            <w:tblGrid>
              <w:gridCol w:w="800"/>
              <w:gridCol w:w="3300"/>
              <w:gridCol w:w="1500"/>
              <w:gridCol w:w="1400"/>
            </w:tblGrid>
            <w:tr>
              <w:trPr>
                <w:tblHeader/>
              </w:trPr>
              <w:tc>
                <w:tcPr>
                  <w:tcW w:type="dxa" w:w="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Req #</w:t>
                  </w:r>
                </w:p>
              </w:tc>
              <w:tc>
                <w:tcPr>
                  <w:tcW w:type="dxa" w:w="33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Job Title</w:t>
                  </w:r>
                </w:p>
              </w:tc>
              <w:tc>
                <w:tcPr>
                  <w:tcW w:type="dxa" w:w="15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Leader</w:t>
                  </w:r>
                </w:p>
              </w:tc>
              <w:tc>
                <w:tcPr>
                  <w:tcW w:type="dxa" w:w="14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Status</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8545</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Vice President, Patient Solutions</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Nick Wilbar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Final Interview</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9016</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Release Coordinator</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PIV Stage</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9115</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Procurement Specialist</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PIV Stage</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8357</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Tech Lead</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Interviewing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8903</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Salesforce Architect</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Interviewing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9088</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QA Lead Data &amp; Reporting</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Interviewing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8085</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Manager, Software Engineering</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8365</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Tech Lead</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8900</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Scientist, ITA</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Nick Wilbar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8901</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Scientist, ITA</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Nick Wilbar</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8902</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Scientist, ITA</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Nick Wilbar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9077</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Analyst</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9078</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Analyst</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9224</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9225</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9226</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9259</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Analyst</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9281</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Senior Implementation Analyst</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120" w:line="240"/>
              <w:jc w:val="left"/>
            </w:pPr>
            <w:r>
              <w:rPr>
                <w:rFonts w:ascii="Calibri" w:cs="Calibri" w:eastAsia="Calibri" w:hAnsi="Calibri"/>
                <w:b/>
                <w:bCs/>
                <w:i w:val="false"/>
                <w:iCs w:val="false"/>
                <w:color w:val="1C2A5E"/>
                <w:sz w:val="21"/>
                <w:szCs w:val="21"/>
              </w:rPr>
              <w:t xml:space="preserve">Backfill Reqs — 17</w:t>
            </w:r>
          </w:p>
          <w:p>
            <w:pPr>
              <w:spacing w:after="80" w:before="0" w:line="240"/>
              <w:jc w:val="left"/>
            </w:pPr>
            <w:r>
              <w:rPr>
                <w:rFonts w:ascii="Calibri" w:cs="Calibri" w:eastAsia="Calibri" w:hAnsi="Calibri"/>
                <w:b w:val="false"/>
                <w:bCs w:val="false"/>
                <w:i w:val="false"/>
                <w:iCs w:val="false"/>
                <w:color w:val="6B7480"/>
                <w:sz w:val="15"/>
                <w:szCs w:val="15"/>
              </w:rPr>
              <w:t xml:space="preserve">1 Final Interview · 2 Assessment / Pre-Offer · 1 Interviewing · 13 Sourcing</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700"/>
              <w:gridCol w:w="2900"/>
              <w:gridCol w:w="1350"/>
              <w:gridCol w:w="1550"/>
            </w:tblGrid>
            <w:tr>
              <w:trPr>
                <w:tblHeader/>
              </w:trPr>
              <w:tc>
                <w:tcPr>
                  <w:tcW w:type="dxa" w:w="7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Req #</w:t>
                  </w:r>
                </w:p>
              </w:tc>
              <w:tc>
                <w:tcPr>
                  <w:tcW w:type="dxa" w:w="29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Job Title</w:t>
                  </w:r>
                </w:p>
              </w:tc>
              <w:tc>
                <w:tcPr>
                  <w:tcW w:type="dxa" w:w="13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Leader</w:t>
                  </w:r>
                </w:p>
              </w:tc>
              <w:tc>
                <w:tcPr>
                  <w:tcW w:type="dxa" w:w="155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Status</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8529</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 Owner</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Final Interview</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8970</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Assessment / Pre-Offer</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8973</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Assessment / Pre-Offer</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9174</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Salesforce Technical Lead, Experience Cloud</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Interviewing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8230</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Software Engineer III</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8837</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Manager, Marketing and Communications</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8978</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Telephony Systems Administrator</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9075</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Manager, Implementation Analyst</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9076</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Analyst</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9094</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Senior Director, Strategic Account Management</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9116</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Salesforce Administrator II</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9239</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Analyst</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9240</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Analyst</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9255</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Steward</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9257</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Analyst</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9258</w:t>
                  </w:r>
                </w:p>
              </w:tc>
              <w:tc>
                <w:tcPr>
                  <w:tcW w:type="dxa" w:w="2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Analyst</w:t>
                  </w:r>
                </w:p>
              </w:tc>
              <w:tc>
                <w:tcPr>
                  <w:tcW w:type="dxa" w:w="13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55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r>
              <w:tc>
                <w:tcPr>
                  <w:tcW w:type="dxa" w:w="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9264</w:t>
                  </w:r>
                </w:p>
              </w:tc>
              <w:tc>
                <w:tcPr>
                  <w:tcW w:type="dxa" w:w="2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13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55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Sourcing</w:t>
                  </w:r>
                </w:p>
              </w:tc>
            </w:tr>
          </w:tbl>
          <w:p/>
        </w:tc>
      </w:tr>
    </w:tbl>
    <w:p>
      <w:pPr>
        <w:spacing w:after="0" w:before="160" w:line="240"/>
        <w:jc w:val="left"/>
      </w:pPr>
      <w:r>
        <w:rPr>
          <w:rFonts w:ascii="Calibri" w:cs="Calibri" w:eastAsia="Calibri" w:hAnsi="Calibri"/>
          <w:b w:val="false"/>
          <w:bCs w:val="false"/>
          <w:i w:val="false"/>
          <w:iCs w:val="false"/>
          <w:color w:val="A3AAB6"/>
          <w:sz w:val="12"/>
          <w:szCs w:val="12"/>
        </w:rPr>
        <w:t xml:space="preserve">Leader is the department roll-up owner. Req 9259 (Data Analyst) has no reason-for-hire recorded and is counted as New.</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Requisition Headcount Spend</w:t>
      </w:r>
    </w:p>
    <w:p>
      <w:pPr>
        <w:spacing w:after="140" w:before="0" w:line="240"/>
        <w:jc w:val="left"/>
      </w:pPr>
      <w:r>
        <w:rPr>
          <w:rFonts w:ascii="Calibri" w:cs="Calibri" w:eastAsia="Calibri" w:hAnsi="Calibri"/>
          <w:b w:val="false"/>
          <w:bCs w:val="false"/>
          <w:i w:val="false"/>
          <w:iCs w:val="false"/>
          <w:color w:val="6B7480"/>
          <w:sz w:val="18"/>
          <w:szCs w:val="18"/>
        </w:rPr>
        <w:t xml:space="preserve">All 35 open Non-Billable reqs  ·  Annualized target compensation at payscale midpoint, as of August 11,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$3.90M</w:t>
            </w:r>
          </w:p>
          <w:p>
            <w:pPr>
              <w:spacing w:after="0" w:before="0" w:line="240"/>
              <w:jc w:val="center"/>
            </w:pPr>
            <w:r>
              <w:rPr>
                <w:rFonts w:ascii="Calibri" w:cs="Calibri" w:eastAsia="Calibri" w:hAnsi="Calibri"/>
                <w:b/>
                <w:bCs/>
                <w:i w:val="false"/>
                <w:iCs w:val="false"/>
                <w:color w:val="5B6472"/>
                <w:spacing w:val="20"/>
                <w:sz w:val="13"/>
                <w:szCs w:val="13"/>
              </w:rPr>
              <w:t xml:space="preserve">TOTAL ANNUALIZED SPEND</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$111K</w:t>
            </w:r>
          </w:p>
          <w:p>
            <w:pPr>
              <w:spacing w:after="0" w:before="0" w:line="240"/>
              <w:jc w:val="center"/>
            </w:pPr>
            <w:r>
              <w:rPr>
                <w:rFonts w:ascii="Calibri" w:cs="Calibri" w:eastAsia="Calibri" w:hAnsi="Calibri"/>
                <w:b/>
                <w:bCs/>
                <w:i w:val="false"/>
                <w:iCs w:val="false"/>
                <w:color w:val="5B6472"/>
                <w:spacing w:val="20"/>
                <w:sz w:val="13"/>
                <w:szCs w:val="13"/>
              </w:rPr>
              <w:t xml:space="preserve">AVG SPEND PER REQ</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$2.11M / $1.78M</w:t>
            </w:r>
          </w:p>
          <w:p>
            <w:pPr>
              <w:spacing w:after="0" w:before="0" w:line="240"/>
              <w:jc w:val="center"/>
            </w:pPr>
            <w:r>
              <w:rPr>
                <w:rFonts w:ascii="Calibri" w:cs="Calibri" w:eastAsia="Calibri" w:hAnsi="Calibri"/>
                <w:b/>
                <w:bCs/>
                <w:i w:val="false"/>
                <w:iCs w:val="false"/>
                <w:color w:val="5B6472"/>
                <w:spacing w:val="20"/>
                <w:sz w:val="13"/>
                <w:szCs w:val="13"/>
              </w:rPr>
              <w:t xml:space="preserve">NEW / BACKFILL SPEND</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$192K</w:t>
            </w:r>
          </w:p>
          <w:p>
            <w:pPr>
              <w:spacing w:after="0" w:before="0" w:line="240"/>
              <w:jc w:val="center"/>
            </w:pPr>
            <w:r>
              <w:rPr>
                <w:rFonts w:ascii="Calibri" w:cs="Calibri" w:eastAsia="Calibri" w:hAnsi="Calibri"/>
                <w:b/>
                <w:bCs/>
                <w:i w:val="false"/>
                <w:iCs w:val="false"/>
                <w:color w:val="5B6472"/>
                <w:spacing w:val="20"/>
                <w:sz w:val="13"/>
                <w:szCs w:val="13"/>
              </w:rPr>
              <w:t xml:space="preserve">LARGEST SINGLE REQ</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13</w:t>
            </w:r>
          </w:p>
          <w:p>
            <w:pPr>
              <w:spacing w:after="0" w:before="0" w:line="240"/>
              <w:jc w:val="center"/>
            </w:pPr>
            <w:r>
              <w:rPr>
                <w:rFonts w:ascii="Calibri" w:cs="Calibri" w:eastAsia="Calibri" w:hAnsi="Calibri"/>
                <w:b/>
                <w:bCs/>
                <w:i w:val="false"/>
                <w:iCs w:val="false"/>
                <w:color w:val="5B6472"/>
                <w:spacing w:val="20"/>
                <w:sz w:val="13"/>
                <w:szCs w:val="13"/>
              </w:rPr>
              <w:t xml:space="preserve">IMPLEMENTATION FAMILY REQS</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Spend by Department / Program</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4700"/>
              <w:gridCol w:w="2800"/>
            </w:tblGrid>
            <w:tr>
              <w:trPr>
                <w:tblHeader/>
              </w:trPr>
              <w:tc>
                <w:tcPr>
                  <w:tcW w:type="dxa" w:w="47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Department / Program</w:t>
                  </w:r>
                </w:p>
              </w:tc>
              <w:tc>
                <w:tcPr>
                  <w:tcW w:type="dxa" w:w="2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Annualized Spend</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Project Management Org</w:t>
                  </w:r>
                </w:p>
              </w:tc>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$1,297,577</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Development</w:t>
                  </w:r>
                </w:p>
              </w:tc>
              <w:tc>
                <w:tcPr>
                  <w:tcW w:type="dxa" w:w="2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$776,349</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Enterprise Data</w:t>
                  </w:r>
                </w:p>
              </w:tc>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$364,362</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Data &amp; Reporting</w:t>
                  </w:r>
                </w:p>
              </w:tc>
              <w:tc>
                <w:tcPr>
                  <w:tcW w:type="dxa" w:w="2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$357,750</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Quality &amp; Release Mngmt</w:t>
                  </w:r>
                </w:p>
              </w:tc>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$197,925</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Executive Leadership</w:t>
                  </w:r>
                </w:p>
              </w:tc>
              <w:tc>
                <w:tcPr>
                  <w:tcW w:type="dxa" w:w="2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$192,348</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Other departments (5)*</w:t>
                  </w:r>
                </w:p>
              </w:tc>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$710,461</w:t>
                  </w:r>
                </w:p>
              </w:tc>
            </w:tr>
            <w:tr>
              <w:tc>
                <w:tcPr>
                  <w:tcW w:type="dxa" w:w="47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w:t>
                  </w:r>
                </w:p>
              </w:tc>
              <w:tc>
                <w:tcPr>
                  <w:tcW w:type="dxa" w:w="2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$3,896,772</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Spend by Leader</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200"/>
              <w:gridCol w:w="3300"/>
              <w:gridCol w:w="1000"/>
            </w:tblGrid>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Lynn Mettler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$1,576K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Jackie Britt</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069"/>
                    <w:gridCol w:w="231"/>
                  </w:tblGrid>
                  <w:tr>
                    <w:trPr>
                      <w:trHeight w:val="150" w:hRule="exact"/>
                    </w:trPr>
                    <w:tc>
                      <w:tcPr>
                        <w:tcW w:type="dxa" w:w="3069"/>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3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$1,466K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Nick Wilbar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152"/>
                    <w:gridCol w:w="2148"/>
                  </w:tblGrid>
                  <w:tr>
                    <w:trPr>
                      <w:trHeight w:val="150" w:hRule="exact"/>
                    </w:trPr>
                    <w:tc>
                      <w:tcPr>
                        <w:tcW w:type="dxa" w:w="1152"/>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148"/>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$550K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Stacey Little</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637"/>
                    <w:gridCol w:w="2663"/>
                  </w:tblGrid>
                  <w:tr>
                    <w:trPr>
                      <w:trHeight w:val="150" w:hRule="exact"/>
                    </w:trPr>
                    <w:tc>
                      <w:tcPr>
                        <w:tcW w:type="dxa" w:w="637"/>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663"/>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$304K</w:t>
                  </w:r>
                </w:p>
              </w:tc>
            </w:tr>
          </w:tbl>
          <w:p>
            <w:pPr>
              <w:spacing w:after="0" w:before="120" w:line="240"/>
              <w:jc w:val="left"/>
            </w:pPr>
            <w:r>
              <w:rPr>
                <w:rFonts w:ascii="Calibri" w:cs="Calibri" w:eastAsia="Calibri" w:hAnsi="Calibri"/>
                <w:b w:val="false"/>
                <w:bCs w:val="false"/>
                <w:i w:val="false"/>
                <w:iCs w:val="false"/>
                <w:color w:val="6B7480"/>
                <w:sz w:val="15"/>
                <w:szCs w:val="15"/>
              </w:rPr>
              <w:t xml:space="preserve">Spend = midpoint of posted min/max pay range per job title (source: Payscales tab); actual offers may differ.</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Project Management Org and Development carry $2.07M of the $3.90M total (53%). The implementation job family alone — 13 reqs — accounts for $1.30M, and 3 reqs sit at or above $150K, led by Vice President, Patient Solutions at $192K.</w:t>
            </w:r>
          </w:p>
        </w:tc>
      </w:tr>
    </w:tbl>
    <w:p>
      <w:pPr>
        <w:spacing w:after="0" w:before="120" w:line="200"/>
        <w:jc w:val="left"/>
      </w:pPr>
      <w:r>
        <w:rPr>
          <w:rFonts w:ascii="Calibri" w:cs="Calibri" w:eastAsia="Calibri" w:hAnsi="Calibri"/>
          <w:b w:val="false"/>
          <w:bCs w:val="false"/>
          <w:i w:val="false"/>
          <w:iCs w:val="false"/>
          <w:color w:val="A3AAB6"/>
          <w:sz w:val="12"/>
          <w:szCs w:val="12"/>
        </w:rPr>
        <w:t xml:space="preserve">*Other departments (5, $71.4K–$192.3K each): Product, Account Management, Architecture &amp; DevOps, Marketing, Infrastructure &amp; Telecom.</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Pending Starts</w:t>
      </w:r>
    </w:p>
    <w:p>
      <w:pPr>
        <w:spacing w:after="140" w:before="0" w:line="240"/>
        <w:jc w:val="left"/>
      </w:pPr>
      <w:r>
        <w:rPr>
          <w:rFonts w:ascii="Calibri" w:cs="Calibri" w:eastAsia="Calibri" w:hAnsi="Calibri"/>
          <w:b w:val="false"/>
          <w:bCs w:val="false"/>
          <w:i w:val="false"/>
          <w:iCs w:val="false"/>
          <w:color w:val="6B7480"/>
          <w:sz w:val="18"/>
          <w:szCs w:val="18"/>
        </w:rPr>
        <w:t xml:space="preserve">13 accepted offers with confirmed start dates  ·  Non-Billable  ·  as of August 11,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13</w:t>
            </w:r>
          </w:p>
          <w:p>
            <w:pPr>
              <w:spacing w:after="0" w:before="0" w:line="240"/>
              <w:jc w:val="center"/>
            </w:pPr>
            <w:r>
              <w:rPr>
                <w:rFonts w:ascii="Calibri" w:cs="Calibri" w:eastAsia="Calibri" w:hAnsi="Calibri"/>
                <w:b/>
                <w:bCs/>
                <w:i w:val="false"/>
                <w:iCs w:val="false"/>
                <w:color w:val="5B6472"/>
                <w:spacing w:val="20"/>
                <w:sz w:val="13"/>
                <w:szCs w:val="13"/>
              </w:rPr>
              <w:t xml:space="preserve">PENDING STARTS</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 / 6</w:t>
            </w:r>
          </w:p>
          <w:p>
            <w:pPr>
              <w:spacing w:after="0" w:before="0" w:line="240"/>
              <w:jc w:val="center"/>
            </w:pPr>
            <w:r>
              <w:rPr>
                <w:rFonts w:ascii="Calibri" w:cs="Calibri" w:eastAsia="Calibri" w:hAnsi="Calibri"/>
                <w:b/>
                <w:bCs/>
                <w:i w:val="false"/>
                <w:iCs w:val="false"/>
                <w:color w:val="5B6472"/>
                <w:spacing w:val="20"/>
                <w:sz w:val="13"/>
                <w:szCs w:val="13"/>
              </w:rPr>
              <w:t xml:space="preserve">NEW / BACKFILL</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$1.67M</w:t>
            </w:r>
          </w:p>
          <w:p>
            <w:pPr>
              <w:spacing w:after="0" w:before="0" w:line="240"/>
              <w:jc w:val="center"/>
            </w:pPr>
            <w:r>
              <w:rPr>
                <w:rFonts w:ascii="Calibri" w:cs="Calibri" w:eastAsia="Calibri" w:hAnsi="Calibri"/>
                <w:b/>
                <w:bCs/>
                <w:i w:val="false"/>
                <w:iCs w:val="false"/>
                <w:color w:val="5B6472"/>
                <w:spacing w:val="20"/>
                <w:sz w:val="13"/>
                <w:szCs w:val="13"/>
              </w:rPr>
              <w:t xml:space="preserve">ANNUALIZED OFFER VALUE</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$128K</w:t>
            </w:r>
          </w:p>
          <w:p>
            <w:pPr>
              <w:spacing w:after="0" w:before="0" w:line="240"/>
              <w:jc w:val="center"/>
            </w:pPr>
            <w:r>
              <w:rPr>
                <w:rFonts w:ascii="Calibri" w:cs="Calibri" w:eastAsia="Calibri" w:hAnsi="Calibri"/>
                <w:b/>
                <w:bCs/>
                <w:i w:val="false"/>
                <w:iCs w:val="false"/>
                <w:color w:val="5B6472"/>
                <w:spacing w:val="20"/>
                <w:sz w:val="13"/>
                <w:szCs w:val="13"/>
              </w:rPr>
              <w:t xml:space="preserve">AVG OFFER</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w:t>
            </w:r>
          </w:p>
          <w:p>
            <w:pPr>
              <w:spacing w:after="0" w:before="0" w:line="240"/>
              <w:jc w:val="center"/>
            </w:pPr>
            <w:r>
              <w:rPr>
                <w:rFonts w:ascii="Calibri" w:cs="Calibri" w:eastAsia="Calibri" w:hAnsi="Calibri"/>
                <w:b/>
                <w:bCs/>
                <w:i w:val="false"/>
                <w:iCs w:val="false"/>
                <w:color w:val="5B6472"/>
                <w:spacing w:val="20"/>
                <w:sz w:val="13"/>
                <w:szCs w:val="13"/>
              </w:rPr>
              <w:t xml:space="preserve">STARTING AUG 31</w:t>
            </w:r>
          </w:p>
        </w:tc>
      </w:tr>
    </w:tbl>
    <w:p>
      <w:pPr>
        <w:spacing w:after="60" w:before="120" w:line="240"/>
        <w:jc w:val="left"/>
      </w:pPr>
      <w:r>
        <w:rPr>
          <w:rFonts w:ascii="Calibri" w:cs="Calibri" w:eastAsia="Calibri" w:hAnsi="Calibri"/>
          <w:b/>
          <w:bCs/>
          <w:i w:val="false"/>
          <w:iCs w:val="false"/>
          <w:color w:val="1C2A5E"/>
          <w:sz w:val="21"/>
          <w:szCs w:val="21"/>
        </w:rPr>
        <w:t xml:space="preserve">Accepted Offers by Start Date</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900"/>
        <w:gridCol w:w="3800"/>
        <w:gridCol w:w="3100"/>
        <w:gridCol w:w="1800"/>
        <w:gridCol w:w="1100"/>
        <w:gridCol w:w="1500"/>
        <w:gridCol w:w="2200"/>
      </w:tblGrid>
      <w:tr>
        <w:trPr>
          <w:tblHeader/>
        </w:trPr>
        <w:tc>
          <w:tcPr>
            <w:tcW w:type="dxa" w:w="9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Req #</w:t>
            </w:r>
          </w:p>
        </w:tc>
        <w:tc>
          <w:tcPr>
            <w:tcW w:type="dxa" w:w="3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Job Title</w:t>
            </w:r>
          </w:p>
        </w:tc>
        <w:tc>
          <w:tcPr>
            <w:tcW w:type="dxa" w:w="31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Department / Program</w:t>
            </w:r>
          </w:p>
        </w:tc>
        <w:tc>
          <w:tcPr>
            <w:tcW w:type="dxa" w:w="1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Leader</w:t>
            </w:r>
          </w:p>
        </w:tc>
        <w:tc>
          <w:tcPr>
            <w:tcW w:type="dxa" w:w="11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Type</w:t>
            </w:r>
          </w:p>
        </w:tc>
        <w:tc>
          <w:tcPr>
            <w:tcW w:type="dxa" w:w="15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Start Date</w:t>
            </w:r>
          </w:p>
        </w:tc>
        <w:tc>
          <w:tcPr>
            <w:tcW w:type="dxa" w:w="22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Annualized Offer</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8842</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 Owner</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10</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$115,000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8313</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Software Solutions Architect</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Architecture &amp; DevOps</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$175,000</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8740</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Senior Manager, Product Marketing</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Marketing</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$132,500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8742</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RFP/Proposal Writer</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Marketing</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$75,000</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8841</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 Owner</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$123,000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9003</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Service Desk Technician, Level 2</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Internal Systems</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$55,037†</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9119</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Salesforce Developer II</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Development</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$95,000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9137</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Vice President, Agile Delivery</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Development</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New</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$275,000</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9172</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Engineer I</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Enterprise Data</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17</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$108,000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8839</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Vice President, Infrastructure &amp; Telecom</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Infrastructure &amp; Telecom</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31</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$275,000</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8972</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Implementation Manager</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Project Management Org</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31</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$135,000</w:t>
            </w:r>
          </w:p>
        </w:tc>
      </w:tr>
      <w:tr>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9149</w:t>
            </w:r>
          </w:p>
        </w:tc>
        <w:tc>
          <w:tcPr>
            <w:tcW w:type="dxa" w:w="3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Service Desk Technician, Level 1</w:t>
            </w:r>
          </w:p>
        </w:tc>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Internal Systems</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31</w:t>
            </w:r>
          </w:p>
        </w:tc>
        <w:tc>
          <w:tcPr>
            <w:tcW w:type="dxa" w:w="2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$47,840†</w:t>
            </w:r>
          </w:p>
        </w:tc>
      </w:tr>
      <w:tr>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9221</w:t>
            </w:r>
          </w:p>
        </w:tc>
        <w:tc>
          <w:tcPr>
            <w:tcW w:type="dxa" w:w="3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Service Desk Technician, Level 2</w:t>
            </w:r>
          </w:p>
        </w:tc>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Internal Systems</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Backfill</w:t>
            </w:r>
          </w:p>
        </w:tc>
        <w:tc>
          <w:tcPr>
            <w:tcW w:type="dxa" w:w="1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Aug 31</w:t>
            </w:r>
          </w:p>
        </w:tc>
        <w:tc>
          <w:tcPr>
            <w:tcW w:type="dxa" w:w="2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$56,160†</w:t>
            </w:r>
          </w:p>
        </w:tc>
      </w:tr>
      <w:tr>
        <w:tc>
          <w:tcPr>
            <w:tcW w:type="dxa" w:w="9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Total</w:t>
            </w:r>
          </w:p>
        </w:tc>
        <w:tc>
          <w:tcPr>
            <w:tcW w:type="dxa" w:w="3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31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1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11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15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22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5"/>
                <w:szCs w:val="15"/>
              </w:rPr>
              <w:t xml:space="preserve">$1,667,537</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All 13 pending starts land in August: 1 on Aug 10 and the rest across Aug 17 (8) and Aug 31 (4), adding $1.67M of annualized compensation. Two VP hires (Development, Infrastructure &amp; Telecom) account for $0.55M — 32% of the total. 3 of the 4 leaders are receiving headcount.</w:t>
            </w:r>
          </w:p>
        </w:tc>
      </w:tr>
    </w:tbl>
    <w:p>
      <w:pPr>
        <w:spacing w:after="0" w:before="120" w:line="200"/>
        <w:jc w:val="left"/>
      </w:pPr>
      <w:r>
        <w:rPr>
          <w:rFonts w:ascii="Calibri" w:cs="Calibri" w:eastAsia="Calibri" w:hAnsi="Calibri"/>
          <w:b w:val="false"/>
          <w:bCs w:val="false"/>
          <w:i w:val="false"/>
          <w:iCs w:val="false"/>
          <w:color w:val="A3AAB6"/>
          <w:sz w:val="12"/>
          <w:szCs w:val="12"/>
        </w:rPr>
        <w:t xml:space="preserve">None of these reqs appear in the 35 open reqs on the open-req slides; 6 of them closed off the open list since the prior report. Offer = base only (VP packages also include bonus, sign-on and LTIP). †Hourly rate annualized at 2,080 hours.</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Coming Open — Anticipated Demand</w:t>
      </w:r>
    </w:p>
    <w:p>
      <w:pPr>
        <w:spacing w:after="140" w:before="0" w:line="240"/>
        <w:jc w:val="left"/>
      </w:pPr>
      <w:r>
        <w:rPr>
          <w:rFonts w:ascii="Calibri" w:cs="Calibri" w:eastAsia="Calibri" w:hAnsi="Calibri"/>
          <w:b w:val="false"/>
          <w:bCs w:val="false"/>
          <w:i w:val="false"/>
          <w:iCs w:val="false"/>
          <w:color w:val="6B7480"/>
          <w:sz w:val="18"/>
          <w:szCs w:val="18"/>
        </w:rPr>
        <w:t xml:space="preserve">40 positions expected to open, not yet requisitioned  ·  Projected at payscale midpoint  ·  as of August 11,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40</w:t>
            </w:r>
          </w:p>
          <w:p>
            <w:pPr>
              <w:spacing w:after="0" w:before="0" w:line="240"/>
              <w:jc w:val="center"/>
            </w:pPr>
            <w:r>
              <w:rPr>
                <w:rFonts w:ascii="Calibri" w:cs="Calibri" w:eastAsia="Calibri" w:hAnsi="Calibri"/>
                <w:b/>
                <w:bCs/>
                <w:i w:val="false"/>
                <w:iCs w:val="false"/>
                <w:color w:val="5B6472"/>
                <w:spacing w:val="20"/>
                <w:sz w:val="13"/>
                <w:szCs w:val="13"/>
              </w:rPr>
              <w:t xml:space="preserve">POSITIONS COMING OPEN</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 / 13 / 20</w:t>
            </w:r>
          </w:p>
          <w:p>
            <w:pPr>
              <w:spacing w:after="0" w:before="0" w:line="240"/>
              <w:jc w:val="center"/>
            </w:pPr>
            <w:r>
              <w:rPr>
                <w:rFonts w:ascii="Calibri" w:cs="Calibri" w:eastAsia="Calibri" w:hAnsi="Calibri"/>
                <w:b/>
                <w:bCs/>
                <w:i w:val="false"/>
                <w:iCs w:val="false"/>
                <w:color w:val="5B6472"/>
                <w:spacing w:val="20"/>
                <w:sz w:val="13"/>
                <w:szCs w:val="13"/>
              </w:rPr>
              <w:t xml:space="preserve">NEW / BACKFILL / FUTURE NEED</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$4.29M</w:t>
            </w:r>
          </w:p>
          <w:p>
            <w:pPr>
              <w:spacing w:after="0" w:before="0" w:line="240"/>
              <w:jc w:val="center"/>
            </w:pPr>
            <w:r>
              <w:rPr>
                <w:rFonts w:ascii="Calibri" w:cs="Calibri" w:eastAsia="Calibri" w:hAnsi="Calibri"/>
                <w:b/>
                <w:bCs/>
                <w:i w:val="false"/>
                <w:iCs w:val="false"/>
                <w:color w:val="5B6472"/>
                <w:spacing w:val="20"/>
                <w:sz w:val="13"/>
                <w:szCs w:val="13"/>
              </w:rPr>
              <w:t xml:space="preserve">PROJECTED ANNUALIZED</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$107K</w:t>
            </w:r>
          </w:p>
          <w:p>
            <w:pPr>
              <w:spacing w:after="0" w:before="0" w:line="240"/>
              <w:jc w:val="center"/>
            </w:pPr>
            <w:r>
              <w:rPr>
                <w:rFonts w:ascii="Calibri" w:cs="Calibri" w:eastAsia="Calibri" w:hAnsi="Calibri"/>
                <w:b/>
                <w:bCs/>
                <w:i w:val="false"/>
                <w:iCs w:val="false"/>
                <w:color w:val="5B6472"/>
                <w:spacing w:val="20"/>
                <w:sz w:val="13"/>
                <w:szCs w:val="13"/>
              </w:rPr>
              <w:t xml:space="preserve">AVG PER POSITION</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0</w:t>
            </w:r>
          </w:p>
          <w:p>
            <w:pPr>
              <w:spacing w:after="0" w:before="0" w:line="240"/>
              <w:jc w:val="center"/>
            </w:pPr>
            <w:r>
              <w:rPr>
                <w:rFonts w:ascii="Calibri" w:cs="Calibri" w:eastAsia="Calibri" w:hAnsi="Calibri"/>
                <w:b/>
                <w:bCs/>
                <w:i w:val="false"/>
                <w:iCs w:val="false"/>
                <w:color w:val="5B6472"/>
                <w:spacing w:val="20"/>
                <w:sz w:val="13"/>
                <w:szCs w:val="13"/>
              </w:rPr>
              <w:t xml:space="preserve">POSITIONS WITHOUT PAY BAND</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8000"/>
        <w:gridCol w:w="400"/>
        <w:gridCol w:w="6000"/>
      </w:tblGrid>
      <w:tr>
        <w:tc>
          <w:tcPr>
            <w:tcW w:type="dxa" w:w="8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Positions by Home Department</w:t>
            </w:r>
          </w:p>
          <w:tbl>
            <w:tblPr>
              <w:tblW w:type="dxa" w:w="8000"/>
              <w:tblBorders>
                <w:top w:val="none" w:color="FFFFFF" w:sz="0"/>
                <w:left w:val="none" w:color="FFFFFF" w:sz="0"/>
                <w:bottom w:val="none" w:color="FFFFFF" w:sz="0"/>
                <w:right w:val="none" w:color="FFFFFF" w:sz="0"/>
                <w:insideH w:val="none" w:color="FFFFFF" w:sz="0"/>
                <w:insideV w:val="none" w:color="FFFFFF" w:sz="0"/>
              </w:tblBorders>
            </w:tblPr>
            <w:tblGrid>
              <w:gridCol w:w="3500"/>
              <w:gridCol w:w="1700"/>
              <w:gridCol w:w="900"/>
              <w:gridCol w:w="1900"/>
            </w:tblGrid>
            <w:tr>
              <w:trPr>
                <w:tblHeader/>
              </w:trPr>
              <w:tc>
                <w:tcPr>
                  <w:tcW w:type="dxa" w:w="35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Home Department</w:t>
                  </w:r>
                </w:p>
              </w:tc>
              <w:tc>
                <w:tcPr>
                  <w:tcW w:type="dxa" w:w="17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ELT Leader</w:t>
                  </w:r>
                </w:p>
              </w:tc>
              <w:tc>
                <w:tcPr>
                  <w:tcW w:type="dxa" w:w="9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Positions</w:t>
                  </w:r>
                </w:p>
              </w:tc>
              <w:tc>
                <w:tcPr>
                  <w:tcW w:type="dxa" w:w="19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Projected</w:t>
                  </w:r>
                </w:p>
              </w:tc>
            </w:tr>
            <w:tr>
              <w:tc>
                <w:tcPr>
                  <w:tcW w:type="dxa" w:w="3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000540 - Account Management</w:t>
                  </w:r>
                </w:p>
              </w:tc>
              <w:tc>
                <w:tcPr>
                  <w:tcW w:type="dxa" w:w="1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13</w:t>
                  </w:r>
                </w:p>
              </w:tc>
              <w:tc>
                <w:tcPr>
                  <w:tcW w:type="dxa" w:w="1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$1,486,731</w:t>
                  </w:r>
                </w:p>
              </w:tc>
            </w:tr>
            <w:tr>
              <w:tc>
                <w:tcPr>
                  <w:tcW w:type="dxa" w:w="3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000220 - Project Management Org</w:t>
                  </w:r>
                </w:p>
              </w:tc>
              <w:tc>
                <w:tcPr>
                  <w:tcW w:type="dxa" w:w="1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Jackie Britt</w:t>
                  </w:r>
                </w:p>
              </w:tc>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14</w:t>
                  </w:r>
                </w:p>
              </w:tc>
              <w:tc>
                <w:tcPr>
                  <w:tcW w:type="dxa" w:w="1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$1,377,902</w:t>
                  </w:r>
                </w:p>
              </w:tc>
            </w:tr>
            <w:tr>
              <w:tc>
                <w:tcPr>
                  <w:tcW w:type="dxa" w:w="3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000290 - Product</w:t>
                  </w:r>
                </w:p>
              </w:tc>
              <w:tc>
                <w:tcPr>
                  <w:tcW w:type="dxa" w:w="1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Stacey Little</w:t>
                  </w:r>
                </w:p>
              </w:tc>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6</w:t>
                  </w:r>
                </w:p>
              </w:tc>
              <w:tc>
                <w:tcPr>
                  <w:tcW w:type="dxa" w:w="1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$712,797</w:t>
                  </w:r>
                </w:p>
              </w:tc>
            </w:tr>
            <w:tr>
              <w:tc>
                <w:tcPr>
                  <w:tcW w:type="dxa" w:w="3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000270 - Data &amp; Reporting</w:t>
                  </w:r>
                </w:p>
              </w:tc>
              <w:tc>
                <w:tcPr>
                  <w:tcW w:type="dxa" w:w="1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3</w:t>
                  </w:r>
                </w:p>
              </w:tc>
              <w:tc>
                <w:tcPr>
                  <w:tcW w:type="dxa" w:w="1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$340,390</w:t>
                  </w:r>
                </w:p>
              </w:tc>
            </w:tr>
            <w:tr>
              <w:tc>
                <w:tcPr>
                  <w:tcW w:type="dxa" w:w="3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000240 - Quality &amp; Release Mngmt</w:t>
                  </w:r>
                </w:p>
              </w:tc>
              <w:tc>
                <w:tcPr>
                  <w:tcW w:type="dxa" w:w="1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w:t>
                  </w:r>
                </w:p>
              </w:tc>
              <w:tc>
                <w:tcPr>
                  <w:tcW w:type="dxa" w:w="1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$161,334</w:t>
                  </w:r>
                </w:p>
              </w:tc>
            </w:tr>
            <w:tr>
              <w:tc>
                <w:tcPr>
                  <w:tcW w:type="dxa" w:w="35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000230 - Architecture &amp; DevOps</w:t>
                  </w:r>
                </w:p>
              </w:tc>
              <w:tc>
                <w:tcPr>
                  <w:tcW w:type="dxa" w:w="1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Lynn Mettler</w:t>
                  </w:r>
                </w:p>
              </w:tc>
              <w:tc>
                <w:tcPr>
                  <w:tcW w:type="dxa" w:w="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c>
                <w:tcPr>
                  <w:tcW w:type="dxa" w:w="1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$140,238</w:t>
                  </w:r>
                </w:p>
              </w:tc>
            </w:tr>
            <w:tr>
              <w:tc>
                <w:tcPr>
                  <w:tcW w:type="dxa" w:w="35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000130 - Human Resources</w:t>
                  </w:r>
                </w:p>
              </w:tc>
              <w:tc>
                <w:tcPr>
                  <w:tcW w:type="dxa" w:w="1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Heather Cullen</w:t>
                  </w:r>
                </w:p>
              </w:tc>
              <w:tc>
                <w:tcPr>
                  <w:tcW w:type="dxa" w:w="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c>
                <w:tcPr>
                  <w:tcW w:type="dxa" w:w="1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$71,370</w:t>
                  </w:r>
                </w:p>
              </w:tc>
            </w:tr>
            <w:tr>
              <w:tc>
                <w:tcPr>
                  <w:tcW w:type="dxa" w:w="35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Total</w:t>
                  </w:r>
                </w:p>
              </w:tc>
              <w:tc>
                <w:tcPr>
                  <w:tcW w:type="dxa" w:w="17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
                  </w:r>
                </w:p>
              </w:tc>
              <w:tc>
                <w:tcPr>
                  <w:tcW w:type="dxa" w:w="9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5"/>
                      <w:szCs w:val="15"/>
                    </w:rPr>
                    <w:t xml:space="preserve">40</w:t>
                  </w:r>
                </w:p>
              </w:tc>
              <w:tc>
                <w:tcPr>
                  <w:tcW w:type="dxa" w:w="19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5"/>
                      <w:szCs w:val="15"/>
                    </w:rPr>
                    <w:t xml:space="preserve">$4,290,762</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Projected Spend by ELT Leader</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200"/>
              <w:gridCol w:w="3300"/>
              <w:gridCol w:w="1000"/>
            </w:tblGrid>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Jackie Britt</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$2,865K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Stacey Little</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822"/>
                    <w:gridCol w:w="2478"/>
                  </w:tblGrid>
                  <w:tr>
                    <w:trPr>
                      <w:trHeight w:val="150" w:hRule="exact"/>
                    </w:trPr>
                    <w:tc>
                      <w:tcPr>
                        <w:tcW w:type="dxa" w:w="822"/>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478"/>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$713K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Lynn Mettler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739"/>
                    <w:gridCol w:w="2561"/>
                  </w:tblGrid>
                  <w:tr>
                    <w:trPr>
                      <w:trHeight w:val="150" w:hRule="exact"/>
                    </w:trPr>
                    <w:tc>
                      <w:tcPr>
                        <w:tcW w:type="dxa" w:w="739"/>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56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$642K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Heather Cullen</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20"/>
                    <w:gridCol w:w="3180"/>
                  </w:tblGrid>
                  <w:tr>
                    <w:trPr>
                      <w:trHeight w:val="150" w:hRule="exact"/>
                    </w:trPr>
                    <w:tc>
                      <w:tcPr>
                        <w:tcW w:type="dxa" w:w="120"/>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8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$71K</w:t>
                  </w:r>
                </w:p>
              </w:tc>
            </w:tr>
            <w:tr>
              <w:trPr>
                <w:trHeight w:val="265" w:hRule="atLeast"/>
              </w:trPr>
              <w:tc>
                <w:tcPr>
                  <w:tcW w:type="dxa" w:w="22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Nick Wilbar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20"/>
                    <w:gridCol w:w="3180"/>
                  </w:tblGrid>
                  <w:tr>
                    <w:trPr>
                      <w:trHeight w:val="150" w:hRule="exact"/>
                    </w:trPr>
                    <w:tc>
                      <w:tcPr>
                        <w:tcW w:type="dxa" w:w="12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8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10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w:t>
                  </w:r>
                </w:p>
              </w:tc>
            </w:tr>
          </w:tbl>
          <w:p>
            <w:pPr>
              <w:spacing w:after="0" w:before="120" w:line="240"/>
              <w:jc w:val="left"/>
            </w:pPr>
            <w:r>
              <w:rPr>
                <w:rFonts w:ascii="Calibri" w:cs="Calibri" w:eastAsia="Calibri" w:hAnsi="Calibri"/>
                <w:b w:val="false"/>
                <w:bCs w:val="false"/>
                <w:i w:val="false"/>
                <w:iCs w:val="false"/>
                <w:color w:val="6B7480"/>
                <w:sz w:val="15"/>
                <w:szCs w:val="15"/>
              </w:rPr>
              <w:t xml:space="preserve">ELT Leader is the department roll-up owner. Titles shown as recorded in the source tab.</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Anticipated demand is now fully priced: $4.29M across all 40 positions, up from $3.49M when 7 lacked a pay band, and 110% of the $3.90M already open. It is concentrated in one leader — Jackie Britt owns 27 of the 40 positions and $2.86M (67%), against $713K for Stacey Little and $642K for Lynn Mettler. 20 of the 40 remain flagged FUTURE NEEDS rather than confirmed, so the figure is a ceiling, not a commitment.</w:t>
            </w:r>
          </w:p>
        </w:tc>
      </w:tr>
    </w:tbl>
    <w:p>
      <w:pPr>
        <w:spacing w:after="0" w:before="120" w:line="200"/>
        <w:jc w:val="left"/>
      </w:pPr>
      <w:r>
        <w:rPr>
          <w:rFonts w:ascii="Calibri" w:cs="Calibri" w:eastAsia="Calibri" w:hAnsi="Calibri"/>
          <w:b w:val="false"/>
          <w:bCs w:val="false"/>
          <w:i w:val="false"/>
          <w:iCs w:val="false"/>
          <w:color w:val="A3AAB6"/>
          <w:sz w:val="12"/>
          <w:szCs w:val="12"/>
        </w:rPr>
        <w:t xml:space="preserve">Projected dollars = midpoint of posted min/max pay range for the matching payscale title; all 40 positions are now banded. Six previously unmatched titles were priced this week: Account Director, Agile Coach, Director Strategic Account Management, HR Operations, QA and Project Manager — the last at the Implementation Manager band ($99,550–$124,438).</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CPO STATUS UPDATE</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Generated Aug 14, 2026  11:34 AM ET</w:t>
            </w:r>
          </w:p>
        </w:tc>
      </w:tr>
    </w:tbl>
    <w:p>
      <w:pPr>
        <w:spacing w:after="30" w:before="90" w:line="240"/>
        <w:jc w:val="left"/>
      </w:pPr>
      <w:r>
        <w:rPr>
          <w:rFonts w:ascii="Calibri" w:cs="Calibri" w:eastAsia="Calibri" w:hAnsi="Calibri"/>
          <w:b/>
          <w:bCs/>
          <w:i w:val="false"/>
          <w:iCs w:val="false"/>
          <w:color w:val="1C2A5E"/>
          <w:sz w:val="44"/>
          <w:szCs w:val="44"/>
        </w:rPr>
        <w:t xml:space="preserve">Terminations</w:t>
      </w:r>
    </w:p>
    <w:p>
      <w:pPr>
        <w:spacing w:after="140" w:before="0" w:line="240"/>
        <w:jc w:val="left"/>
      </w:pPr>
      <w:r>
        <w:rPr>
          <w:rFonts w:ascii="Calibri" w:cs="Calibri" w:eastAsia="Calibri" w:hAnsi="Calibri"/>
          <w:b w:val="false"/>
          <w:bCs w:val="false"/>
          <w:i w:val="false"/>
          <w:iCs w:val="false"/>
          <w:color w:val="6B7480"/>
          <w:sz w:val="18"/>
          <w:szCs w:val="18"/>
        </w:rPr>
        <w:t xml:space="preserve">21 terminations  ·  July–August 2026  ·  Non-Billable  ·  as of August 11,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21</w:t>
            </w:r>
          </w:p>
          <w:p>
            <w:pPr>
              <w:spacing w:after="0" w:before="0" w:line="240"/>
              <w:jc w:val="center"/>
            </w:pPr>
            <w:r>
              <w:rPr>
                <w:rFonts w:ascii="Calibri" w:cs="Calibri" w:eastAsia="Calibri" w:hAnsi="Calibri"/>
                <w:b/>
                <w:bCs/>
                <w:i w:val="false"/>
                <w:iCs w:val="false"/>
                <w:color w:val="5B6472"/>
                <w:spacing w:val="20"/>
                <w:sz w:val="13"/>
                <w:szCs w:val="13"/>
              </w:rPr>
              <w:t xml:space="preserve">TOTAL TERMINATIONS</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11 / 10</w:t>
            </w:r>
          </w:p>
          <w:p>
            <w:pPr>
              <w:spacing w:after="0" w:before="0" w:line="240"/>
              <w:jc w:val="center"/>
            </w:pPr>
            <w:r>
              <w:rPr>
                <w:rFonts w:ascii="Calibri" w:cs="Calibri" w:eastAsia="Calibri" w:hAnsi="Calibri"/>
                <w:b/>
                <w:bCs/>
                <w:i w:val="false"/>
                <w:iCs w:val="false"/>
                <w:color w:val="5B6472"/>
                <w:spacing w:val="20"/>
                <w:sz w:val="13"/>
                <w:szCs w:val="13"/>
              </w:rPr>
              <w:t xml:space="preserve">INVOLUNTARY / VOLUNTARY</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15 / 6</w:t>
            </w:r>
          </w:p>
          <w:p>
            <w:pPr>
              <w:spacing w:after="0" w:before="0" w:line="240"/>
              <w:jc w:val="center"/>
            </w:pPr>
            <w:r>
              <w:rPr>
                <w:rFonts w:ascii="Calibri" w:cs="Calibri" w:eastAsia="Calibri" w:hAnsi="Calibri"/>
                <w:b/>
                <w:bCs/>
                <w:i w:val="false"/>
                <w:iCs w:val="false"/>
                <w:color w:val="5B6472"/>
                <w:spacing w:val="20"/>
                <w:sz w:val="13"/>
                <w:szCs w:val="13"/>
              </w:rPr>
              <w:t xml:space="preserve">EMPLOYEE / CONTINGENT</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12</w:t>
            </w:r>
          </w:p>
          <w:p>
            <w:pPr>
              <w:spacing w:after="0" w:before="0" w:line="240"/>
              <w:jc w:val="center"/>
            </w:pPr>
            <w:r>
              <w:rPr>
                <w:rFonts w:ascii="Calibri" w:cs="Calibri" w:eastAsia="Calibri" w:hAnsi="Calibri"/>
                <w:b/>
                <w:bCs/>
                <w:i w:val="false"/>
                <w:iCs w:val="false"/>
                <w:color w:val="5B6472"/>
                <w:spacing w:val="20"/>
                <w:sz w:val="13"/>
                <w:szCs w:val="13"/>
              </w:rPr>
              <w:t xml:space="preserve">UNDER 1 YEAR TENURE</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12 / 9</w:t>
            </w:r>
          </w:p>
          <w:p>
            <w:pPr>
              <w:spacing w:after="0" w:before="0" w:line="240"/>
              <w:jc w:val="center"/>
            </w:pPr>
            <w:r>
              <w:rPr>
                <w:rFonts w:ascii="Calibri" w:cs="Calibri" w:eastAsia="Calibri" w:hAnsi="Calibri"/>
                <w:b/>
                <w:bCs/>
                <w:i w:val="false"/>
                <w:iCs w:val="false"/>
                <w:color w:val="5B6472"/>
                <w:spacing w:val="20"/>
                <w:sz w:val="13"/>
                <w:szCs w:val="13"/>
              </w:rPr>
              <w:t xml:space="preserve">JULY / AUGUST</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6800"/>
        <w:gridCol w:w="400"/>
        <w:gridCol w:w="720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Terminations by Department</w:t>
            </w:r>
          </w:p>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700"/>
              <w:gridCol w:w="1300"/>
            </w:tblGrid>
            <w:tr>
              <w:trPr>
                <w:tblHeader/>
              </w:trPr>
              <w:tc>
                <w:tcPr>
                  <w:tcW w:type="dxa" w:w="47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Home Department</w:t>
                  </w:r>
                </w:p>
              </w:tc>
              <w:tc>
                <w:tcPr>
                  <w:tcW w:type="dxa" w:w="13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Terms</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Project Management Org</w:t>
                  </w:r>
                </w:p>
              </w:tc>
              <w:tc>
                <w:tcPr>
                  <w:tcW w:type="dxa" w:w="1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6</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Development</w:t>
                  </w:r>
                </w:p>
              </w:tc>
              <w:tc>
                <w:tcPr>
                  <w:tcW w:type="dxa" w:w="1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3</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Human Resources</w:t>
                  </w:r>
                </w:p>
              </w:tc>
              <w:tc>
                <w:tcPr>
                  <w:tcW w:type="dxa" w:w="1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Account Management</w:t>
                  </w:r>
                </w:p>
              </w:tc>
              <w:tc>
                <w:tcPr>
                  <w:tcW w:type="dxa" w:w="1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Finance</w:t>
                  </w:r>
                </w:p>
              </w:tc>
              <w:tc>
                <w:tcPr>
                  <w:tcW w:type="dxa" w:w="1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Data &amp; Reporting</w:t>
                  </w:r>
                </w:p>
              </w:tc>
              <w:tc>
                <w:tcPr>
                  <w:tcW w:type="dxa" w:w="1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2</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Enterprise Data</w:t>
                  </w:r>
                </w:p>
              </w:tc>
              <w:tc>
                <w:tcPr>
                  <w:tcW w:type="dxa" w:w="1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Internal Systems</w:t>
                  </w:r>
                </w:p>
              </w:tc>
              <w:tc>
                <w:tcPr>
                  <w:tcW w:type="dxa" w:w="1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r>
            <w:tr>
              <w:tc>
                <w:tcPr>
                  <w:tcW w:type="dxa" w:w="4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Product</w:t>
                  </w:r>
                </w:p>
              </w:tc>
              <w:tc>
                <w:tcPr>
                  <w:tcW w:type="dxa" w:w="1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r>
            <w:tr>
              <w:tc>
                <w:tcPr>
                  <w:tcW w:type="dxa" w:w="4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5"/>
                      <w:szCs w:val="15"/>
                    </w:rPr>
                    <w:t xml:space="preserve">Allazo Technology</w:t>
                  </w:r>
                </w:p>
              </w:tc>
              <w:tc>
                <w:tcPr>
                  <w:tcW w:type="dxa" w:w="1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5"/>
                      <w:szCs w:val="15"/>
                    </w:rPr>
                    <w:t xml:space="preserve">1</w:t>
                  </w:r>
                </w:p>
              </w:tc>
            </w:tr>
            <w:tr>
              <w:tc>
                <w:tcPr>
                  <w:tcW w:type="dxa" w:w="47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5"/>
                      <w:szCs w:val="15"/>
                    </w:rPr>
                    <w:t xml:space="preserve">Total</w:t>
                  </w:r>
                </w:p>
              </w:tc>
              <w:tc>
                <w:tcPr>
                  <w:tcW w:type="dxa" w:w="13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5"/>
                      <w:szCs w:val="15"/>
                    </w:rPr>
                    <w:t xml:space="preserve">21</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Terminations by Business Group</w:t>
            </w:r>
          </w:p>
          <w:tbl>
            <w:tblPr>
              <w:tblW w:type="dxa" w:w="6200"/>
              <w:tblBorders>
                <w:top w:val="none" w:color="FFFFFF" w:sz="0"/>
                <w:left w:val="none" w:color="FFFFFF" w:sz="0"/>
                <w:bottom w:val="none" w:color="FFFFFF" w:sz="0"/>
                <w:right w:val="none" w:color="FFFFFF" w:sz="0"/>
                <w:insideH w:val="none" w:color="FFFFFF" w:sz="0"/>
                <w:insideV w:val="none" w:color="FFFFFF" w:sz="0"/>
              </w:tblBorders>
            </w:tblPr>
            <w:tblGrid>
              <w:gridCol w:w="2100"/>
              <w:gridCol w:w="3400"/>
              <w:gridCol w:w="700"/>
            </w:tblGrid>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Commercial</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3400"/>
                  </w:tblGrid>
                  <w:tr>
                    <w:trPr>
                      <w:trHeight w:val="150" w:hRule="exact"/>
                    </w:trPr>
                    <w:tc>
                      <w:tcPr>
                        <w:tcW w:type="dxa" w:w="340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9</w:t>
                  </w:r>
                </w:p>
              </w:tc>
            </w:tr>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Technology</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3023"/>
                    <w:gridCol w:w="377"/>
                  </w:tblGrid>
                  <w:tr>
                    <w:trPr>
                      <w:trHeight w:val="150" w:hRule="exact"/>
                    </w:trPr>
                    <w:tc>
                      <w:tcPr>
                        <w:tcW w:type="dxa" w:w="3023"/>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77"/>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8</w:t>
                  </w:r>
                </w:p>
              </w:tc>
            </w:tr>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Support</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1510"/>
                    <w:gridCol w:w="1890"/>
                  </w:tblGrid>
                  <w:tr>
                    <w:trPr>
                      <w:trHeight w:val="150" w:hRule="exact"/>
                    </w:trPr>
                    <w:tc>
                      <w:tcPr>
                        <w:tcW w:type="dxa" w:w="1510"/>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89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w:t>
                  </w:r>
                </w:p>
              </w:tc>
            </w:tr>
          </w:tbl>
          <w:p>
            <w:pPr>
              <w:spacing w:after="60" w:before="120" w:line="240"/>
              <w:jc w:val="left"/>
            </w:pPr>
            <w:r>
              <w:rPr>
                <w:rFonts w:ascii="Calibri" w:cs="Calibri" w:eastAsia="Calibri" w:hAnsi="Calibri"/>
                <w:b/>
                <w:bCs/>
                <w:i w:val="false"/>
                <w:iCs w:val="false"/>
                <w:color w:val="1C2A5E"/>
                <w:sz w:val="21"/>
                <w:szCs w:val="21"/>
              </w:rPr>
              <w:t xml:space="preserve">Terminations by Reason Category</w:t>
            </w:r>
          </w:p>
          <w:tbl>
            <w:tblPr>
              <w:tblW w:type="dxa" w:w="6200"/>
              <w:tblBorders>
                <w:top w:val="none" w:color="FFFFFF" w:sz="0"/>
                <w:left w:val="none" w:color="FFFFFF" w:sz="0"/>
                <w:bottom w:val="none" w:color="FFFFFF" w:sz="0"/>
                <w:right w:val="none" w:color="FFFFFF" w:sz="0"/>
                <w:insideH w:val="none" w:color="FFFFFF" w:sz="0"/>
                <w:insideV w:val="none" w:color="FFFFFF" w:sz="0"/>
              </w:tblBorders>
            </w:tblPr>
            <w:tblGrid>
              <w:gridCol w:w="2100"/>
              <w:gridCol w:w="3400"/>
              <w:gridCol w:w="700"/>
            </w:tblGrid>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Dissatisfied w/ Job</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3400"/>
                  </w:tblGrid>
                  <w:tr>
                    <w:trPr>
                      <w:trHeight w:val="150" w:hRule="exact"/>
                    </w:trPr>
                    <w:tc>
                      <w:tcPr>
                        <w:tcW w:type="dxa" w:w="3400"/>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8</w:t>
                  </w:r>
                </w:p>
              </w:tc>
            </w:tr>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Performance</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2125"/>
                    <w:gridCol w:w="1275"/>
                  </w:tblGrid>
                  <w:tr>
                    <w:trPr>
                      <w:trHeight w:val="150" w:hRule="exact"/>
                    </w:trPr>
                    <w:tc>
                      <w:tcPr>
                        <w:tcW w:type="dxa" w:w="2125"/>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275"/>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w:t>
                  </w:r>
                </w:p>
              </w:tc>
            </w:tr>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Eligibility</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850"/>
                    <w:gridCol w:w="2550"/>
                  </w:tblGrid>
                  <w:tr>
                    <w:trPr>
                      <w:trHeight w:val="150" w:hRule="exact"/>
                    </w:trPr>
                    <w:tc>
                      <w:tcPr>
                        <w:tcW w:type="dxa" w:w="850"/>
                        <w:tcBorders>
                          <w:top w:val="none" w:color="FFFFFF" w:sz="0"/>
                          <w:left w:val="none" w:color="FFFFFF" w:sz="0"/>
                          <w:bottom w:val="none" w:color="FFFFFF" w:sz="0"/>
                          <w:right w:val="none" w:color="FFFFFF" w:sz="0"/>
                        </w:tcBorders>
                        <w:shd w:fill="6B7480"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55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2</w:t>
                  </w:r>
                </w:p>
              </w:tc>
            </w:tr>
            <w:tr>
              <w:trPr>
                <w:trHeight w:val="265" w:hRule="atLeast"/>
              </w:trPr>
              <w:tc>
                <w:tcPr>
                  <w:tcW w:type="dxa" w:w="21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Other*</w:t>
                  </w:r>
                </w:p>
              </w:tc>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2550"/>
                    <w:gridCol w:w="850"/>
                  </w:tblGrid>
                  <w:tr>
                    <w:trPr>
                      <w:trHeight w:val="150" w:hRule="exact"/>
                    </w:trPr>
                    <w:tc>
                      <w:tcPr>
                        <w:tcW w:type="dxa" w:w="2550"/>
                        <w:tcBorders>
                          <w:top w:val="none" w:color="FFFFFF" w:sz="0"/>
                          <w:left w:val="none" w:color="FFFFFF" w:sz="0"/>
                          <w:bottom w:val="none" w:color="FFFFFF" w:sz="0"/>
                          <w:right w:val="none" w:color="FFFFFF" w:sz="0"/>
                        </w:tcBorders>
                        <w:shd w:fill="6B7480"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85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6</w:t>
                  </w:r>
                </w:p>
              </w:tc>
            </w:tr>
          </w:tbl>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Attrition is concentrated in Project Management Org (6 of 21, 29%), the same department carrying the heaviest open-req and coming-open load, suggesting turnover there is a direct driver of ongoing demand. Involuntary exits (11) slightly outnumber voluntary (10), and over half of all terminations (12 of 21, 57%) involved employees or contingent workers with under one year of tenure, pointing to early-tenure fit or onboarding as an area worth a closer look.</w:t>
            </w:r>
          </w:p>
        </w:tc>
      </w:tr>
    </w:tbl>
    <w:p>
      <w:pPr>
        <w:spacing w:after="0" w:before="120" w:line="200"/>
        <w:jc w:val="left"/>
      </w:pPr>
      <w:r>
        <w:rPr>
          <w:rFonts w:ascii="Calibri" w:cs="Calibri" w:eastAsia="Calibri" w:hAnsi="Calibri"/>
          <w:b w:val="false"/>
          <w:bCs w:val="false"/>
          <w:i w:val="false"/>
          <w:iCs w:val="false"/>
          <w:color w:val="A3AAB6"/>
          <w:sz w:val="12"/>
          <w:szCs w:val="12"/>
        </w:rPr>
        <w:t xml:space="preserve">Terminations reflect Non-Billable employees and contingent workers, July–August 2026. Individual names and specific termination reasons are withheld from this report; figures are aggregated by department, business group, and reason category. *Other includes Abandoned Job, Misconduct, Mutual, Org Design, Other, and Retirement (1 each).</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CPO Status Update — All Open Non-Billable</dc:title>
  <dc:creator>AssistRx Talent Acquisition</dc:creator>
  <cp:lastModifiedBy>Un-named</cp:lastModifiedBy>
  <cp:revision>1</cp:revision>
  <dcterms:created xsi:type="dcterms:W3CDTF">2026-08-14T17:22:14.267Z</dcterms:created>
  <dcterms:modified xsi:type="dcterms:W3CDTF">2026-08-14T17:22:14.267Z</dcterms:modified>
</cp:coreProperties>
</file>

<file path=docProps/custom.xml><?xml version="1.0" encoding="utf-8"?>
<Properties xmlns="http://schemas.openxmlformats.org/officeDocument/2006/custom-properties" xmlns:vt="http://schemas.openxmlformats.org/officeDocument/2006/docPropsVTypes"/>
</file>