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pPr>
      <w:r>
        <w:rPr>
          <w:rFonts w:ascii="Courier New" w:cs="Courier New" w:eastAsia="Courier New" w:hAnsi="Courier New"/>
          <w:b/>
          <w:bCs/>
          <w:color w:val="B8843D"/>
          <w:sz w:val="20"/>
          <w:szCs w:val="20"/>
        </w:rPr>
        <w:t xml:space="preserve">BUS123 · MATH-M08 · L01</w:t>
      </w:r>
    </w:p>
    <w:p>
      <w:pPr>
        <w:spacing w:after="80" w:before="0"/>
      </w:pPr>
      <w:r>
        <w:rPr>
          <w:rFonts w:ascii="Arial" w:cs="Arial" w:eastAsia="Arial" w:hAnsi="Arial"/>
          <w:b/>
          <w:bCs/>
          <w:color w:val="0E1116"/>
          <w:sz w:val="32"/>
          <w:szCs w:val="32"/>
        </w:rPr>
        <w:t xml:space="preserve">Simple Interest &amp; Discounting — Excel Activity</w:t>
      </w:r>
    </w:p>
    <w:p>
      <w:pPr>
        <w:spacing w:after="80" w:before="0"/>
      </w:pPr>
      <w:r>
        <w:rPr>
          <w:rFonts w:ascii="Arial" w:cs="Arial" w:eastAsia="Arial" w:hAnsi="Arial"/>
          <w:color w:val="555555"/>
          <w:sz w:val="20"/>
          <w:szCs w:val="20"/>
        </w:rPr>
        <w:t xml:space="preserve">Meridian Advisory Group  ·  Fall 2026  ·  Estimated time: 30–35 minutes</w:t>
      </w:r>
    </w:p>
    <w:p>
      <w:pPr>
        <w:pBdr>
          <w:bottom w:val="single" w:color="2D5C3D" w:sz="6" w:space="1"/>
        </w:pBdr>
        <w:spacing w:after="240" w:before="120"/>
      </w:pPr>
      <w:r>
        <w:t xml:space="preserve"/>
      </w:r>
    </w:p>
    <w:p>
      <w:pPr>
        <w:pStyle w:val="Heading1"/>
        <w:spacing w:after="160" w:before="360"/>
      </w:pPr>
      <w:r>
        <w:rPr>
          <w:rFonts w:ascii="Arial" w:cs="Arial" w:eastAsia="Arial" w:hAnsi="Arial"/>
          <w:b/>
          <w:bCs/>
          <w:color w:val="0E1116"/>
          <w:sz w:val="28"/>
          <w:szCs w:val="28"/>
        </w:rPr>
        <w:t xml:space="preserve">1. Activity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0E1116"/>
                <w:sz w:val="20"/>
                <w:szCs w:val="20"/>
              </w:rPr>
              <w:t xml:space="preserve">Course</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E1116"/>
                <w:sz w:val="20"/>
                <w:szCs w:val="20"/>
              </w:rPr>
              <w:t xml:space="preserve">BUS123 — Solving Business Problems with Technology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E1116"/>
                <w:sz w:val="20"/>
                <w:szCs w:val="20"/>
              </w:rPr>
              <w:t xml:space="preserve">Module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E1116"/>
                <w:sz w:val="20"/>
                <w:szCs w:val="20"/>
              </w:rPr>
              <w:t xml:space="preserve">MATH-M08 · Lesson 01</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0E1116"/>
                <w:sz w:val="20"/>
                <w:szCs w:val="20"/>
              </w:rPr>
              <w:t xml:space="preserve">Topic</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E1116"/>
                <w:sz w:val="20"/>
                <w:szCs w:val="20"/>
              </w:rPr>
              <w:t xml:space="preserve">Simple Interest &amp; Discounting (Time Value of Money, Part I)</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E1116"/>
                <w:sz w:val="20"/>
                <w:szCs w:val="20"/>
              </w:rPr>
              <w:t xml:space="preserve">Client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E1116"/>
                <w:sz w:val="20"/>
                <w:szCs w:val="20"/>
              </w:rPr>
              <w:t xml:space="preserve">Meridian Advisory Group (fictional case study)</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0E1116"/>
                <w:sz w:val="20"/>
                <w:szCs w:val="20"/>
              </w:rPr>
              <w:t xml:space="preserve">Class length</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E1116"/>
                <w:sz w:val="20"/>
                <w:szCs w:val="20"/>
              </w:rPr>
              <w:t xml:space="preserve">75 minutes total · Target 30–35 minutes for this activity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E1116"/>
                <w:sz w:val="20"/>
                <w:szCs w:val="20"/>
              </w:rPr>
              <w:t xml:space="preserve">Excel level</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E1116"/>
                <w:sz w:val="20"/>
                <w:szCs w:val="20"/>
              </w:rPr>
              <w:t xml:space="preserve">Beginner — no prior finance functions required</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0E1116"/>
                <w:sz w:val="20"/>
                <w:szCs w:val="20"/>
              </w:rPr>
              <w:t xml:space="preserve">Files</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E1116"/>
                <w:sz w:val="20"/>
                <w:szCs w:val="20"/>
              </w:rPr>
              <w:t xml:space="preserve">bus123-math-m08-l01-starter.xlsx (student) · -activity-key.xlsx (instructor)</w:t>
            </w:r>
          </w:p>
        </w:tc>
      </w:tr>
    </w:tbl>
    <w:p>
      <w:pPr>
        <w:spacing w:after="80" w:before="80"/>
      </w:pPr>
      <w:r>
        <w:t xml:space="preserve"/>
      </w:r>
    </w:p>
    <w:p>
      <w:pPr>
        <w:pStyle w:val="Heading1"/>
        <w:spacing w:after="160" w:before="360"/>
      </w:pPr>
      <w:r>
        <w:rPr>
          <w:rFonts w:ascii="Arial" w:cs="Arial" w:eastAsia="Arial" w:hAnsi="Arial"/>
          <w:b/>
          <w:bCs/>
          <w:color w:val="0E1116"/>
          <w:sz w:val="28"/>
          <w:szCs w:val="28"/>
        </w:rPr>
        <w:t xml:space="preserve">2. Learning Objectives</w:t>
      </w:r>
    </w:p>
    <w:p>
      <w:pPr>
        <w:spacing w:after="80" w:before="80"/>
      </w:pPr>
      <w:r>
        <w:rPr>
          <w:rFonts w:ascii="Arial" w:cs="Arial" w:eastAsia="Arial" w:hAnsi="Arial"/>
          <w:color w:val="0E1116"/>
          <w:sz w:val="20"/>
          <w:szCs w:val="20"/>
        </w:rPr>
        <w:t xml:space="preserve">By the end of this activity, students will be able to:</w:t>
      </w:r>
    </w:p>
    <w:p>
      <w:pPr>
        <w:pStyle w:val="ListParagraph"/>
        <w:numPr>
          <w:ilvl w:val="0"/>
          <w:numId w:val="2"/>
        </w:numPr>
        <w:spacing w:after="40" w:before="40"/>
      </w:pPr>
      <w:r>
        <w:rPr>
          <w:rFonts w:ascii="Arial" w:cs="Arial" w:eastAsia="Arial" w:hAnsi="Arial"/>
          <w:color w:val="0E1116"/>
          <w:sz w:val="20"/>
          <w:szCs w:val="20"/>
        </w:rPr>
        <w:t xml:space="preserve">Calculate simple interest using I = P × R × T, correctly converting months and days to years before applying the formula</w:t>
      </w:r>
    </w:p>
    <w:p>
      <w:pPr>
        <w:pStyle w:val="ListParagraph"/>
        <w:numPr>
          <w:ilvl w:val="0"/>
          <w:numId w:val="2"/>
        </w:numPr>
        <w:spacing w:after="40" w:before="40"/>
      </w:pPr>
      <w:r>
        <w:rPr>
          <w:rFonts w:ascii="Arial" w:cs="Arial" w:eastAsia="Arial" w:hAnsi="Arial"/>
          <w:color w:val="0E1116"/>
          <w:sz w:val="20"/>
          <w:szCs w:val="20"/>
        </w:rPr>
        <w:t xml:space="preserve">Calculate future value using FV = P × (1 + R × T) and build the formula directly in a spreadsheet cell</w:t>
      </w:r>
    </w:p>
    <w:p>
      <w:pPr>
        <w:pStyle w:val="ListParagraph"/>
        <w:numPr>
          <w:ilvl w:val="0"/>
          <w:numId w:val="2"/>
        </w:numPr>
        <w:spacing w:after="40" w:before="40"/>
      </w:pPr>
      <w:r>
        <w:rPr>
          <w:rFonts w:ascii="Arial" w:cs="Arial" w:eastAsia="Arial" w:hAnsi="Arial"/>
          <w:color w:val="0E1116"/>
          <w:sz w:val="20"/>
          <w:szCs w:val="20"/>
        </w:rPr>
        <w:t xml:space="preserve">Discount a future cash flow to its present value using PV = FV ÷ (1 + R × T)</w:t>
      </w:r>
    </w:p>
    <w:p>
      <w:pPr>
        <w:pStyle w:val="ListParagraph"/>
        <w:numPr>
          <w:ilvl w:val="0"/>
          <w:numId w:val="2"/>
        </w:numPr>
        <w:spacing w:after="40" w:before="40"/>
      </w:pPr>
      <w:r>
        <w:rPr>
          <w:rFonts w:ascii="Arial" w:cs="Arial" w:eastAsia="Arial" w:hAnsi="Arial"/>
          <w:color w:val="0E1116"/>
          <w:sz w:val="20"/>
          <w:szCs w:val="20"/>
        </w:rPr>
        <w:t xml:space="preserve">Build a basic discounted cash flow (DCF) model by discounting a stream of future payments and summing their present values</w:t>
      </w:r>
    </w:p>
    <w:p>
      <w:pPr>
        <w:pStyle w:val="ListParagraph"/>
        <w:numPr>
          <w:ilvl w:val="0"/>
          <w:numId w:val="2"/>
        </w:numPr>
        <w:spacing w:after="40" w:before="40"/>
      </w:pPr>
      <w:r>
        <w:rPr>
          <w:rFonts w:ascii="Arial" w:cs="Arial" w:eastAsia="Arial" w:hAnsi="Arial"/>
          <w:color w:val="0E1116"/>
          <w:sz w:val="20"/>
          <w:szCs w:val="20"/>
        </w:rPr>
        <w:t xml:space="preserve">Interpret the relationship between discount rate, time, and present value in plain language</w:t>
      </w:r>
    </w:p>
    <w:p>
      <w:pPr>
        <w:spacing w:after="80" w:before="80"/>
      </w:pPr>
      <w:r>
        <w:t xml:space="preserve"/>
      </w:r>
    </w:p>
    <w:p>
      <w:pPr>
        <w:pStyle w:val="Heading1"/>
        <w:spacing w:after="160" w:before="360"/>
      </w:pPr>
      <w:r>
        <w:rPr>
          <w:rFonts w:ascii="Arial" w:cs="Arial" w:eastAsia="Arial" w:hAnsi="Arial"/>
          <w:b/>
          <w:bCs/>
          <w:color w:val="0E1116"/>
          <w:sz w:val="28"/>
          <w:szCs w:val="28"/>
        </w:rPr>
        <w:t xml:space="preserve">3. Background &amp; Context</w:t>
      </w:r>
    </w:p>
    <w:p>
      <w:pPr>
        <w:spacing w:after="80" w:before="80"/>
      </w:pPr>
      <w:r>
        <w:rPr>
          <w:rFonts w:ascii="Arial" w:cs="Arial" w:eastAsia="Arial" w:hAnsi="Arial"/>
          <w:color w:val="0E1116"/>
          <w:sz w:val="20"/>
          <w:szCs w:val="20"/>
        </w:rPr>
        <w:t xml:space="preserve">Meridian Advisory Group is a mid-size financial advisory firm that works with business clients on everything from short-term lending to long-term cash flow planning. In today’s activity, students step into the role of a junior analyst working on two types of problems Meridian encounters every day.</w:t>
      </w:r>
    </w:p>
    <w:p>
      <w:pPr>
        <w:spacing w:after="80" w:before="80"/>
      </w:pPr>
      <w:r>
        <w:t xml:space="preserve"/>
      </w:r>
    </w:p>
    <w:p>
      <w:pPr>
        <w:spacing w:after="80" w:before="80"/>
      </w:pPr>
      <w:r>
        <w:rPr>
          <w:rFonts w:ascii="Arial" w:cs="Arial" w:eastAsia="Arial" w:hAnsi="Arial"/>
          <w:color w:val="0E1116"/>
          <w:sz w:val="20"/>
          <w:szCs w:val="20"/>
        </w:rPr>
        <w:t xml:space="preserve">The first type is future value: a client takes out a short-term note and wants to know the total they owe at maturity. The second is present value, or discounting: a client is owed future payments and needs to know what that stream of money is worth today — so they can decide whether to sell the contract, reinvest, or wait.</w:t>
      </w:r>
    </w:p>
    <w:p>
      <w:pPr>
        <w:spacing w:after="80" w:before="80"/>
      </w:pPr>
      <w:r>
        <w:t xml:space="preserve"/>
      </w:r>
    </w:p>
    <w:p>
      <w:pPr>
        <w:spacing w:after="80" w:before="80"/>
      </w:pPr>
      <w:r>
        <w:rPr>
          <w:rFonts w:ascii="Arial" w:cs="Arial" w:eastAsia="Arial" w:hAnsi="Arial"/>
          <w:color w:val="0E1116"/>
          <w:sz w:val="20"/>
          <w:szCs w:val="20"/>
        </w:rPr>
        <w:t xml:space="preserve">Both problems use the same formula family. The key insight this activity builds: money has a time dimension. A dollar promised in the future is worth less than a dollar in hand today, because of inflation, opportunity cost, and risk. The discount rate captures all three. Students who internalize this will find every subsequent TVM and valuation topic far more intuitive.</w:t>
      </w:r>
    </w:p>
    <w:p>
      <w:pPr>
        <w:spacing w:after="80" w:before="80"/>
      </w:pPr>
      <w:r>
        <w:t xml:space="preserve"/>
      </w:r>
    </w:p>
    <w:p>
      <w:pPr>
        <w:pStyle w:val="Heading1"/>
        <w:spacing w:after="160" w:before="360"/>
      </w:pPr>
      <w:r>
        <w:rPr>
          <w:rFonts w:ascii="Arial" w:cs="Arial" w:eastAsia="Arial" w:hAnsi="Arial"/>
          <w:b/>
          <w:bCs/>
          <w:color w:val="0E1116"/>
          <w:sz w:val="28"/>
          <w:szCs w:val="28"/>
        </w:rPr>
        <w:t xml:space="preserve">4. Step-by-Step Student Directions</w:t>
      </w:r>
    </w:p>
    <w:p>
      <w:pPr>
        <w:pStyle w:val="Heading2"/>
        <w:spacing w:after="120" w:before="240"/>
      </w:pPr>
      <w:r>
        <w:rPr>
          <w:rFonts w:ascii="Arial" w:cs="Arial" w:eastAsia="Arial" w:hAnsi="Arial"/>
          <w:b/>
          <w:bCs/>
          <w:color w:val="2D5C3D"/>
          <w:sz w:val="24"/>
          <w:szCs w:val="24"/>
        </w:rPr>
        <w:t xml:space="preserve">Before You Start</w:t>
      </w:r>
    </w:p>
    <w:p>
      <w:pPr>
        <w:pStyle w:val="ListParagraph"/>
        <w:numPr>
          <w:ilvl w:val="0"/>
          <w:numId w:val="3"/>
        </w:numPr>
        <w:spacing w:after="40" w:before="40"/>
      </w:pPr>
      <w:r>
        <w:rPr>
          <w:rFonts w:ascii="Arial" w:cs="Arial" w:eastAsia="Arial" w:hAnsi="Arial"/>
          <w:color w:val="0E1116"/>
          <w:sz w:val="20"/>
          <w:szCs w:val="20"/>
        </w:rPr>
        <w:t xml:space="preserve">Open bus123-math-m08-l01-starter.xlsx from Canvas.</w:t>
      </w:r>
    </w:p>
    <w:p>
      <w:pPr>
        <w:pStyle w:val="ListParagraph"/>
        <w:numPr>
          <w:ilvl w:val="0"/>
          <w:numId w:val="3"/>
        </w:numPr>
        <w:spacing w:after="40" w:before="40"/>
      </w:pPr>
      <w:r>
        <w:rPr>
          <w:rFonts w:ascii="Arial" w:cs="Arial" w:eastAsia="Arial" w:hAnsi="Arial"/>
          <w:color w:val="0E1116"/>
          <w:sz w:val="20"/>
          <w:szCs w:val="20"/>
        </w:rPr>
        <w:t xml:space="preserve">Read the START HERE tab completely. Note the color key — yellow cells are yours to fill, green cells auto-calculate.</w:t>
      </w:r>
    </w:p>
    <w:p>
      <w:pPr>
        <w:pStyle w:val="ListParagraph"/>
        <w:numPr>
          <w:ilvl w:val="0"/>
          <w:numId w:val="3"/>
        </w:numPr>
        <w:spacing w:after="40" w:before="40"/>
      </w:pPr>
      <w:r>
        <w:rPr>
          <w:rFonts w:ascii="Arial" w:cs="Arial" w:eastAsia="Arial" w:hAnsi="Arial"/>
          <w:color w:val="0E1116"/>
          <w:sz w:val="20"/>
          <w:szCs w:val="20"/>
        </w:rPr>
        <w:t xml:space="preserve">Open the FormulaCard tab in a second window or keep it visible as you work.</w:t>
      </w:r>
    </w:p>
    <w:p>
      <w:pPr>
        <w:spacing w:after="80" w:before="80"/>
      </w:pPr>
      <w:r>
        <w:t xml:space="preserve"/>
      </w:r>
    </w:p>
    <w:p>
      <w:pPr>
        <w:pStyle w:val="Heading2"/>
        <w:spacing w:after="120" w:before="240"/>
      </w:pPr>
      <w:r>
        <w:rPr>
          <w:rFonts w:ascii="Arial" w:cs="Arial" w:eastAsia="Arial" w:hAnsi="Arial"/>
          <w:b/>
          <w:bCs/>
          <w:color w:val="2D5C3D"/>
          <w:sz w:val="24"/>
          <w:szCs w:val="24"/>
        </w:rPr>
        <w:t xml:space="preserve">Part A — Simple Interest (Tab: “Part A · Simple Interest”)</w:t>
      </w:r>
    </w:p>
    <w:p>
      <w:pPr>
        <w:spacing w:after="80" w:before="80"/>
      </w:pPr>
      <w:r>
        <w:rPr>
          <w:rFonts w:ascii="Arial" w:cs="Arial" w:eastAsia="Arial" w:hAnsi="Arial"/>
          <w:b/>
          <w:bCs/>
          <w:color w:val="0E1116"/>
          <w:sz w:val="20"/>
          <w:szCs w:val="20"/>
        </w:rPr>
        <w:t xml:space="preserve">Section 1 — Interest Earned</w:t>
      </w:r>
    </w:p>
    <w:p>
      <w:pPr>
        <w:pStyle w:val="ListParagraph"/>
        <w:numPr>
          <w:ilvl w:val="0"/>
          <w:numId w:val="3"/>
        </w:numPr>
        <w:spacing w:after="40" w:before="40"/>
      </w:pPr>
      <w:r>
        <w:rPr>
          <w:rFonts w:ascii="Arial" w:cs="Arial" w:eastAsia="Arial" w:hAnsi="Arial"/>
          <w:color w:val="0E1116"/>
          <w:sz w:val="20"/>
          <w:szCs w:val="20"/>
        </w:rPr>
        <w:t xml:space="preserve">Enter the values for Loan A, B, and C from the hint table into the yellow cells (columns C, D, E).</w:t>
      </w:r>
    </w:p>
    <w:p>
      <w:pPr>
        <w:pStyle w:val="ListParagraph"/>
        <w:numPr>
          <w:ilvl w:val="0"/>
          <w:numId w:val="3"/>
        </w:numPr>
        <w:spacing w:after="40" w:before="40"/>
      </w:pPr>
      <w:r>
        <w:rPr>
          <w:rFonts w:ascii="Arial" w:cs="Arial" w:eastAsia="Arial" w:hAnsi="Arial"/>
          <w:color w:val="0E1116"/>
          <w:sz w:val="20"/>
          <w:szCs w:val="20"/>
        </w:rPr>
        <w:t xml:space="preserve">Column F calculates automatically using =C×D×E. Watch the formula bar to see it.</w:t>
      </w:r>
    </w:p>
    <w:p>
      <w:pPr>
        <w:pStyle w:val="ListParagraph"/>
        <w:numPr>
          <w:ilvl w:val="0"/>
          <w:numId w:val="3"/>
        </w:numPr>
        <w:spacing w:after="40" w:before="40"/>
      </w:pPr>
      <w:r>
        <w:rPr>
          <w:rFonts w:ascii="Arial" w:cs="Arial" w:eastAsia="Arial" w:hAnsi="Arial"/>
          <w:color w:val="0E1116"/>
          <w:sz w:val="20"/>
          <w:szCs w:val="20"/>
        </w:rPr>
        <w:t xml:space="preserve">Check your Loan A answer: $5,000 × 0.06 × 2 = $600.00</w:t>
      </w:r>
    </w:p>
    <w:p>
      <w:pPr>
        <w:spacing w:after="80" w:before="80"/>
      </w:pPr>
      <w:r>
        <w:t xml:space="preserve"/>
      </w:r>
    </w:p>
    <w:p>
      <w:pPr>
        <w:spacing w:after="80" w:before="80"/>
      </w:pPr>
      <w:r>
        <w:rPr>
          <w:rFonts w:ascii="Arial" w:cs="Arial" w:eastAsia="Arial" w:hAnsi="Arial"/>
          <w:b/>
          <w:bCs/>
          <w:color w:val="0E1116"/>
          <w:sz w:val="20"/>
          <w:szCs w:val="20"/>
        </w:rPr>
        <w:t xml:space="preserve">Section 2 — Future Value</w:t>
      </w:r>
    </w:p>
    <w:p>
      <w:pPr>
        <w:pStyle w:val="ListParagraph"/>
        <w:numPr>
          <w:ilvl w:val="0"/>
          <w:numId w:val="3"/>
        </w:numPr>
        <w:spacing w:after="40" w:before="40"/>
      </w:pPr>
      <w:r>
        <w:rPr>
          <w:rFonts w:ascii="Arial" w:cs="Arial" w:eastAsia="Arial" w:hAnsi="Arial"/>
          <w:color w:val="0E1116"/>
          <w:sz w:val="20"/>
          <w:szCs w:val="20"/>
        </w:rPr>
        <w:t xml:space="preserve">Re-enter the same P, R, T values in Section 2.</w:t>
      </w:r>
    </w:p>
    <w:p>
      <w:pPr>
        <w:pStyle w:val="ListParagraph"/>
        <w:numPr>
          <w:ilvl w:val="0"/>
          <w:numId w:val="3"/>
        </w:numPr>
        <w:spacing w:after="40" w:before="40"/>
      </w:pPr>
      <w:r>
        <w:rPr>
          <w:rFonts w:ascii="Arial" w:cs="Arial" w:eastAsia="Arial" w:hAnsi="Arial"/>
          <w:color w:val="0E1116"/>
          <w:sz w:val="20"/>
          <w:szCs w:val="20"/>
        </w:rPr>
        <w:t xml:space="preserve">Column F calculates FV = P × (1 + R × T) automatically.</w:t>
      </w:r>
    </w:p>
    <w:p>
      <w:pPr>
        <w:pStyle w:val="ListParagraph"/>
        <w:numPr>
          <w:ilvl w:val="0"/>
          <w:numId w:val="3"/>
        </w:numPr>
        <w:spacing w:after="40" w:before="40"/>
      </w:pPr>
      <w:r>
        <w:rPr>
          <w:rFonts w:ascii="Arial" w:cs="Arial" w:eastAsia="Arial" w:hAnsi="Arial"/>
          <w:color w:val="0E1116"/>
          <w:sz w:val="20"/>
          <w:szCs w:val="20"/>
        </w:rPr>
        <w:t xml:space="preserve">Check Loan A: $5,000 × (1 + 0.06 × 2) = $5,600.00</w:t>
      </w:r>
    </w:p>
    <w:p>
      <w:pPr>
        <w:spacing w:after="80" w:before="80"/>
      </w:pPr>
      <w:r>
        <w:t xml:space="preserve"/>
      </w:r>
    </w:p>
    <w:p>
      <w:pPr>
        <w:pStyle w:val="Heading2"/>
        <w:spacing w:after="120" w:before="240"/>
      </w:pPr>
      <w:r>
        <w:rPr>
          <w:rFonts w:ascii="Arial" w:cs="Arial" w:eastAsia="Arial" w:hAnsi="Arial"/>
          <w:b/>
          <w:bCs/>
          <w:color w:val="2D5C3D"/>
          <w:sz w:val="24"/>
          <w:szCs w:val="24"/>
        </w:rPr>
        <w:t xml:space="preserve">Part B — Discounting (Tab: “Part B · Discounting”)</w:t>
      </w:r>
    </w:p>
    <w:p>
      <w:pPr>
        <w:spacing w:after="80" w:before="80"/>
      </w:pPr>
      <w:r>
        <w:rPr>
          <w:rFonts w:ascii="Arial" w:cs="Arial" w:eastAsia="Arial" w:hAnsi="Arial"/>
          <w:b/>
          <w:bCs/>
          <w:color w:val="0E1116"/>
          <w:sz w:val="20"/>
          <w:szCs w:val="20"/>
        </w:rPr>
        <w:t xml:space="preserve">Section 1 — Present Value</w:t>
      </w:r>
    </w:p>
    <w:p>
      <w:pPr>
        <w:pStyle w:val="ListParagraph"/>
        <w:numPr>
          <w:ilvl w:val="0"/>
          <w:numId w:val="3"/>
        </w:numPr>
        <w:spacing w:after="40" w:before="40"/>
      </w:pPr>
      <w:r>
        <w:rPr>
          <w:rFonts w:ascii="Arial" w:cs="Arial" w:eastAsia="Arial" w:hAnsi="Arial"/>
          <w:color w:val="0E1116"/>
          <w:sz w:val="20"/>
          <w:szCs w:val="20"/>
        </w:rPr>
        <w:t xml:space="preserve">Enter FV, R, and T for each Receivable from the hint table into the yellow cells.</w:t>
      </w:r>
    </w:p>
    <w:p>
      <w:pPr>
        <w:pStyle w:val="ListParagraph"/>
        <w:numPr>
          <w:ilvl w:val="0"/>
          <w:numId w:val="3"/>
        </w:numPr>
        <w:spacing w:after="40" w:before="40"/>
      </w:pPr>
      <w:r>
        <w:rPr>
          <w:rFonts w:ascii="Arial" w:cs="Arial" w:eastAsia="Arial" w:hAnsi="Arial"/>
          <w:color w:val="0E1116"/>
          <w:sz w:val="20"/>
          <w:szCs w:val="20"/>
        </w:rPr>
        <w:t xml:space="preserve">Column F calculates PV = FV ÷ (1 + R × T) automatically.</w:t>
      </w:r>
    </w:p>
    <w:p>
      <w:pPr>
        <w:pStyle w:val="ListParagraph"/>
        <w:numPr>
          <w:ilvl w:val="0"/>
          <w:numId w:val="3"/>
        </w:numPr>
        <w:spacing w:after="40" w:before="40"/>
      </w:pPr>
      <w:r>
        <w:rPr>
          <w:rFonts w:ascii="Arial" w:cs="Arial" w:eastAsia="Arial" w:hAnsi="Arial"/>
          <w:color w:val="0E1116"/>
          <w:sz w:val="20"/>
          <w:szCs w:val="20"/>
        </w:rPr>
        <w:t xml:space="preserve">Check Receivable 1: $18,000 ÷ (1 + 0.07 × 2) = $15,929.20</w:t>
      </w:r>
    </w:p>
    <w:p>
      <w:pPr>
        <w:spacing w:after="80" w:before="80"/>
      </w:pPr>
      <w:r>
        <w:t xml:space="preserve"/>
      </w:r>
    </w:p>
    <w:p>
      <w:pPr>
        <w:spacing w:after="80" w:before="80"/>
      </w:pPr>
      <w:r>
        <w:rPr>
          <w:rFonts w:ascii="Arial" w:cs="Arial" w:eastAsia="Arial" w:hAnsi="Arial"/>
          <w:b/>
          <w:bCs/>
          <w:color w:val="0E1116"/>
          <w:sz w:val="20"/>
          <w:szCs w:val="20"/>
        </w:rPr>
        <w:t xml:space="preserve">Section 2 — Discount Factor</w:t>
      </w:r>
    </w:p>
    <w:p>
      <w:pPr>
        <w:pStyle w:val="ListParagraph"/>
        <w:numPr>
          <w:ilvl w:val="0"/>
          <w:numId w:val="3"/>
        </w:numPr>
        <w:spacing w:after="40" w:before="40"/>
      </w:pPr>
      <w:r>
        <w:rPr>
          <w:rFonts w:ascii="Arial" w:cs="Arial" w:eastAsia="Arial" w:hAnsi="Arial"/>
          <w:color w:val="0E1116"/>
          <w:sz w:val="20"/>
          <w:szCs w:val="20"/>
        </w:rPr>
        <w:t xml:space="preserve">Enter R and T again in Section 2 (columns C and D).</w:t>
      </w:r>
    </w:p>
    <w:p>
      <w:pPr>
        <w:pStyle w:val="ListParagraph"/>
        <w:numPr>
          <w:ilvl w:val="0"/>
          <w:numId w:val="3"/>
        </w:numPr>
        <w:spacing w:after="40" w:before="40"/>
      </w:pPr>
      <w:r>
        <w:rPr>
          <w:rFonts w:ascii="Arial" w:cs="Arial" w:eastAsia="Arial" w:hAnsi="Arial"/>
          <w:color w:val="0E1116"/>
          <w:sz w:val="20"/>
          <w:szCs w:val="20"/>
        </w:rPr>
        <w:t xml:space="preserve">Column E calculates the Discount Factor = 1 + R × T. Column F shows what $1 of future value is worth today.</w:t>
      </w:r>
    </w:p>
    <w:p>
      <w:pPr>
        <w:pStyle w:val="ListParagraph"/>
        <w:numPr>
          <w:ilvl w:val="0"/>
          <w:numId w:val="3"/>
        </w:numPr>
        <w:spacing w:after="40" w:before="40"/>
      </w:pPr>
      <w:r>
        <w:rPr>
          <w:rFonts w:ascii="Arial" w:cs="Arial" w:eastAsia="Arial" w:hAnsi="Arial"/>
          <w:color w:val="0E1116"/>
          <w:sz w:val="20"/>
          <w:szCs w:val="20"/>
        </w:rPr>
        <w:t xml:space="preserve">Observation: what happens to the value per $1 as R or T increases?</w:t>
      </w:r>
    </w:p>
    <w:p>
      <w:pPr>
        <w:spacing w:after="80" w:before="80"/>
      </w:pPr>
      <w:r>
        <w:t xml:space="preserve"/>
      </w:r>
    </w:p>
    <w:p>
      <w:pPr>
        <w:pStyle w:val="Heading2"/>
        <w:spacing w:after="120" w:before="240"/>
      </w:pPr>
      <w:r>
        <w:rPr>
          <w:rFonts w:ascii="Arial" w:cs="Arial" w:eastAsia="Arial" w:hAnsi="Arial"/>
          <w:b/>
          <w:bCs/>
          <w:color w:val="2D5C3D"/>
          <w:sz w:val="24"/>
          <w:szCs w:val="24"/>
        </w:rPr>
        <w:t xml:space="preserve">Part C — DCF Model (Tab: “Part C · DCF Model”)</w:t>
      </w:r>
    </w:p>
    <w:p>
      <w:pPr>
        <w:spacing w:after="80" w:before="80"/>
      </w:pPr>
      <w:r>
        <w:rPr>
          <w:rFonts w:ascii="Arial" w:cs="Arial" w:eastAsia="Arial" w:hAnsi="Arial"/>
          <w:color w:val="0E1116"/>
          <w:sz w:val="20"/>
          <w:szCs w:val="20"/>
        </w:rPr>
        <w:t xml:space="preserve">This is the main deliverable. Read the scenario at the top before starting.</w:t>
      </w:r>
    </w:p>
    <w:p>
      <w:pPr>
        <w:pStyle w:val="ListParagraph"/>
        <w:numPr>
          <w:ilvl w:val="0"/>
          <w:numId w:val="3"/>
        </w:numPr>
        <w:spacing w:after="40" w:before="40"/>
      </w:pPr>
      <w:r>
        <w:rPr>
          <w:rFonts w:ascii="Arial" w:cs="Arial" w:eastAsia="Arial" w:hAnsi="Arial"/>
          <w:color w:val="0E1116"/>
          <w:sz w:val="20"/>
          <w:szCs w:val="20"/>
        </w:rPr>
        <w:t xml:space="preserve">Enter the discount rate (6%) in cell C9 as a decimal: 0.06. Do this FIRST — columns D and F depend on it.</w:t>
      </w:r>
    </w:p>
    <w:p>
      <w:pPr>
        <w:pStyle w:val="ListParagraph"/>
        <w:numPr>
          <w:ilvl w:val="0"/>
          <w:numId w:val="3"/>
        </w:numPr>
        <w:spacing w:after="40" w:before="40"/>
      </w:pPr>
      <w:r>
        <w:rPr>
          <w:rFonts w:ascii="Arial" w:cs="Arial" w:eastAsia="Arial" w:hAnsi="Arial"/>
          <w:color w:val="0E1116"/>
          <w:sz w:val="20"/>
          <w:szCs w:val="20"/>
        </w:rPr>
        <w:t xml:space="preserve">Column C (Future Values) and Column E (Years) are pre-filled. Do not edit them.</w:t>
      </w:r>
    </w:p>
    <w:p>
      <w:pPr>
        <w:pStyle w:val="ListParagraph"/>
        <w:numPr>
          <w:ilvl w:val="0"/>
          <w:numId w:val="3"/>
        </w:numPr>
        <w:spacing w:after="40" w:before="40"/>
      </w:pPr>
      <w:r>
        <w:rPr>
          <w:rFonts w:ascii="Arial" w:cs="Arial" w:eastAsia="Arial" w:hAnsi="Arial"/>
          <w:color w:val="0E1116"/>
          <w:sz w:val="20"/>
          <w:szCs w:val="20"/>
        </w:rPr>
        <w:t xml:space="preserve">Column D will auto-populate from C9 once you enter the rate.</w:t>
      </w:r>
    </w:p>
    <w:p>
      <w:pPr>
        <w:pStyle w:val="ListParagraph"/>
        <w:numPr>
          <w:ilvl w:val="0"/>
          <w:numId w:val="3"/>
        </w:numPr>
        <w:spacing w:after="40" w:before="40"/>
      </w:pPr>
      <w:r>
        <w:rPr>
          <w:rFonts w:ascii="Arial" w:cs="Arial" w:eastAsia="Arial" w:hAnsi="Arial"/>
          <w:color w:val="0E1116"/>
          <w:sz w:val="20"/>
          <w:szCs w:val="20"/>
        </w:rPr>
        <w:t xml:space="preserve">In column F (Discount Factor): write the formula 1 + R × T for each row. Use the cell references: =1+D13*E13 for row 13, and so on.</w:t>
      </w:r>
    </w:p>
    <w:p>
      <w:pPr>
        <w:pStyle w:val="ListParagraph"/>
        <w:numPr>
          <w:ilvl w:val="0"/>
          <w:numId w:val="3"/>
        </w:numPr>
        <w:spacing w:after="40" w:before="40"/>
      </w:pPr>
      <w:r>
        <w:rPr>
          <w:rFonts w:ascii="Arial" w:cs="Arial" w:eastAsia="Arial" w:hAnsi="Arial"/>
          <w:color w:val="0E1116"/>
          <w:sz w:val="20"/>
          <w:szCs w:val="20"/>
        </w:rPr>
        <w:t xml:space="preserve">In column G (Present Value): write the formula =C13/F13 for row 13. Copy down through row 17.</w:t>
      </w:r>
    </w:p>
    <w:p>
      <w:pPr>
        <w:pStyle w:val="ListParagraph"/>
        <w:numPr>
          <w:ilvl w:val="0"/>
          <w:numId w:val="3"/>
        </w:numPr>
        <w:spacing w:after="40" w:before="40"/>
      </w:pPr>
      <w:r>
        <w:rPr>
          <w:rFonts w:ascii="Arial" w:cs="Arial" w:eastAsia="Arial" w:hAnsi="Arial"/>
          <w:color w:val="0E1116"/>
          <w:sz w:val="20"/>
          <w:szCs w:val="20"/>
        </w:rPr>
        <w:t xml:space="preserve">In the TOTAL PRESENT VALUE row: write =SUM(G13:G17).</w:t>
      </w:r>
    </w:p>
    <w:p>
      <w:pPr>
        <w:pStyle w:val="ListParagraph"/>
        <w:numPr>
          <w:ilvl w:val="0"/>
          <w:numId w:val="3"/>
        </w:numPr>
        <w:spacing w:after="40" w:before="40"/>
      </w:pPr>
      <w:r>
        <w:rPr>
          <w:rFonts w:ascii="Arial" w:cs="Arial" w:eastAsia="Arial" w:hAnsi="Arial"/>
          <w:color w:val="0E1116"/>
          <w:sz w:val="20"/>
          <w:szCs w:val="20"/>
        </w:rPr>
        <w:t xml:space="preserve">Answer the reflection question below the table in full sentences.</w:t>
      </w:r>
    </w:p>
    <w:p>
      <w:pPr>
        <w:spacing w:after="80" w:before="80"/>
      </w:pPr>
      <w:r>
        <w:t xml:space="preserve"/>
      </w:r>
    </w:p>
    <w:p>
      <w:pPr>
        <w:pStyle w:val="Heading2"/>
        <w:spacing w:after="120" w:before="240"/>
      </w:pPr>
      <w:r>
        <w:rPr>
          <w:rFonts w:ascii="Arial" w:cs="Arial" w:eastAsia="Arial" w:hAnsi="Arial"/>
          <w:b/>
          <w:bCs/>
          <w:color w:val="2D5C3D"/>
          <w:sz w:val="24"/>
          <w:szCs w:val="24"/>
        </w:rPr>
        <w:t xml:space="preserve">Important Rules</w:t>
      </w:r>
    </w:p>
    <w:p>
      <w:pPr>
        <w:pStyle w:val="ListParagraph"/>
        <w:numPr>
          <w:ilvl w:val="0"/>
          <w:numId w:val="2"/>
        </w:numPr>
        <w:spacing w:after="40" w:before="40"/>
      </w:pPr>
      <w:r>
        <w:rPr>
          <w:rFonts w:ascii="Arial" w:cs="Arial" w:eastAsia="Arial" w:hAnsi="Arial"/>
          <w:color w:val="0E1116"/>
          <w:sz w:val="20"/>
          <w:szCs w:val="20"/>
        </w:rPr>
        <w:t xml:space="preserve">Yellow cells = your input. Every yellow cell must be filled before you submit.</w:t>
      </w:r>
    </w:p>
    <w:p>
      <w:pPr>
        <w:pStyle w:val="ListParagraph"/>
        <w:numPr>
          <w:ilvl w:val="0"/>
          <w:numId w:val="2"/>
        </w:numPr>
        <w:spacing w:after="40" w:before="40"/>
      </w:pPr>
      <w:r>
        <w:rPr>
          <w:rFonts w:ascii="Arial" w:cs="Arial" w:eastAsia="Arial" w:hAnsi="Arial"/>
          <w:color w:val="0E1116"/>
          <w:sz w:val="20"/>
          <w:szCs w:val="20"/>
        </w:rPr>
        <w:t xml:space="preserve">Never type a rate as a percentage in a formula cell — use the decimal (0.06, not 6%).</w:t>
      </w:r>
    </w:p>
    <w:p>
      <w:pPr>
        <w:pStyle w:val="ListParagraph"/>
        <w:numPr>
          <w:ilvl w:val="0"/>
          <w:numId w:val="2"/>
        </w:numPr>
        <w:spacing w:after="40" w:before="40"/>
      </w:pPr>
      <w:r>
        <w:rPr>
          <w:rFonts w:ascii="Arial" w:cs="Arial" w:eastAsia="Arial" w:hAnsi="Arial"/>
          <w:color w:val="0E1116"/>
          <w:sz w:val="20"/>
          <w:szCs w:val="20"/>
        </w:rPr>
        <w:t xml:space="preserve">Never type time in days or months — always convert to years before entering.</w:t>
      </w:r>
    </w:p>
    <w:p>
      <w:pPr>
        <w:pStyle w:val="ListParagraph"/>
        <w:numPr>
          <w:ilvl w:val="0"/>
          <w:numId w:val="2"/>
        </w:numPr>
        <w:spacing w:after="40" w:before="40"/>
      </w:pPr>
      <w:r>
        <w:rPr>
          <w:rFonts w:ascii="Arial" w:cs="Arial" w:eastAsia="Arial" w:hAnsi="Arial"/>
          <w:color w:val="0E1116"/>
          <w:sz w:val="20"/>
          <w:szCs w:val="20"/>
        </w:rPr>
        <w:t xml:space="preserve">If you see #DIV/0! or #VALUE!, check that C9 is filled and all inputs are numbers.</w:t>
      </w:r>
    </w:p>
    <w:p>
      <w:pPr>
        <w:spacing w:after="80" w:before="80"/>
      </w:pPr>
      <w:r>
        <w:t xml:space="preserve"/>
      </w:r>
    </w:p>
    <w:p>
      <w:pPr>
        <w:pStyle w:val="Heading1"/>
        <w:spacing w:after="160" w:before="360"/>
      </w:pPr>
      <w:r>
        <w:rPr>
          <w:rFonts w:ascii="Arial" w:cs="Arial" w:eastAsia="Arial" w:hAnsi="Arial"/>
          <w:b/>
          <w:bCs/>
          <w:color w:val="0E1116"/>
          <w:sz w:val="28"/>
          <w:szCs w:val="28"/>
        </w:rPr>
        <w:t xml:space="preserve">5. Discussion Questions</w:t>
      </w:r>
    </w:p>
    <w:p>
      <w:pPr>
        <w:spacing w:after="80" w:before="80"/>
      </w:pPr>
      <w:r>
        <w:rPr>
          <w:rFonts w:ascii="Arial" w:cs="Arial" w:eastAsia="Arial" w:hAnsi="Arial"/>
          <w:color w:val="0E1116"/>
          <w:sz w:val="20"/>
          <w:szCs w:val="20"/>
        </w:rPr>
        <w:t xml:space="preserve">Use these for debrief after students complete the activity (last 10 minutes of class).</w:t>
      </w:r>
    </w:p>
    <w:p>
      <w:pPr>
        <w:spacing w:after="80" w:before="80"/>
      </w:pPr>
      <w:r>
        <w:t xml:space="preserve"/>
      </w:r>
    </w:p>
    <w:p>
      <w:pPr>
        <w:spacing w:after="60" w:before="180"/>
      </w:pPr>
      <w:r>
        <w:rPr>
          <w:rFonts w:ascii="Arial" w:cs="Arial" w:eastAsia="Arial" w:hAnsi="Arial"/>
          <w:b/>
          <w:bCs/>
          <w:color w:val="B8843D"/>
          <w:sz w:val="20"/>
          <w:szCs w:val="20"/>
        </w:rPr>
        <w:t xml:space="preserve">Computational</w:t>
      </w:r>
    </w:p>
    <w:p>
      <w:pPr>
        <w:pStyle w:val="ListParagraph"/>
        <w:numPr>
          <w:ilvl w:val="0"/>
          <w:numId w:val="3"/>
        </w:numPr>
        <w:spacing w:after="40" w:before="40"/>
      </w:pPr>
      <w:r>
        <w:rPr>
          <w:rFonts w:ascii="Arial" w:cs="Arial" w:eastAsia="Arial" w:hAnsi="Arial"/>
          <w:color w:val="0E1116"/>
          <w:sz w:val="20"/>
          <w:szCs w:val="20"/>
        </w:rPr>
        <w:t xml:space="preserve">Based on your Part A results: which loan generated the most interest in dollar terms? Why?</w:t>
      </w:r>
    </w:p>
    <w:p>
      <w:pPr>
        <w:pStyle w:val="ListParagraph"/>
        <w:numPr>
          <w:ilvl w:val="0"/>
          <w:numId w:val="3"/>
        </w:numPr>
        <w:spacing w:after="40" w:before="40"/>
      </w:pPr>
      <w:r>
        <w:rPr>
          <w:rFonts w:ascii="Arial" w:cs="Arial" w:eastAsia="Arial" w:hAnsi="Arial"/>
          <w:color w:val="0E1116"/>
          <w:sz w:val="20"/>
          <w:szCs w:val="20"/>
        </w:rPr>
        <w:t xml:space="preserve">In Part B, Receivable 3 has the shortest time horizon but the highest discount rate. How did that affect its present value compared to the others?</w:t>
      </w:r>
    </w:p>
    <w:p>
      <w:pPr>
        <w:spacing w:after="80" w:before="80"/>
      </w:pPr>
      <w:r>
        <w:t xml:space="preserve"/>
      </w:r>
    </w:p>
    <w:p>
      <w:pPr>
        <w:spacing w:after="60" w:before="180"/>
      </w:pPr>
      <w:r>
        <w:rPr>
          <w:rFonts w:ascii="Arial" w:cs="Arial" w:eastAsia="Arial" w:hAnsi="Arial"/>
          <w:b/>
          <w:bCs/>
          <w:color w:val="B8843D"/>
          <w:sz w:val="20"/>
          <w:szCs w:val="20"/>
        </w:rPr>
        <w:t xml:space="preserve">Conceptual</w:t>
      </w:r>
    </w:p>
    <w:p>
      <w:pPr>
        <w:pStyle w:val="ListParagraph"/>
        <w:numPr>
          <w:ilvl w:val="0"/>
          <w:numId w:val="3"/>
        </w:numPr>
        <w:spacing w:after="40" w:before="40"/>
      </w:pPr>
      <w:r>
        <w:rPr>
          <w:rFonts w:ascii="Arial" w:cs="Arial" w:eastAsia="Arial" w:hAnsi="Arial"/>
          <w:color w:val="0E1116"/>
          <w:sz w:val="20"/>
          <w:szCs w:val="20"/>
        </w:rPr>
        <w:t xml:space="preserve">In plain language — no formulas — why is $18,000 due in two years worth less than $18,000 today?</w:t>
      </w:r>
    </w:p>
    <w:p>
      <w:pPr>
        <w:pStyle w:val="ListParagraph"/>
        <w:numPr>
          <w:ilvl w:val="0"/>
          <w:numId w:val="3"/>
        </w:numPr>
        <w:spacing w:after="40" w:before="40"/>
      </w:pPr>
      <w:r>
        <w:rPr>
          <w:rFonts w:ascii="Arial" w:cs="Arial" w:eastAsia="Arial" w:hAnsi="Arial"/>
          <w:color w:val="0E1116"/>
          <w:sz w:val="20"/>
          <w:szCs w:val="20"/>
        </w:rPr>
        <w:t xml:space="preserve">What would happen to the total present value in your DCF model if the discount rate increased from 6% to 10%? Would it go up or down? Why?</w:t>
      </w:r>
    </w:p>
    <w:p>
      <w:pPr>
        <w:spacing w:after="80" w:before="80"/>
      </w:pPr>
      <w:r>
        <w:t xml:space="preserve"/>
      </w:r>
    </w:p>
    <w:p>
      <w:pPr>
        <w:spacing w:after="60" w:before="180"/>
      </w:pPr>
      <w:r>
        <w:rPr>
          <w:rFonts w:ascii="Arial" w:cs="Arial" w:eastAsia="Arial" w:hAnsi="Arial"/>
          <w:b/>
          <w:bCs/>
          <w:color w:val="B8843D"/>
          <w:sz w:val="20"/>
          <w:szCs w:val="20"/>
        </w:rPr>
        <w:t xml:space="preserve">Applied</w:t>
      </w:r>
    </w:p>
    <w:p>
      <w:pPr>
        <w:pStyle w:val="ListParagraph"/>
        <w:numPr>
          <w:ilvl w:val="0"/>
          <w:numId w:val="3"/>
        </w:numPr>
        <w:spacing w:after="40" w:before="40"/>
      </w:pPr>
      <w:r>
        <w:rPr>
          <w:rFonts w:ascii="Arial" w:cs="Arial" w:eastAsia="Arial" w:hAnsi="Arial"/>
          <w:color w:val="0E1116"/>
          <w:sz w:val="20"/>
          <w:szCs w:val="20"/>
        </w:rPr>
        <w:t xml:space="preserve">The Meridian client in Part C is being offered $75,000 for their contract today. Based on your DCF model at 6%, should they accept? What if their required return were only 3%?</w:t>
      </w:r>
    </w:p>
    <w:p>
      <w:pPr>
        <w:pStyle w:val="ListParagraph"/>
        <w:numPr>
          <w:ilvl w:val="0"/>
          <w:numId w:val="3"/>
        </w:numPr>
        <w:spacing w:after="40" w:before="40"/>
      </w:pPr>
      <w:r>
        <w:rPr>
          <w:rFonts w:ascii="Arial" w:cs="Arial" w:eastAsia="Arial" w:hAnsi="Arial"/>
          <w:color w:val="0E1116"/>
          <w:sz w:val="20"/>
          <w:szCs w:val="20"/>
        </w:rPr>
        <w:t xml:space="preserve">A competing advisory firm tells the client that discount rates “don’t matter much.” How would you use your model to argue otherwise?</w:t>
      </w:r>
    </w:p>
    <w:p>
      <w:pPr>
        <w:spacing w:after="80" w:before="80"/>
      </w:pPr>
      <w:r>
        <w:t xml:space="preserve"/>
      </w:r>
    </w:p>
    <w:p>
      <w:pPr>
        <w:pStyle w:val="Heading1"/>
        <w:spacing w:after="160" w:before="360"/>
      </w:pPr>
      <w:r>
        <w:rPr>
          <w:rFonts w:ascii="Arial" w:cs="Arial" w:eastAsia="Arial" w:hAnsi="Arial"/>
          <w:b/>
          <w:bCs/>
          <w:color w:val="0E1116"/>
          <w:sz w:val="28"/>
          <w:szCs w:val="28"/>
        </w:rPr>
        <w:t xml:space="preserve">6. Grading Rubric (100 Points)</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4600"/>
        <w:gridCol w:w="1360"/>
        <w:gridCol w:w="600"/>
      </w:tblGrid>
      <w:tr>
        <w:trPr>
          <w:tblHeader/>
        </w:trPr>
        <w:tc>
          <w:tcPr>
            <w:tcW w:type="dxa" w:w="2800"/>
            <w:tcBorders>
              <w:top w:val="single" w:color="CCCCCC" w:sz="1"/>
              <w:left w:val="single" w:color="CCCCCC" w:sz="1"/>
              <w:bottom w:val="single" w:color="CCCCCC" w:sz="1"/>
              <w:right w:val="single" w:color="CCCCCC" w:sz="1"/>
            </w:tcBorders>
            <w:shd w:fill="0E1116" w:val="clear"/>
            <w:tcMar>
              <w:top w:type="dxa" w:w="80"/>
              <w:left w:type="dxa" w:w="120"/>
              <w:bottom w:type="dxa" w:w="80"/>
              <w:right w:type="dxa" w:w="120"/>
            </w:tcMar>
          </w:tcPr>
          <w:p>
            <w:r>
              <w:rPr>
                <w:rFonts w:ascii="Arial" w:cs="Arial" w:eastAsia="Arial" w:hAnsi="Arial"/>
                <w:b/>
                <w:bCs/>
                <w:color w:val="FFFFFF"/>
                <w:sz w:val="20"/>
                <w:szCs w:val="20"/>
              </w:rPr>
              <w:t xml:space="preserve">Criteria</w:t>
            </w:r>
          </w:p>
        </w:tc>
        <w:tc>
          <w:tcPr>
            <w:tcW w:type="dxa" w:w="4600"/>
            <w:tcBorders>
              <w:top w:val="single" w:color="CCCCCC" w:sz="1"/>
              <w:left w:val="single" w:color="CCCCCC" w:sz="1"/>
              <w:bottom w:val="single" w:color="CCCCCC" w:sz="1"/>
              <w:right w:val="single" w:color="CCCCCC" w:sz="1"/>
            </w:tcBorders>
            <w:shd w:fill="0E1116"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1360"/>
            <w:tcBorders>
              <w:top w:val="single" w:color="CCCCCC" w:sz="1"/>
              <w:left w:val="single" w:color="CCCCCC" w:sz="1"/>
              <w:bottom w:val="single" w:color="CCCCCC" w:sz="1"/>
              <w:right w:val="single" w:color="CCCCCC" w:sz="1"/>
            </w:tcBorders>
            <w:shd w:fill="0E1116" w:val="clear"/>
            <w:tcMar>
              <w:top w:type="dxa" w:w="80"/>
              <w:left w:type="dxa" w:w="120"/>
              <w:bottom w:type="dxa" w:w="80"/>
              <w:right w:type="dxa" w:w="120"/>
            </w:tcMar>
          </w:tcPr>
          <w:p>
            <w:r>
              <w:rPr>
                <w:rFonts w:ascii="Arial" w:cs="Arial" w:eastAsia="Arial" w:hAnsi="Arial"/>
                <w:b/>
                <w:bCs/>
                <w:color w:val="FFFFFF"/>
                <w:sz w:val="20"/>
                <w:szCs w:val="20"/>
              </w:rPr>
              <w:t xml:space="preserve">Points</w:t>
            </w:r>
          </w:p>
        </w:tc>
        <w:tc>
          <w:tcPr>
            <w:tcW w:type="dxa" w:w="600"/>
            <w:tcBorders>
              <w:top w:val="single" w:color="CCCCCC" w:sz="1"/>
              <w:left w:val="single" w:color="CCCCCC" w:sz="1"/>
              <w:bottom w:val="single" w:color="CCCCCC" w:sz="1"/>
              <w:right w:val="single" w:color="CCCCCC" w:sz="1"/>
            </w:tcBorders>
            <w:shd w:fill="0E1116" w:val="clear"/>
            <w:tcMar>
              <w:top w:type="dxa" w:w="80"/>
              <w:left w:type="dxa" w:w="120"/>
              <w:bottom w:type="dxa" w:w="80"/>
              <w:right w:type="dxa" w:w="120"/>
            </w:tcMar>
          </w:tcPr>
          <w:p>
            <w:r>
              <w:rPr>
                <w:rFonts w:ascii="Arial" w:cs="Arial" w:eastAsia="Arial" w:hAnsi="Arial"/>
                <w:b/>
                <w:bCs/>
                <w:color w:val="FFFFFF"/>
                <w:sz w:val="20"/>
                <w:szCs w:val="20"/>
              </w:rPr>
              <w:t xml:space="preserve">Score</w:t>
            </w:r>
          </w:p>
        </w:tc>
      </w:tr>
      <w:tr>
        <w:tc>
          <w:tcPr>
            <w:tcW w:type="dxa" w:w="2800"/>
            <w:tcBorders>
              <w:top w:val="single" w:color="CCCCCC" w:sz="1"/>
              <w:left w:val="single" w:color="CCCCCC" w:sz="1"/>
              <w:bottom w:val="single" w:color="CCCCCC" w:sz="1"/>
              <w:right w:val="single" w:color="CCCCCC" w:sz="1"/>
            </w:tcBorders>
            <w:shd w:fill="F9F6EF" w:val="clear"/>
            <w:tcMar>
              <w:top w:type="dxa" w:w="80"/>
              <w:left w:type="dxa" w:w="120"/>
              <w:bottom w:type="dxa" w:w="80"/>
              <w:right w:type="dxa" w:w="120"/>
            </w:tcMar>
          </w:tcPr>
          <w:p>
            <w:r>
              <w:rPr>
                <w:rFonts w:ascii="Arial" w:cs="Arial" w:eastAsia="Arial" w:hAnsi="Arial"/>
                <w:b/>
                <w:bCs/>
                <w:color w:val="2D5C3D"/>
                <w:sz w:val="20"/>
                <w:szCs w:val="20"/>
              </w:rPr>
              <w:t xml:space="preserve">Part A — Simple Interest</w:t>
            </w:r>
          </w:p>
        </w:tc>
        <w:tc>
          <w:tcPr>
            <w:tcW w:type="dxa" w:w="4600"/>
            <w:tcBorders>
              <w:top w:val="single" w:color="CCCCCC" w:sz="1"/>
              <w:left w:val="single" w:color="CCCCCC" w:sz="1"/>
              <w:bottom w:val="single" w:color="CCCCCC" w:sz="1"/>
              <w:right w:val="single" w:color="CCCCCC" w:sz="1"/>
            </w:tcBorders>
            <w:shd w:fill="F9F6EF" w:val="clear"/>
            <w:tcMar>
              <w:top w:type="dxa" w:w="80"/>
              <w:left w:type="dxa" w:w="120"/>
              <w:bottom w:type="dxa" w:w="80"/>
              <w:right w:type="dxa" w:w="120"/>
            </w:tcMar>
          </w:tcPr>
          <w:p>
            <w:r>
              <w:rPr>
                <w:rFonts w:ascii="Arial" w:cs="Arial" w:eastAsia="Arial" w:hAnsi="Arial"/>
                <w:color w:val="0E1116"/>
                <w:sz w:val="20"/>
                <w:szCs w:val="20"/>
              </w:rPr>
              <w:t xml:space="preserve">Section 1: All three Interest Earned values correct (I = P×R×T), T correctly converted to years</w:t>
            </w:r>
          </w:p>
        </w:tc>
        <w:tc>
          <w:tcPr>
            <w:tcW w:type="dxa" w:w="1360"/>
            <w:tcBorders>
              <w:top w:val="single" w:color="CCCCCC" w:sz="1"/>
              <w:left w:val="single" w:color="CCCCCC" w:sz="1"/>
              <w:bottom w:val="single" w:color="CCCCCC" w:sz="1"/>
              <w:right w:val="single" w:color="CCCCCC" w:sz="1"/>
            </w:tcBorders>
            <w:shd w:fill="F9F6EF" w:val="clear"/>
            <w:tcMar>
              <w:top w:type="dxa" w:w="80"/>
              <w:left w:type="dxa" w:w="120"/>
              <w:bottom w:type="dxa" w:w="80"/>
              <w:right w:type="dxa" w:w="120"/>
            </w:tcMar>
          </w:tcPr>
          <w:p>
            <w:pPr>
              <w:jc w:val="center"/>
            </w:pPr>
            <w:r>
              <w:rPr>
                <w:rFonts w:ascii="Arial" w:cs="Arial" w:eastAsia="Arial" w:hAnsi="Arial"/>
                <w:b/>
                <w:bCs/>
                <w:color w:val="B8843D"/>
                <w:sz w:val="20"/>
                <w:szCs w:val="20"/>
              </w:rPr>
              <w:t xml:space="preserve">15 pts</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     </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D5C3D"/>
                <w:sz w:val="20"/>
                <w:szCs w:val="20"/>
              </w:rPr>
              <w:t xml:space="preserve">Part A — Future Value</w:t>
            </w:r>
          </w:p>
        </w:tc>
        <w:tc>
          <w:tcPr>
            <w:tcW w:type="dxa" w:w="4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E1116"/>
                <w:sz w:val="20"/>
                <w:szCs w:val="20"/>
              </w:rPr>
              <w:t xml:space="preserve">Section 2: All three Future Value amounts correct (FV = P×(1+R×T))</w:t>
            </w:r>
          </w:p>
        </w:tc>
        <w:tc>
          <w:tcPr>
            <w:tcW w:type="dxa" w:w="1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B8843D"/>
                <w:sz w:val="20"/>
                <w:szCs w:val="20"/>
              </w:rPr>
              <w:t xml:space="preserve">15 pts</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     </w:t>
            </w:r>
          </w:p>
        </w:tc>
      </w:tr>
      <w:tr>
        <w:tc>
          <w:tcPr>
            <w:tcW w:type="dxa" w:w="2800"/>
            <w:tcBorders>
              <w:top w:val="single" w:color="CCCCCC" w:sz="1"/>
              <w:left w:val="single" w:color="CCCCCC" w:sz="1"/>
              <w:bottom w:val="single" w:color="CCCCCC" w:sz="1"/>
              <w:right w:val="single" w:color="CCCCCC" w:sz="1"/>
            </w:tcBorders>
            <w:shd w:fill="F9F6EF" w:val="clear"/>
            <w:tcMar>
              <w:top w:type="dxa" w:w="80"/>
              <w:left w:type="dxa" w:w="120"/>
              <w:bottom w:type="dxa" w:w="80"/>
              <w:right w:type="dxa" w:w="120"/>
            </w:tcMar>
          </w:tcPr>
          <w:p>
            <w:r>
              <w:rPr>
                <w:rFonts w:ascii="Arial" w:cs="Arial" w:eastAsia="Arial" w:hAnsi="Arial"/>
                <w:b/>
                <w:bCs/>
                <w:color w:val="2D5C3D"/>
                <w:sz w:val="20"/>
                <w:szCs w:val="20"/>
              </w:rPr>
              <w:t xml:space="preserve">Part B — Present Value</w:t>
            </w:r>
          </w:p>
        </w:tc>
        <w:tc>
          <w:tcPr>
            <w:tcW w:type="dxa" w:w="4600"/>
            <w:tcBorders>
              <w:top w:val="single" w:color="CCCCCC" w:sz="1"/>
              <w:left w:val="single" w:color="CCCCCC" w:sz="1"/>
              <w:bottom w:val="single" w:color="CCCCCC" w:sz="1"/>
              <w:right w:val="single" w:color="CCCCCC" w:sz="1"/>
            </w:tcBorders>
            <w:shd w:fill="F9F6EF" w:val="clear"/>
            <w:tcMar>
              <w:top w:type="dxa" w:w="80"/>
              <w:left w:type="dxa" w:w="120"/>
              <w:bottom w:type="dxa" w:w="80"/>
              <w:right w:type="dxa" w:w="120"/>
            </w:tcMar>
          </w:tcPr>
          <w:p>
            <w:r>
              <w:rPr>
                <w:rFonts w:ascii="Arial" w:cs="Arial" w:eastAsia="Arial" w:hAnsi="Arial"/>
                <w:color w:val="0E1116"/>
                <w:sz w:val="20"/>
                <w:szCs w:val="20"/>
              </w:rPr>
              <w:t xml:space="preserve">Section 1: All three Present Values correct; discount formula correctly structured</w:t>
            </w:r>
          </w:p>
        </w:tc>
        <w:tc>
          <w:tcPr>
            <w:tcW w:type="dxa" w:w="1360"/>
            <w:tcBorders>
              <w:top w:val="single" w:color="CCCCCC" w:sz="1"/>
              <w:left w:val="single" w:color="CCCCCC" w:sz="1"/>
              <w:bottom w:val="single" w:color="CCCCCC" w:sz="1"/>
              <w:right w:val="single" w:color="CCCCCC" w:sz="1"/>
            </w:tcBorders>
            <w:shd w:fill="F9F6EF" w:val="clear"/>
            <w:tcMar>
              <w:top w:type="dxa" w:w="80"/>
              <w:left w:type="dxa" w:w="120"/>
              <w:bottom w:type="dxa" w:w="80"/>
              <w:right w:type="dxa" w:w="120"/>
            </w:tcMar>
          </w:tcPr>
          <w:p>
            <w:pPr>
              <w:jc w:val="center"/>
            </w:pPr>
            <w:r>
              <w:rPr>
                <w:rFonts w:ascii="Arial" w:cs="Arial" w:eastAsia="Arial" w:hAnsi="Arial"/>
                <w:b/>
                <w:bCs/>
                <w:color w:val="B8843D"/>
                <w:sz w:val="20"/>
                <w:szCs w:val="20"/>
              </w:rPr>
              <w:t xml:space="preserve">15 pts</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     </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D5C3D"/>
                <w:sz w:val="20"/>
                <w:szCs w:val="20"/>
              </w:rPr>
              <w:t xml:space="preserve">Part B — Discount Factor</w:t>
            </w:r>
          </w:p>
        </w:tc>
        <w:tc>
          <w:tcPr>
            <w:tcW w:type="dxa" w:w="4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E1116"/>
                <w:sz w:val="20"/>
                <w:szCs w:val="20"/>
              </w:rPr>
              <w:t xml:space="preserve">Section 2: Discount factors and value-per-$1 calculations correct; observation answered</w:t>
            </w:r>
          </w:p>
        </w:tc>
        <w:tc>
          <w:tcPr>
            <w:tcW w:type="dxa" w:w="1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B8843D"/>
                <w:sz w:val="20"/>
                <w:szCs w:val="20"/>
              </w:rPr>
              <w:t xml:space="preserve">10 pts</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     </w:t>
            </w:r>
          </w:p>
        </w:tc>
      </w:tr>
      <w:tr>
        <w:tc>
          <w:tcPr>
            <w:tcW w:type="dxa" w:w="2800"/>
            <w:tcBorders>
              <w:top w:val="single" w:color="CCCCCC" w:sz="1"/>
              <w:left w:val="single" w:color="CCCCCC" w:sz="1"/>
              <w:bottom w:val="single" w:color="CCCCCC" w:sz="1"/>
              <w:right w:val="single" w:color="CCCCCC" w:sz="1"/>
            </w:tcBorders>
            <w:shd w:fill="F9F6EF" w:val="clear"/>
            <w:tcMar>
              <w:top w:type="dxa" w:w="80"/>
              <w:left w:type="dxa" w:w="120"/>
              <w:bottom w:type="dxa" w:w="80"/>
              <w:right w:type="dxa" w:w="120"/>
            </w:tcMar>
          </w:tcPr>
          <w:p>
            <w:r>
              <w:rPr>
                <w:rFonts w:ascii="Arial" w:cs="Arial" w:eastAsia="Arial" w:hAnsi="Arial"/>
                <w:b/>
                <w:bCs/>
                <w:color w:val="2D5C3D"/>
                <w:sz w:val="20"/>
                <w:szCs w:val="20"/>
              </w:rPr>
              <w:t xml:space="preserve">Part C — DCF Setup</w:t>
            </w:r>
          </w:p>
        </w:tc>
        <w:tc>
          <w:tcPr>
            <w:tcW w:type="dxa" w:w="4600"/>
            <w:tcBorders>
              <w:top w:val="single" w:color="CCCCCC" w:sz="1"/>
              <w:left w:val="single" w:color="CCCCCC" w:sz="1"/>
              <w:bottom w:val="single" w:color="CCCCCC" w:sz="1"/>
              <w:right w:val="single" w:color="CCCCCC" w:sz="1"/>
            </w:tcBorders>
            <w:shd w:fill="F9F6EF" w:val="clear"/>
            <w:tcMar>
              <w:top w:type="dxa" w:w="80"/>
              <w:left w:type="dxa" w:w="120"/>
              <w:bottom w:type="dxa" w:w="80"/>
              <w:right w:type="dxa" w:w="120"/>
            </w:tcMar>
          </w:tcPr>
          <w:p>
            <w:r>
              <w:rPr>
                <w:rFonts w:ascii="Arial" w:cs="Arial" w:eastAsia="Arial" w:hAnsi="Arial"/>
                <w:color w:val="0E1116"/>
                <w:sz w:val="20"/>
                <w:szCs w:val="20"/>
              </w:rPr>
              <w:t xml:space="preserve">C9 filled correctly; Discount Factor formulas in Column F use correct cell references for all five rows</w:t>
            </w:r>
          </w:p>
        </w:tc>
        <w:tc>
          <w:tcPr>
            <w:tcW w:type="dxa" w:w="1360"/>
            <w:tcBorders>
              <w:top w:val="single" w:color="CCCCCC" w:sz="1"/>
              <w:left w:val="single" w:color="CCCCCC" w:sz="1"/>
              <w:bottom w:val="single" w:color="CCCCCC" w:sz="1"/>
              <w:right w:val="single" w:color="CCCCCC" w:sz="1"/>
            </w:tcBorders>
            <w:shd w:fill="F9F6EF" w:val="clear"/>
            <w:tcMar>
              <w:top w:type="dxa" w:w="80"/>
              <w:left w:type="dxa" w:w="120"/>
              <w:bottom w:type="dxa" w:w="80"/>
              <w:right w:type="dxa" w:w="120"/>
            </w:tcMar>
          </w:tcPr>
          <w:p>
            <w:pPr>
              <w:jc w:val="center"/>
            </w:pPr>
            <w:r>
              <w:rPr>
                <w:rFonts w:ascii="Arial" w:cs="Arial" w:eastAsia="Arial" w:hAnsi="Arial"/>
                <w:b/>
                <w:bCs/>
                <w:color w:val="B8843D"/>
                <w:sz w:val="20"/>
                <w:szCs w:val="20"/>
              </w:rPr>
              <w:t xml:space="preserve">15 pts</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     </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D5C3D"/>
                <w:sz w:val="20"/>
                <w:szCs w:val="20"/>
              </w:rPr>
              <w:t xml:space="preserve">Part C — PV Formulas</w:t>
            </w:r>
          </w:p>
        </w:tc>
        <w:tc>
          <w:tcPr>
            <w:tcW w:type="dxa" w:w="4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E1116"/>
                <w:sz w:val="20"/>
                <w:szCs w:val="20"/>
              </w:rPr>
              <w:t xml:space="preserve">Column G PV formulas correct for all five rows; SUM formula correct in total row</w:t>
            </w:r>
          </w:p>
        </w:tc>
        <w:tc>
          <w:tcPr>
            <w:tcW w:type="dxa" w:w="1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B8843D"/>
                <w:sz w:val="20"/>
                <w:szCs w:val="20"/>
              </w:rPr>
              <w:t xml:space="preserve">15 pts</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     </w:t>
            </w:r>
          </w:p>
        </w:tc>
      </w:tr>
      <w:tr>
        <w:tc>
          <w:tcPr>
            <w:tcW w:type="dxa" w:w="2800"/>
            <w:tcBorders>
              <w:top w:val="single" w:color="CCCCCC" w:sz="1"/>
              <w:left w:val="single" w:color="CCCCCC" w:sz="1"/>
              <w:bottom w:val="single" w:color="CCCCCC" w:sz="1"/>
              <w:right w:val="single" w:color="CCCCCC" w:sz="1"/>
            </w:tcBorders>
            <w:shd w:fill="F9F6EF" w:val="clear"/>
            <w:tcMar>
              <w:top w:type="dxa" w:w="80"/>
              <w:left w:type="dxa" w:w="120"/>
              <w:bottom w:type="dxa" w:w="80"/>
              <w:right w:type="dxa" w:w="120"/>
            </w:tcMar>
          </w:tcPr>
          <w:p>
            <w:r>
              <w:rPr>
                <w:rFonts w:ascii="Arial" w:cs="Arial" w:eastAsia="Arial" w:hAnsi="Arial"/>
                <w:b/>
                <w:bCs/>
                <w:color w:val="2D5C3D"/>
                <w:sz w:val="20"/>
                <w:szCs w:val="20"/>
              </w:rPr>
              <w:t xml:space="preserve">Part C — Reflection</w:t>
            </w:r>
          </w:p>
        </w:tc>
        <w:tc>
          <w:tcPr>
            <w:tcW w:type="dxa" w:w="4600"/>
            <w:tcBorders>
              <w:top w:val="single" w:color="CCCCCC" w:sz="1"/>
              <w:left w:val="single" w:color="CCCCCC" w:sz="1"/>
              <w:bottom w:val="single" w:color="CCCCCC" w:sz="1"/>
              <w:right w:val="single" w:color="CCCCCC" w:sz="1"/>
            </w:tcBorders>
            <w:shd w:fill="F9F6EF" w:val="clear"/>
            <w:tcMar>
              <w:top w:type="dxa" w:w="80"/>
              <w:left w:type="dxa" w:w="120"/>
              <w:bottom w:type="dxa" w:w="80"/>
              <w:right w:type="dxa" w:w="120"/>
            </w:tcMar>
          </w:tcPr>
          <w:p>
            <w:r>
              <w:rPr>
                <w:rFonts w:ascii="Arial" w:cs="Arial" w:eastAsia="Arial" w:hAnsi="Arial"/>
                <w:color w:val="0E1116"/>
                <w:sz w:val="20"/>
                <w:szCs w:val="20"/>
              </w:rPr>
              <w:t xml:space="preserve">Reflection question answered in complete sentences; references the numeric PV result; logic is correct</w:t>
            </w:r>
          </w:p>
        </w:tc>
        <w:tc>
          <w:tcPr>
            <w:tcW w:type="dxa" w:w="1360"/>
            <w:tcBorders>
              <w:top w:val="single" w:color="CCCCCC" w:sz="1"/>
              <w:left w:val="single" w:color="CCCCCC" w:sz="1"/>
              <w:bottom w:val="single" w:color="CCCCCC" w:sz="1"/>
              <w:right w:val="single" w:color="CCCCCC" w:sz="1"/>
            </w:tcBorders>
            <w:shd w:fill="F9F6EF" w:val="clear"/>
            <w:tcMar>
              <w:top w:type="dxa" w:w="80"/>
              <w:left w:type="dxa" w:w="120"/>
              <w:bottom w:type="dxa" w:w="80"/>
              <w:right w:type="dxa" w:w="120"/>
            </w:tcMar>
          </w:tcPr>
          <w:p>
            <w:pPr>
              <w:jc w:val="center"/>
            </w:pPr>
            <w:r>
              <w:rPr>
                <w:rFonts w:ascii="Arial" w:cs="Arial" w:eastAsia="Arial" w:hAnsi="Arial"/>
                <w:b/>
                <w:bCs/>
                <w:color w:val="B8843D"/>
                <w:sz w:val="20"/>
                <w:szCs w:val="20"/>
              </w:rPr>
              <w:t xml:space="preserve">10 pts</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     </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D5C3D"/>
                <w:sz w:val="20"/>
                <w:szCs w:val="20"/>
              </w:rPr>
              <w:t xml:space="preserve">Formula Integrity</w:t>
            </w:r>
          </w:p>
        </w:tc>
        <w:tc>
          <w:tcPr>
            <w:tcW w:type="dxa" w:w="4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E1116"/>
                <w:sz w:val="20"/>
                <w:szCs w:val="20"/>
              </w:rPr>
              <w:t xml:space="preserve">No hardcoded values in formula columns; cell references used throughout; no #VALUE! or #DIV/0! errors</w:t>
            </w:r>
          </w:p>
        </w:tc>
        <w:tc>
          <w:tcPr>
            <w:tcW w:type="dxa" w:w="1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B8843D"/>
                <w:sz w:val="20"/>
                <w:szCs w:val="20"/>
              </w:rPr>
              <w:t xml:space="preserve">5 pts</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     </w:t>
            </w:r>
          </w:p>
        </w:tc>
      </w:tr>
    </w:tbl>
    <w:p>
      <w:pPr>
        <w:spacing w:after="80" w:before="80"/>
      </w:pPr>
      <w:r>
        <w:t xml:space="preserve"/>
      </w:r>
    </w:p>
    <w:p>
      <w:pPr>
        <w:spacing w:after="80" w:before="80"/>
      </w:pPr>
      <w:r>
        <w:rPr>
          <w:rFonts w:ascii="Arial" w:cs="Arial" w:eastAsia="Arial" w:hAnsi="Arial"/>
          <w:b/>
          <w:bCs/>
          <w:color w:val="0E1116"/>
          <w:sz w:val="20"/>
          <w:szCs w:val="20"/>
        </w:rPr>
        <w:t xml:space="preserve">Total: 100 points  ·  </w:t>
      </w:r>
      <w:r>
        <w:rPr>
          <w:rFonts w:ascii="Arial" w:cs="Arial" w:eastAsia="Arial" w:hAnsi="Arial"/>
          <w:color w:val="555555"/>
          <w:sz w:val="20"/>
          <w:szCs w:val="20"/>
        </w:rPr>
        <w:t xml:space="preserve">Deduct 5 points for any hardcoded answer (value typed instead of formula). No partial credit on formula structure errors.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0E1116"/>
      <w:sz w:val="28"/>
      <w:szCs w:val="28"/>
    </w:rPr>
  </w:style>
  <w:style w:type="paragraph" w:styleId="Heading2">
    <w:name w:val="Heading 2"/>
    <w:basedOn w:val="Normal"/>
    <w:next w:val="Normal"/>
    <w:qFormat/>
    <w:pPr>
      <w:spacing w:after="120" w:before="240"/>
      <w:outlineLvl w:val="1"/>
    </w:pPr>
    <w:rPr>
      <w:rFonts w:ascii="Arial" w:cs="Arial" w:eastAsia="Arial" w:hAnsi="Arial"/>
      <w:b/>
      <w:bCs/>
      <w:color w:val="2D5C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2026-05-28T20:04:08.829Z</dcterms:created>
  <dcterms:modified xsi:type="dcterms:W3CDTF">2026-05-28T20:04:08.829Z</dcterms:modified>
</cp:coreProperties>
</file>

<file path=docProps/custom.xml><?xml version="1.0" encoding="utf-8"?>
<Properties xmlns="http://schemas.openxmlformats.org/officeDocument/2006/custom-properties" xmlns:vt="http://schemas.openxmlformats.org/officeDocument/2006/docPropsVTypes"/>
</file>