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40"/>
        <w:jc w:val="left"/>
        <w:tblLayout w:type="fixed"/>
        <w:tblLook w:firstColumn="1" w:firstRow="1" w:lastColumn="0" w:lastRow="0" w:noHBand="0" w:noVBand="1" w:val="04A0"/>
        <w:tblInd w:w="120" w:type="dxa"/>
      </w:tblPr>
      <w:tblGrid>
        <w:gridCol w:w="6480"/>
        <w:gridCol w:w="3360"/>
      </w:tblGrid>
      <w:tr>
        <w:trPr>
          <w:cantSplit/>
        </w:trPr>
        <w:tc>
          <w:tcPr>
            <w:tcW w:type="dxa" w:w="6480"/>
            <w:shd w:fill="0A2540"/>
            <w:tcBorders>
              <w:top w:val="single" w:sz="0" w:color="0A2540"/>
              <w:left w:val="single" w:sz="0" w:color="0A2540"/>
              <w:bottom w:val="single" w:sz="0" w:color="0A2540"/>
              <w:right w:val="single" w:sz="0" w:color="0A2540"/>
              <w:insideH w:val="single" w:sz="0" w:color="0A2540"/>
              <w:insideV w:val="single" w:sz="0" w:color="0A2540"/>
            </w:tcBorders>
            <w:tcMar>
              <w:top w:w="180" w:type="dxa"/>
              <w:start w:w="240" w:type="dxa"/>
              <w:bottom w:w="180" w:type="dxa"/>
              <w:end w:w="180" w:type="dxa"/>
            </w:tcMar>
            <w:vAlign w:val="center"/>
          </w:tcPr>
          <w:p>
            <w:pPr>
              <w:spacing w:after="60"/>
            </w:pPr>
            <w:r>
              <w:rPr>
                <w:rFonts w:ascii="Arial" w:hAnsi="Arial"/>
                <w:b/>
                <w:color w:val="BFDBFE"/>
                <w:sz w:val="16"/>
              </w:rPr>
              <w:t>ENDICOTT COLLEGE  ·  GERRISH SCHOOL OF BUSINESS</w:t>
            </w:r>
          </w:p>
          <w:p>
            <w:pPr>
              <w:spacing w:after="40"/>
            </w:pPr>
            <w:r>
              <w:rPr>
                <w:rFonts w:ascii="Arial" w:hAnsi="Arial"/>
                <w:b/>
                <w:color w:val="FFFFFF"/>
                <w:sz w:val="48"/>
              </w:rPr>
              <w:t>BUS210 Finance</w:t>
            </w:r>
          </w:p>
          <w:p>
            <w:r>
              <w:rPr>
                <w:rFonts w:ascii="Arial" w:hAnsi="Arial"/>
                <w:b/>
                <w:color w:val="DBEAFE"/>
                <w:sz w:val="26"/>
              </w:rPr>
              <w:t>Fall 2026 Course Syllabus</w:t>
            </w:r>
          </w:p>
          <w:p>
            <w:r>
              <w:rPr>
                <w:rFonts w:ascii="Arial" w:hAnsi="Arial"/>
                <w:b/>
                <w:color w:val="FDE68A"/>
                <w:sz w:val="20"/>
              </w:rPr>
              <w:t>Monday/Wednesday/Friday · 50 minutes</w:t>
            </w:r>
          </w:p>
        </w:tc>
        <w:tc>
          <w:tcPr>
            <w:tcW w:type="dxa" w:w="3360"/>
            <w:shd w:fill="0A2540"/>
            <w:tcBorders>
              <w:top w:val="single" w:sz="0" w:color="0A2540"/>
              <w:left w:val="single" w:sz="0" w:color="0A2540"/>
              <w:bottom w:val="single" w:sz="0" w:color="0A2540"/>
              <w:right w:val="single" w:sz="0" w:color="0A2540"/>
              <w:insideH w:val="single" w:sz="0" w:color="0A2540"/>
              <w:insideV w:val="single" w:sz="0" w:color="0A2540"/>
            </w:tcBorders>
            <w:tcMar>
              <w:top w:w="180" w:type="dxa"/>
              <w:start w:w="240" w:type="dxa"/>
              <w:bottom w:w="180" w:type="dxa"/>
              <w:end w:w="180" w:type="dxa"/>
            </w:tcMar>
            <w:vAlign w:val="center"/>
          </w:tcPr>
          <w:p>
            <w:pPr>
              <w:jc w:val="center"/>
            </w:pPr>
            <w:r>
              <w:drawing>
                <wp:inline xmlns:a="http://schemas.openxmlformats.org/drawingml/2006/main" xmlns:pic="http://schemas.openxmlformats.org/drawingml/2006/picture">
                  <wp:extent cx="1938528" cy="1292352"/>
                  <wp:docPr id="1" name="Picture 1" descr="Students collaborating on a finance analysis" title="Finance analysis in action"/>
                  <wp:cNvGraphicFramePr>
                    <a:graphicFrameLocks noChangeAspect="1"/>
                  </wp:cNvGraphicFramePr>
                  <a:graphic>
                    <a:graphicData uri="http://schemas.openxmlformats.org/drawingml/2006/picture">
                      <pic:pic>
                        <pic:nvPicPr>
                          <pic:cNvPr id="0" name="table_Finance.jpg"/>
                          <pic:cNvPicPr/>
                        </pic:nvPicPr>
                        <pic:blipFill>
                          <a:blip r:embed="rId11"/>
                          <a:stretch>
                            <a:fillRect/>
                          </a:stretch>
                        </pic:blipFill>
                        <pic:spPr>
                          <a:xfrm>
                            <a:off x="0" y="0"/>
                            <a:ext cx="1938528" cy="1292352"/>
                          </a:xfrm>
                          <a:prstGeom prst="rect"/>
                        </pic:spPr>
                      </pic:pic>
                    </a:graphicData>
                  </a:graphic>
                </wp:inline>
              </w:drawing>
            </w:r>
          </w:p>
        </w:tc>
      </w:tr>
    </w:tbl>
    <w:p>
      <w:pPr>
        <w:pStyle w:val="Heading1"/>
      </w:pPr>
      <w:r>
        <w:t>Course Snapshot</w:t>
      </w:r>
    </w:p>
    <w:tbl>
      <w:tblPr>
        <w:tblW w:type="dxa" w:w="9840"/>
        <w:jc w:val="left"/>
        <w:tblLayout w:type="fixed"/>
        <w:tblLook w:firstColumn="1" w:firstRow="1" w:lastColumn="0" w:lastRow="0" w:noHBand="0" w:noVBand="1" w:val="04A0"/>
        <w:tblInd w:w="120" w:type="dxa"/>
      </w:tblPr>
      <w:tblGrid>
        <w:gridCol w:w="4920"/>
        <w:gridCol w:w="4920"/>
      </w:tblGrid>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COURSE</w:t>
            </w:r>
          </w:p>
          <w:p>
            <w:pPr>
              <w:spacing w:after="0"/>
            </w:pPr>
            <w:r>
              <w:rPr>
                <w:rFonts w:ascii="Arial" w:hAnsi="Arial"/>
                <w:b/>
                <w:color w:val="172033"/>
                <w:sz w:val="17"/>
              </w:rPr>
              <w:t>BUS210 Finance · 3 credits · Lecture</w:t>
            </w:r>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SECTION</w:t>
            </w:r>
          </w:p>
          <w:p>
            <w:pPr>
              <w:spacing w:after="0"/>
            </w:pPr>
            <w:r>
              <w:rPr>
                <w:rFonts w:ascii="Arial" w:hAnsi="Arial"/>
                <w:b w:val="0"/>
                <w:color w:val="172033"/>
                <w:sz w:val="17"/>
              </w:rPr>
              <w:t>BUS210-02</w:t>
            </w:r>
          </w:p>
        </w:tc>
      </w:tr>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MEETING PATTERN</w:t>
            </w:r>
          </w:p>
          <w:p>
            <w:pPr>
              <w:spacing w:after="0"/>
            </w:pPr>
            <w:r>
              <w:rPr>
                <w:rFonts w:ascii="Arial" w:hAnsi="Arial"/>
                <w:b/>
                <w:color w:val="172033"/>
                <w:sz w:val="17"/>
              </w:rPr>
              <w:t>Monday, Wednesday, and Friday · 50 minutes</w:t>
            </w:r>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TIME / ROOM</w:t>
            </w:r>
          </w:p>
          <w:p>
            <w:pPr>
              <w:spacing w:after="0"/>
            </w:pPr>
            <w:r>
              <w:rPr>
                <w:rFonts w:ascii="Arial" w:hAnsi="Arial"/>
                <w:b w:val="0"/>
                <w:color w:val="172033"/>
                <w:sz w:val="17"/>
              </w:rPr>
              <w:t>Time TBA · GSB 155</w:t>
            </w:r>
          </w:p>
        </w:tc>
      </w:tr>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INSTRUCTOR</w:t>
            </w:r>
          </w:p>
          <w:p>
            <w:pPr>
              <w:spacing w:after="0"/>
            </w:pPr>
            <w:r>
              <w:rPr>
                <w:rFonts w:ascii="Arial" w:hAnsi="Arial"/>
                <w:b w:val="0"/>
                <w:color w:val="172033"/>
                <w:sz w:val="17"/>
              </w:rPr>
              <w:t>Professor Bethany Evitts, CFA</w:t>
            </w:r>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OFFICE</w:t>
            </w:r>
          </w:p>
          <w:p>
            <w:pPr>
              <w:spacing w:after="0"/>
            </w:pPr>
            <w:r>
              <w:rPr>
                <w:rFonts w:ascii="Arial" w:hAnsi="Arial"/>
                <w:b w:val="0"/>
                <w:color w:val="172033"/>
                <w:sz w:val="17"/>
              </w:rPr>
              <w:t>Gerrish School of Business 356</w:t>
            </w:r>
          </w:p>
        </w:tc>
      </w:tr>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EMAIL</w:t>
            </w:r>
          </w:p>
          <w:p>
            <w:pPr>
              <w:spacing w:after="0"/>
            </w:pPr>
            <w:hyperlink r:id="rId12">
              <w:r>
                <w:rPr>
                  <w:rFonts w:ascii="Arial" w:hAnsi="Arial"/>
                  <w:color w:val="1D4ED8"/>
                  <w:u w:val="single"/>
                </w:rPr>
                <w:t>bevitts@endicott.edu</w:t>
              </w:r>
            </w:hyperlink>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OFFICE HOURS</w:t>
            </w:r>
          </w:p>
          <w:p>
            <w:pPr>
              <w:spacing w:after="0"/>
            </w:pPr>
            <w:hyperlink r:id="rId13">
              <w:r>
                <w:rPr>
                  <w:rFonts w:ascii="Arial" w:hAnsi="Arial"/>
                  <w:color w:val="1D4ED8"/>
                  <w:u w:val="single"/>
                </w:rPr>
                <w:t>Use the live appointment calendar</w:t>
              </w:r>
            </w:hyperlink>
          </w:p>
        </w:tc>
      </w:tr>
    </w:tbl>
    <w:p>
      <w:pPr>
        <w:pStyle w:val="Heading1"/>
      </w:pPr>
      <w:r>
        <w:t>How We Learn Finance</w:t>
      </w:r>
    </w:p>
    <w:p>
      <w:r>
        <w:rPr>
          <w:rFonts w:ascii="Arial" w:hAnsi="Arial"/>
          <w:i w:val="0"/>
        </w:rPr>
        <w:t>Each class follows a practical cycle. Exact assignments and due times appear in Canvas.</w:t>
      </w:r>
    </w:p>
    <w:tbl>
      <w:tblPr>
        <w:tblW w:type="dxa" w:w="9840"/>
        <w:jc w:val="left"/>
        <w:tblLayout w:type="fixed"/>
        <w:tblLook w:firstColumn="1" w:firstRow="1" w:lastColumn="0" w:lastRow="0" w:noHBand="0" w:noVBand="1" w:val="04A0"/>
        <w:tblInd w:w="120" w:type="dxa"/>
      </w:tblPr>
      <w:tblGrid>
        <w:gridCol w:w="3280"/>
        <w:gridCol w:w="3280"/>
        <w:gridCol w:w="3280"/>
      </w:tblGrid>
      <w:tr>
        <w:trPr>
          <w:cantSplit/>
        </w:trPr>
        <w:tc>
          <w:tcPr>
            <w:tcW w:type="dxa" w:w="3280"/>
            <w:shd w:fill="EFF6FF"/>
            <w:tcBorders>
              <w:top w:val="single" w:sz="7" w:color="1D4ED8"/>
              <w:left w:val="single" w:sz="7" w:color="1D4ED8"/>
              <w:bottom w:val="single" w:sz="7" w:color="1D4ED8"/>
              <w:right w:val="single" w:sz="7" w:color="1D4ED8"/>
              <w:insideH w:val="single" w:sz="7" w:color="1D4ED8"/>
              <w:insideV w:val="single" w:sz="7" w:color="1D4ED8"/>
            </w:tcBorders>
            <w:tcMar>
              <w:top w:w="125" w:type="dxa"/>
              <w:start w:w="135" w:type="dxa"/>
              <w:bottom w:w="125" w:type="dxa"/>
              <w:end w:w="135" w:type="dxa"/>
            </w:tcMar>
          </w:tcPr>
          <w:p>
            <w:r>
              <w:rPr>
                <w:rFonts w:ascii="Arial" w:hAnsi="Arial"/>
                <w:b/>
                <w:color w:val="1D4ED8"/>
                <w:sz w:val="18"/>
              </w:rPr>
              <w:t>1  PREPARE</w:t>
            </w:r>
          </w:p>
          <w:p>
            <w:pPr>
              <w:spacing w:after="0"/>
            </w:pPr>
            <w:r>
              <w:rPr>
                <w:rFonts w:ascii="Arial" w:hAnsi="Arial"/>
                <w:color w:val="172033"/>
                <w:sz w:val="16"/>
              </w:rPr>
              <w:t>Read or watch, then arrive with the workbook ready.</w:t>
            </w:r>
          </w:p>
        </w:tc>
        <w:tc>
          <w:tcPr>
            <w:tcW w:type="dxa" w:w="3280"/>
            <w:shd w:fill="F0FDFA"/>
            <w:tcBorders>
              <w:top w:val="single" w:sz="7" w:color="0F766E"/>
              <w:left w:val="single" w:sz="7" w:color="0F766E"/>
              <w:bottom w:val="single" w:sz="7" w:color="0F766E"/>
              <w:right w:val="single" w:sz="7" w:color="0F766E"/>
              <w:insideH w:val="single" w:sz="7" w:color="0F766E"/>
              <w:insideV w:val="single" w:sz="7" w:color="0F766E"/>
            </w:tcBorders>
            <w:tcMar>
              <w:top w:w="125" w:type="dxa"/>
              <w:start w:w="135" w:type="dxa"/>
              <w:bottom w:w="125" w:type="dxa"/>
              <w:end w:w="135" w:type="dxa"/>
            </w:tcMar>
          </w:tcPr>
          <w:p>
            <w:r>
              <w:rPr>
                <w:rFonts w:ascii="Arial" w:hAnsi="Arial"/>
                <w:b/>
                <w:color w:val="0F766E"/>
                <w:sz w:val="18"/>
              </w:rPr>
              <w:t>2  PRACTICE</w:t>
            </w:r>
          </w:p>
          <w:p>
            <w:pPr>
              <w:spacing w:after="0"/>
            </w:pPr>
            <w:r>
              <w:rPr>
                <w:rFonts w:ascii="Arial" w:hAnsi="Arial"/>
                <w:color w:val="172033"/>
                <w:sz w:val="16"/>
              </w:rPr>
              <w:t>Model the decision in Excel and explain what the result means.</w:t>
            </w:r>
          </w:p>
        </w:tc>
        <w:tc>
          <w:tcPr>
            <w:tcW w:type="dxa" w:w="3280"/>
            <w:shd w:fill="FFF1ED"/>
            <w:tcBorders>
              <w:top w:val="single" w:sz="7" w:color="B4533C"/>
              <w:left w:val="single" w:sz="7" w:color="B4533C"/>
              <w:bottom w:val="single" w:sz="7" w:color="B4533C"/>
              <w:right w:val="single" w:sz="7" w:color="B4533C"/>
              <w:insideH w:val="single" w:sz="7" w:color="B4533C"/>
              <w:insideV w:val="single" w:sz="7" w:color="B4533C"/>
            </w:tcBorders>
            <w:tcMar>
              <w:top w:w="125" w:type="dxa"/>
              <w:start w:w="135" w:type="dxa"/>
              <w:bottom w:w="125" w:type="dxa"/>
              <w:end w:w="135" w:type="dxa"/>
            </w:tcMar>
          </w:tcPr>
          <w:p>
            <w:r>
              <w:rPr>
                <w:rFonts w:ascii="Arial" w:hAnsi="Arial"/>
                <w:b/>
                <w:color w:val="B4533C"/>
                <w:sz w:val="18"/>
              </w:rPr>
              <w:t>3  PROVE</w:t>
            </w:r>
          </w:p>
          <w:p>
            <w:pPr>
              <w:spacing w:after="0"/>
            </w:pPr>
            <w:r>
              <w:rPr>
                <w:rFonts w:ascii="Arial" w:hAnsi="Arial"/>
                <w:color w:val="172033"/>
                <w:sz w:val="16"/>
              </w:rPr>
              <w:t>Complete a quiz, case, checkpoint, or exam independently.</w:t>
            </w:r>
          </w:p>
        </w:tc>
      </w:tr>
    </w:tbl>
    <w:p>
      <w:pPr>
        <w:pStyle w:val="Heading1"/>
      </w:pPr>
      <w:r>
        <w:t>Your Finance Learning Journey</w:t>
      </w:r>
    </w:p>
    <w:tbl>
      <w:tblPr>
        <w:tblW w:type="dxa" w:w="9840"/>
        <w:jc w:val="left"/>
        <w:tblLayout w:type="fixed"/>
        <w:tblLook w:firstColumn="1" w:firstRow="1" w:lastColumn="0" w:lastRow="0" w:noHBand="0" w:noVBand="1" w:val="04A0"/>
        <w:tblInd w:w="120" w:type="dxa"/>
      </w:tblPr>
      <w:tblGrid>
        <w:gridCol w:w="1968"/>
        <w:gridCol w:w="1968"/>
        <w:gridCol w:w="1968"/>
        <w:gridCol w:w="1968"/>
        <w:gridCol w:w="1968"/>
      </w:tblGrid>
      <w:tr>
        <w:trPr>
          <w:cantSplit/>
        </w:trPr>
        <w:tc>
          <w:tcPr>
            <w:tcW w:type="dxa" w:w="1968"/>
            <w:shd w:fill="FFF1ED"/>
            <w:tcBorders>
              <w:top w:val="single" w:sz="5" w:color="B4533C"/>
              <w:left w:val="single" w:sz="5" w:color="B4533C"/>
              <w:bottom w:val="single" w:sz="5" w:color="B4533C"/>
              <w:right w:val="single" w:sz="5" w:color="B4533C"/>
              <w:insideH w:val="single" w:sz="5" w:color="B4533C"/>
              <w:insideV w:val="single" w:sz="5" w:color="B4533C"/>
            </w:tcBorders>
            <w:tcMar>
              <w:top w:w="95" w:type="dxa"/>
              <w:start w:w="90" w:type="dxa"/>
              <w:bottom w:w="95" w:type="dxa"/>
              <w:end w:w="90" w:type="dxa"/>
            </w:tcMar>
          </w:tcPr>
          <w:p>
            <w:pPr>
              <w:jc w:val="center"/>
            </w:pPr>
            <w:r>
              <w:rPr>
                <w:rFonts w:ascii="Arial" w:hAnsi="Arial"/>
                <w:b/>
                <w:color w:val="B4533C"/>
                <w:sz w:val="28"/>
              </w:rPr>
              <w:t>1</w:t>
            </w:r>
          </w:p>
          <w:p>
            <w:pPr>
              <w:spacing w:after="20"/>
              <w:jc w:val="center"/>
            </w:pPr>
            <w:r>
              <w:rPr>
                <w:rFonts w:ascii="Arial" w:hAnsi="Arial"/>
                <w:b/>
                <w:color w:val="172033"/>
                <w:sz w:val="16"/>
              </w:rPr>
              <w:t>Value money</w:t>
            </w:r>
          </w:p>
          <w:p>
            <w:pPr>
              <w:spacing w:after="0"/>
              <w:jc w:val="center"/>
            </w:pPr>
            <w:r>
              <w:rPr>
                <w:rFonts w:ascii="Arial" w:hAnsi="Arial"/>
                <w:color w:val="475569"/>
                <w:sz w:val="13"/>
              </w:rPr>
              <w:t>PV · FV · loans</w:t>
            </w:r>
          </w:p>
        </w:tc>
        <w:tc>
          <w:tcPr>
            <w:tcW w:type="dxa" w:w="1968"/>
            <w:shd w:fill="FFFBEB"/>
            <w:tcBorders>
              <w:top w:val="single" w:sz="5" w:color="B7791F"/>
              <w:left w:val="single" w:sz="5" w:color="B7791F"/>
              <w:bottom w:val="single" w:sz="5" w:color="B7791F"/>
              <w:right w:val="single" w:sz="5" w:color="B7791F"/>
              <w:insideH w:val="single" w:sz="5" w:color="B7791F"/>
              <w:insideV w:val="single" w:sz="5" w:color="B7791F"/>
            </w:tcBorders>
            <w:tcMar>
              <w:top w:w="95" w:type="dxa"/>
              <w:start w:w="90" w:type="dxa"/>
              <w:bottom w:w="95" w:type="dxa"/>
              <w:end w:w="90" w:type="dxa"/>
            </w:tcMar>
          </w:tcPr>
          <w:p>
            <w:pPr>
              <w:jc w:val="center"/>
            </w:pPr>
            <w:r>
              <w:rPr>
                <w:rFonts w:ascii="Arial" w:hAnsi="Arial"/>
                <w:b/>
                <w:color w:val="B7791F"/>
                <w:sz w:val="28"/>
              </w:rPr>
              <w:t>2</w:t>
            </w:r>
          </w:p>
          <w:p>
            <w:pPr>
              <w:spacing w:after="20"/>
              <w:jc w:val="center"/>
            </w:pPr>
            <w:r>
              <w:rPr>
                <w:rFonts w:ascii="Arial" w:hAnsi="Arial"/>
                <w:b/>
                <w:color w:val="172033"/>
                <w:sz w:val="16"/>
              </w:rPr>
              <w:t>Read markets</w:t>
            </w:r>
          </w:p>
          <w:p>
            <w:pPr>
              <w:spacing w:after="0"/>
              <w:jc w:val="center"/>
            </w:pPr>
            <w:r>
              <w:rPr>
                <w:rFonts w:ascii="Arial" w:hAnsi="Arial"/>
                <w:color w:val="475569"/>
                <w:sz w:val="13"/>
              </w:rPr>
              <w:t>rates · institutions</w:t>
            </w:r>
          </w:p>
        </w:tc>
        <w:tc>
          <w:tcPr>
            <w:tcW w:type="dxa" w:w="1968"/>
            <w:shd w:fill="F0FDFA"/>
            <w:tcBorders>
              <w:top w:val="single" w:sz="5" w:color="0F766E"/>
              <w:left w:val="single" w:sz="5" w:color="0F766E"/>
              <w:bottom w:val="single" w:sz="5" w:color="0F766E"/>
              <w:right w:val="single" w:sz="5" w:color="0F766E"/>
              <w:insideH w:val="single" w:sz="5" w:color="0F766E"/>
              <w:insideV w:val="single" w:sz="5" w:color="0F766E"/>
            </w:tcBorders>
            <w:tcMar>
              <w:top w:w="95" w:type="dxa"/>
              <w:start w:w="90" w:type="dxa"/>
              <w:bottom w:w="95" w:type="dxa"/>
              <w:end w:w="90" w:type="dxa"/>
            </w:tcMar>
          </w:tcPr>
          <w:p>
            <w:pPr>
              <w:jc w:val="center"/>
            </w:pPr>
            <w:r>
              <w:rPr>
                <w:rFonts w:ascii="Arial" w:hAnsi="Arial"/>
                <w:b/>
                <w:color w:val="0F766E"/>
                <w:sz w:val="28"/>
              </w:rPr>
              <w:t>3</w:t>
            </w:r>
          </w:p>
          <w:p>
            <w:pPr>
              <w:spacing w:after="20"/>
              <w:jc w:val="center"/>
            </w:pPr>
            <w:r>
              <w:rPr>
                <w:rFonts w:ascii="Arial" w:hAnsi="Arial"/>
                <w:b/>
                <w:color w:val="172033"/>
                <w:sz w:val="16"/>
              </w:rPr>
              <w:t>Value debt</w:t>
            </w:r>
          </w:p>
          <w:p>
            <w:pPr>
              <w:spacing w:after="0"/>
              <w:jc w:val="center"/>
            </w:pPr>
            <w:r>
              <w:rPr>
                <w:rFonts w:ascii="Arial" w:hAnsi="Arial"/>
                <w:color w:val="475569"/>
                <w:sz w:val="13"/>
              </w:rPr>
              <w:t>bonds · mortgages</w:t>
            </w:r>
          </w:p>
        </w:tc>
        <w:tc>
          <w:tcPr>
            <w:tcW w:type="dxa" w:w="1968"/>
            <w:shd w:fill="EFF6FF"/>
            <w:tcBorders>
              <w:top w:val="single" w:sz="5" w:color="1D4ED8"/>
              <w:left w:val="single" w:sz="5" w:color="1D4ED8"/>
              <w:bottom w:val="single" w:sz="5" w:color="1D4ED8"/>
              <w:right w:val="single" w:sz="5" w:color="1D4ED8"/>
              <w:insideH w:val="single" w:sz="5" w:color="1D4ED8"/>
              <w:insideV w:val="single" w:sz="5" w:color="1D4ED8"/>
            </w:tcBorders>
            <w:tcMar>
              <w:top w:w="95" w:type="dxa"/>
              <w:start w:w="90" w:type="dxa"/>
              <w:bottom w:w="95" w:type="dxa"/>
              <w:end w:w="90" w:type="dxa"/>
            </w:tcMar>
          </w:tcPr>
          <w:p>
            <w:pPr>
              <w:jc w:val="center"/>
            </w:pPr>
            <w:r>
              <w:rPr>
                <w:rFonts w:ascii="Arial" w:hAnsi="Arial"/>
                <w:b/>
                <w:color w:val="1D4ED8"/>
                <w:sz w:val="28"/>
              </w:rPr>
              <w:t>4</w:t>
            </w:r>
          </w:p>
          <w:p>
            <w:pPr>
              <w:spacing w:after="20"/>
              <w:jc w:val="center"/>
            </w:pPr>
            <w:r>
              <w:rPr>
                <w:rFonts w:ascii="Arial" w:hAnsi="Arial"/>
                <w:b/>
                <w:color w:val="172033"/>
                <w:sz w:val="16"/>
              </w:rPr>
              <w:t>Value equity</w:t>
            </w:r>
          </w:p>
          <w:p>
            <w:pPr>
              <w:spacing w:after="0"/>
              <w:jc w:val="center"/>
            </w:pPr>
            <w:r>
              <w:rPr>
                <w:rFonts w:ascii="Arial" w:hAnsi="Arial"/>
                <w:color w:val="475569"/>
                <w:sz w:val="13"/>
              </w:rPr>
              <w:t>stocks · risk · CAPM</w:t>
            </w:r>
          </w:p>
        </w:tc>
        <w:tc>
          <w:tcPr>
            <w:tcW w:type="dxa" w:w="1968"/>
            <w:shd w:fill="E2E8F0"/>
            <w:tcBorders>
              <w:top w:val="single" w:sz="5" w:color="0A2540"/>
              <w:left w:val="single" w:sz="5" w:color="0A2540"/>
              <w:bottom w:val="single" w:sz="5" w:color="0A2540"/>
              <w:right w:val="single" w:sz="5" w:color="0A2540"/>
              <w:insideH w:val="single" w:sz="5" w:color="0A2540"/>
              <w:insideV w:val="single" w:sz="5" w:color="0A2540"/>
            </w:tcBorders>
            <w:tcMar>
              <w:top w:w="95" w:type="dxa"/>
              <w:start w:w="90" w:type="dxa"/>
              <w:bottom w:w="95" w:type="dxa"/>
              <w:end w:w="90" w:type="dxa"/>
            </w:tcMar>
          </w:tcPr>
          <w:p>
            <w:pPr>
              <w:jc w:val="center"/>
            </w:pPr>
            <w:r>
              <w:rPr>
                <w:rFonts w:ascii="Arial" w:hAnsi="Arial"/>
                <w:b/>
                <w:color w:val="0A2540"/>
                <w:sz w:val="28"/>
              </w:rPr>
              <w:t>5</w:t>
            </w:r>
          </w:p>
          <w:p>
            <w:pPr>
              <w:spacing w:after="20"/>
              <w:jc w:val="center"/>
            </w:pPr>
            <w:r>
              <w:rPr>
                <w:rFonts w:ascii="Arial" w:hAnsi="Arial"/>
                <w:b/>
                <w:color w:val="172033"/>
                <w:sz w:val="16"/>
              </w:rPr>
              <w:t>Choose projects</w:t>
            </w:r>
          </w:p>
          <w:p>
            <w:pPr>
              <w:spacing w:after="0"/>
              <w:jc w:val="center"/>
            </w:pPr>
            <w:r>
              <w:rPr>
                <w:rFonts w:ascii="Arial" w:hAnsi="Arial"/>
                <w:color w:val="475569"/>
                <w:sz w:val="13"/>
              </w:rPr>
              <w:t>WACC · NPV · IRR</w:t>
            </w:r>
          </w:p>
        </w:tc>
      </w:tr>
    </w:tbl>
    <w:p>
      <w:pPr>
        <w:pStyle w:val="Heading1"/>
      </w:pPr>
      <w:r>
        <w:t>Course Purpose and Learning</w:t>
      </w:r>
    </w:p>
    <w:p>
      <w:pPr>
        <w:pStyle w:val="Heading2"/>
      </w:pPr>
      <w:r>
        <w:t>Catalog Description</w:t>
      </w:r>
    </w:p>
    <w:p>
      <w:r>
        <w:rPr>
          <w:rFonts w:ascii="Arial" w:hAnsi="Arial"/>
          <w:i w:val="0"/>
        </w:rPr>
        <w:t>An introduction to finance including organization, taxes, capital markets, the commercial banking system, interest rates, financial analysis, financial forecasting, working capital management, marketable securities, accounts receivable, inventories, and short-term credit instruments. Students will use Excel to apply concepts.</w:t>
      </w:r>
    </w:p>
    <w:p>
      <w:r>
        <w:rPr>
          <w:rFonts w:ascii="Arial" w:hAnsi="Arial"/>
          <w:b/>
        </w:rPr>
        <w:t>Prerequisite:</w:t>
      </w:r>
      <w:r>
        <w:rPr>
          <w:rFonts w:ascii="Arial" w:hAnsi="Arial"/>
          <w:i w:val="0"/>
        </w:rPr>
        <w:t xml:space="preserve"> ACC 175.</w:t>
      </w:r>
    </w:p>
    <w:p>
      <w:pPr>
        <w:pStyle w:val="Heading2"/>
      </w:pPr>
      <w:r>
        <w:t>Learning Outcomes</w:t>
      </w:r>
    </w:p>
    <w:p>
      <w:r>
        <w:rPr>
          <w:rFonts w:ascii="Arial" w:hAnsi="Arial"/>
          <w:i w:val="0"/>
        </w:rPr>
        <w:t>The source course goal is to understand key principles in finance and, through practical problem solving, appreciate the link between theory and practice. By the end of the course, students should be able to:</w:t>
      </w:r>
    </w:p>
    <w:p>
      <w:pPr>
        <w:pStyle w:val="ListBullet"/>
      </w:pPr>
      <w:r>
        <w:rPr>
          <w:rFonts w:ascii="Arial" w:hAnsi="Arial"/>
          <w:sz w:val="18"/>
        </w:rPr>
        <w:t>Use cash-flow timelines, financial mathematics, and Excel to solve time-value-of-money decisions.</w:t>
      </w:r>
    </w:p>
    <w:p>
      <w:pPr>
        <w:pStyle w:val="ListBullet"/>
      </w:pPr>
      <w:r>
        <w:rPr>
          <w:rFonts w:ascii="Arial" w:hAnsi="Arial"/>
          <w:sz w:val="18"/>
        </w:rPr>
        <w:t>Explain how financial markets, institutions, interest rates, and risk connect savers, borrowers, and firms.</w:t>
      </w:r>
    </w:p>
    <w:p>
      <w:pPr>
        <w:pStyle w:val="ListBullet"/>
      </w:pPr>
      <w:r>
        <w:rPr>
          <w:rFonts w:ascii="Arial" w:hAnsi="Arial"/>
          <w:sz w:val="18"/>
        </w:rPr>
        <w:t>Value bonds, mortgage cash flows, and common stock using appropriate assumptions and models.</w:t>
      </w:r>
    </w:p>
    <w:p>
      <w:pPr>
        <w:pStyle w:val="ListBullet"/>
      </w:pPr>
      <w:r>
        <w:rPr>
          <w:rFonts w:ascii="Arial" w:hAnsi="Arial"/>
          <w:sz w:val="18"/>
        </w:rPr>
        <w:t>Measure return and risk, explain diversification, and estimate required return using CAPM.</w:t>
      </w:r>
    </w:p>
    <w:p>
      <w:pPr>
        <w:pStyle w:val="ListBullet"/>
      </w:pPr>
      <w:r>
        <w:rPr>
          <w:rFonts w:ascii="Arial" w:hAnsi="Arial"/>
          <w:sz w:val="18"/>
        </w:rPr>
        <w:t>Estimate the cost of capital and evaluate investments using NPV, IRR, and sound financial judgment.</w:t>
      </w:r>
    </w:p>
    <w:p>
      <w:pPr>
        <w:pStyle w:val="Heading2"/>
      </w:pPr>
      <w:r>
        <w:t>Teaching and Learning Strategy</w:t>
      </w:r>
    </w:p>
    <w:p>
      <w:r>
        <w:rPr>
          <w:rFonts w:ascii="Arial" w:hAnsi="Arial"/>
          <w:i w:val="0"/>
        </w:rPr>
        <w:t>Class combines concise instruction with active Excel-based exercises, worked examples, discussion, retrieval practice, and independent assessment. Students are expected to complete assigned preparation before class and bring the correct files to every meeting.</w:t>
      </w:r>
    </w:p>
    <w:p>
      <w:pPr>
        <w:pStyle w:val="Heading1"/>
      </w:pPr>
      <w:r>
        <w:t>Required Reading, Technology, and Files</w:t>
      </w:r>
    </w:p>
    <w:p>
      <w:pPr>
        <w:pStyle w:val="ListBullet"/>
      </w:pPr>
      <w:r>
        <w:rPr>
          <w:rFonts w:ascii="Arial" w:hAnsi="Arial"/>
          <w:sz w:val="18"/>
        </w:rPr>
        <w:t>Finance: Applications and Theory by Cornett, Adair, and Nofsinger through McGraw Hill Connect (use the edition and access instructions posted in Canvas).</w:t>
      </w:r>
    </w:p>
    <w:p>
      <w:pPr>
        <w:pStyle w:val="ListBullet"/>
      </w:pPr>
      <w:r>
        <w:rPr>
          <w:rFonts w:ascii="Arial" w:hAnsi="Arial"/>
          <w:sz w:val="18"/>
        </w:rPr>
        <w:t>Endicott Microsoft 365 access and the desktop version of Microsoft Excel installed on a PC laptop.</w:t>
      </w:r>
    </w:p>
    <w:p>
      <w:pPr>
        <w:pStyle w:val="ListBullet"/>
      </w:pPr>
      <w:r>
        <w:rPr>
          <w:rFonts w:ascii="Arial" w:hAnsi="Arial"/>
          <w:sz w:val="18"/>
        </w:rPr>
        <w:t>Ability to save, organize, upload, and download Excel files without changing required filenames or formats.</w:t>
      </w:r>
    </w:p>
    <w:p>
      <w:pPr>
        <w:pStyle w:val="ListBullet"/>
      </w:pPr>
      <w:r>
        <w:rPr>
          <w:rFonts w:ascii="Arial" w:hAnsi="Arial"/>
          <w:sz w:val="18"/>
        </w:rPr>
        <w:t>A financial calculator or approved calculator method when directed, plus LockDown Browser for quizzes and exams.</w:t>
      </w:r>
    </w:p>
    <w:tbl>
      <w:tblPr>
        <w:tblW w:type="dxa" w:w="9840"/>
        <w:jc w:val="left"/>
        <w:tblLayout w:type="fixed"/>
        <w:tblLook w:firstColumn="1" w:firstRow="1" w:lastColumn="0" w:lastRow="0" w:noHBand="0" w:noVBand="1" w:val="04A0"/>
        <w:tblInd w:w="120" w:type="dxa"/>
      </w:tblPr>
      <w:tblGrid>
        <w:gridCol w:w="9840"/>
      </w:tblGrid>
      <w:tr>
        <w:trPr>
          <w:cantSplit/>
        </w:trPr>
        <w:tc>
          <w:tcPr>
            <w:tcW w:type="dxa" w:w="9840"/>
            <w:shd w:fill="EFF6FF"/>
            <w:tcBorders>
              <w:left w:val="single" w:sz="18" w:color="1D4ED8"/>
              <w:top w:val="nil" w:sz="9" w:color="1D4ED8"/>
              <w:bottom w:val="nil" w:sz="9" w:color="1D4ED8"/>
              <w:right w:val="nil" w:sz="9" w:color="1D4ED8"/>
            </w:tcBorders>
            <w:tcMar>
              <w:top w:w="130" w:type="dxa"/>
              <w:start w:w="180" w:type="dxa"/>
              <w:bottom w:w="130" w:type="dxa"/>
              <w:end w:w="160" w:type="dxa"/>
            </w:tcMar>
          </w:tcPr>
          <w:p>
            <w:pPr>
              <w:spacing w:after="0"/>
            </w:pPr>
            <w:r>
              <w:rPr>
                <w:rFonts w:ascii="Arial" w:hAnsi="Arial"/>
                <w:b/>
                <w:color w:val="1D4ED8"/>
                <w:sz w:val="18"/>
              </w:rPr>
              <w:t xml:space="preserve">Bring to class: </w:t>
            </w:r>
            <w:r>
              <w:rPr>
                <w:rFonts w:ascii="Arial" w:hAnsi="Arial"/>
                <w:color w:val="172033"/>
                <w:sz w:val="18"/>
              </w:rPr>
              <w:t>Your charged laptop, the assigned Excel workbook, and a way to take notes. Back up important files before class.</w:t>
            </w:r>
          </w:p>
        </w:tc>
      </w:tr>
    </w:tbl>
    <w:p>
      <w:pPr>
        <w:pStyle w:val="Heading1"/>
      </w:pPr>
      <w:r>
        <w:t>Evaluation and Grading</w:t>
      </w:r>
    </w:p>
    <w:p>
      <w:r>
        <w:rPr>
          <w:rFonts w:ascii="Arial" w:hAnsi="Arial"/>
          <w:i w:val="0"/>
        </w:rPr>
        <w:t>Your course grade is based on the following components. Canvas shows the assignment-level details and current scores.</w:t>
      </w:r>
    </w:p>
    <w:tbl>
      <w:tblPr>
        <w:tblW w:type="dxa" w:w="9840"/>
        <w:jc w:val="left"/>
        <w:tblLayout w:type="fixed"/>
        <w:tblLook w:firstColumn="1" w:firstRow="1" w:lastColumn="0" w:lastRow="0" w:noHBand="0" w:noVBand="1" w:val="04A0"/>
        <w:tblInd w:w="120" w:type="dxa"/>
      </w:tblPr>
      <w:tblGrid>
        <w:gridCol w:w="7920"/>
        <w:gridCol w:w="1920"/>
      </w:tblGrid>
      <w:tr>
        <w:trPr>
          <w:tblHeader w:val="true"/>
        </w:trPr>
        <w:tc>
          <w:tcPr>
            <w:tcW w:type="dxa" w:w="7920"/>
            <w:shd w:fill="0A2540"/>
            <w:tcBorders>
              <w:top w:val="single" w:sz="4" w:color="0A2540"/>
              <w:left w:val="single" w:sz="4" w:color="0A2540"/>
              <w:bottom w:val="single" w:sz="4" w:color="0A2540"/>
              <w:right w:val="single" w:sz="4" w:color="0A2540"/>
              <w:insideH w:val="single" w:sz="4" w:color="0A2540"/>
              <w:insideV w:val="single" w:sz="4" w:color="0A2540"/>
            </w:tcBorders>
            <w:tcMar>
              <w:top w:w="90" w:type="dxa"/>
              <w:start w:w="110" w:type="dxa"/>
              <w:bottom w:w="90" w:type="dxa"/>
              <w:end w:w="110" w:type="dxa"/>
            </w:tcMar>
          </w:tcPr>
          <w:p>
            <w:r>
              <w:rPr>
                <w:rFonts w:ascii="Arial" w:hAnsi="Arial"/>
                <w:b/>
                <w:color w:val="FFFFFF"/>
                <w:sz w:val="17"/>
              </w:rPr>
              <w:t>Evaluation component</w:t>
            </w:r>
          </w:p>
        </w:tc>
        <w:tc>
          <w:tcPr>
            <w:tcW w:type="dxa" w:w="1920"/>
            <w:shd w:fill="0A2540"/>
            <w:tcBorders>
              <w:top w:val="single" w:sz="4" w:color="0A2540"/>
              <w:left w:val="single" w:sz="4" w:color="0A2540"/>
              <w:bottom w:val="single" w:sz="4" w:color="0A2540"/>
              <w:right w:val="single" w:sz="4" w:color="0A2540"/>
              <w:insideH w:val="single" w:sz="4" w:color="0A2540"/>
              <w:insideV w:val="single" w:sz="4" w:color="0A2540"/>
            </w:tcBorders>
            <w:tcMar>
              <w:top w:w="90" w:type="dxa"/>
              <w:start w:w="110" w:type="dxa"/>
              <w:bottom w:w="90" w:type="dxa"/>
              <w:end w:w="110" w:type="dxa"/>
            </w:tcMar>
          </w:tcPr>
          <w:p>
            <w:r>
              <w:rPr>
                <w:rFonts w:ascii="Arial" w:hAnsi="Arial"/>
                <w:b/>
                <w:color w:val="FFFFFF"/>
                <w:sz w:val="17"/>
              </w:rPr>
              <w:t>Weight</w:t>
            </w:r>
          </w:p>
        </w:tc>
      </w:tr>
      <w:tr>
        <w:trPr>
          <w:cantSplit/>
        </w:trPr>
        <w:tc>
          <w:tcPr>
            <w:tcW w:type="dxa" w:w="7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Class participation: attendance, preparation, contribution, and professional engagement</w:t>
            </w:r>
          </w:p>
        </w:tc>
        <w:tc>
          <w:tcPr>
            <w:tcW w:type="dxa" w:w="1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w:t>
            </w:r>
          </w:p>
        </w:tc>
      </w:tr>
      <w:tr>
        <w:trPr>
          <w:cantSplit/>
        </w:trPr>
        <w:tc>
          <w:tcPr>
            <w:tcW w:type="dxa" w:w="7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Readings / SmartBook activities</w:t>
            </w:r>
          </w:p>
        </w:tc>
        <w:tc>
          <w:tcPr>
            <w:tcW w:type="dxa" w:w="1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w:t>
            </w:r>
          </w:p>
        </w:tc>
      </w:tr>
      <w:tr>
        <w:trPr>
          <w:cantSplit/>
        </w:trPr>
        <w:tc>
          <w:tcPr>
            <w:tcW w:type="dxa" w:w="7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Homework problems and Excel practice (completion-based unless Canvas states otherwise)</w:t>
            </w:r>
          </w:p>
        </w:tc>
        <w:tc>
          <w:tcPr>
            <w:tcW w:type="dxa" w:w="1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w:t>
            </w:r>
          </w:p>
        </w:tc>
      </w:tr>
      <w:tr>
        <w:trPr>
          <w:cantSplit/>
        </w:trPr>
        <w:tc>
          <w:tcPr>
            <w:tcW w:type="dxa" w:w="7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Quizzes (lowest quiz score dropped)</w:t>
            </w:r>
          </w:p>
        </w:tc>
        <w:tc>
          <w:tcPr>
            <w:tcW w:type="dxa" w:w="1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20%</w:t>
            </w:r>
          </w:p>
        </w:tc>
      </w:tr>
      <w:tr>
        <w:trPr>
          <w:cantSplit/>
        </w:trPr>
        <w:tc>
          <w:tcPr>
            <w:tcW w:type="dxa" w:w="7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Three unit exams</w:t>
            </w:r>
          </w:p>
        </w:tc>
        <w:tc>
          <w:tcPr>
            <w:tcW w:type="dxa" w:w="1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50%</w:t>
            </w:r>
          </w:p>
        </w:tc>
      </w:tr>
      <w:tr>
        <w:trPr>
          <w:cantSplit/>
        </w:trPr>
        <w:tc>
          <w:tcPr>
            <w:tcW w:type="dxa" w:w="7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Comprehensive final exam</w:t>
            </w:r>
          </w:p>
        </w:tc>
        <w:tc>
          <w:tcPr>
            <w:tcW w:type="dxa" w:w="1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15%</w:t>
            </w:r>
          </w:p>
        </w:tc>
      </w:tr>
    </w:tbl>
    <w:tbl>
      <w:tblPr>
        <w:tblW w:type="dxa" w:w="9840"/>
        <w:jc w:val="left"/>
        <w:tblLayout w:type="fixed"/>
        <w:tblLook w:firstColumn="1" w:firstRow="1" w:lastColumn="0" w:lastRow="0" w:noHBand="0" w:noVBand="1" w:val="04A0"/>
        <w:tblInd w:w="120" w:type="dxa"/>
      </w:tblPr>
      <w:tblGrid>
        <w:gridCol w:w="9840"/>
      </w:tblGrid>
      <w:tr>
        <w:trPr>
          <w:cantSplit/>
        </w:trPr>
        <w:tc>
          <w:tcPr>
            <w:tcW w:type="dxa" w:w="9840"/>
            <w:shd w:fill="FFFBEB"/>
            <w:tcBorders>
              <w:left w:val="single" w:sz="18" w:color="B7791F"/>
              <w:top w:val="nil" w:sz="9" w:color="B7791F"/>
              <w:bottom w:val="nil" w:sz="9" w:color="B7791F"/>
              <w:right w:val="nil" w:sz="9" w:color="B7791F"/>
            </w:tcBorders>
            <w:tcMar>
              <w:top w:w="130" w:type="dxa"/>
              <w:start w:w="180" w:type="dxa"/>
              <w:bottom w:w="130" w:type="dxa"/>
              <w:end w:w="160" w:type="dxa"/>
            </w:tcMar>
          </w:tcPr>
          <w:p>
            <w:pPr>
              <w:spacing w:after="0"/>
            </w:pPr>
            <w:r>
              <w:rPr>
                <w:rFonts w:ascii="Arial" w:hAnsi="Arial"/>
                <w:b/>
                <w:color w:val="B7791F"/>
                <w:sz w:val="18"/>
              </w:rPr>
              <w:t xml:space="preserve">Make-up assessments: </w:t>
            </w:r>
            <w:r>
              <w:rPr>
                <w:rFonts w:ascii="Arial" w:hAnsi="Arial"/>
                <w:color w:val="172033"/>
                <w:sz w:val="18"/>
              </w:rPr>
              <w:t>Except in verified extreme circumstances, make-ups are not permitted. If a make-up is approved, it must be completed no later than one week after the scheduled assessment unless the professor approves a different arrangement in writing.</w:t>
            </w:r>
          </w:p>
        </w:tc>
      </w:tr>
    </w:tbl>
    <w:p>
      <w:pPr>
        <w:pStyle w:val="Heading2"/>
      </w:pPr>
      <w:r>
        <w:t>Official Grading Scale</w:t>
      </w:r>
    </w:p>
    <w:tbl>
      <w:tblPr>
        <w:tblW w:type="dxa" w:w="9840"/>
        <w:jc w:val="left"/>
        <w:tblLayout w:type="fixed"/>
        <w:tblLook w:firstColumn="1" w:firstRow="1" w:lastColumn="0" w:lastRow="0" w:noHBand="0" w:noVBand="1" w:val="04A0"/>
        <w:tblInd w:w="120" w:type="dxa"/>
      </w:tblPr>
      <w:tblGrid>
        <w:gridCol w:w="900"/>
        <w:gridCol w:w="2380"/>
        <w:gridCol w:w="900"/>
        <w:gridCol w:w="2380"/>
        <w:gridCol w:w="900"/>
        <w:gridCol w:w="2380"/>
      </w:tblGrid>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A</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94-100</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B-</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80-83</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D+</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67-69</w:t>
            </w:r>
          </w:p>
        </w:tc>
      </w:tr>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A-</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90-93</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C+</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77-79</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D</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64-66</w:t>
            </w:r>
          </w:p>
        </w:tc>
      </w:tr>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B+</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87-89</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C</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74-76</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D-</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60-63</w:t>
            </w:r>
          </w:p>
        </w:tc>
      </w:tr>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B</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84-86</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C-</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70-73</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F</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Below 60</w:t>
            </w:r>
          </w:p>
        </w:tc>
      </w:tr>
    </w:tbl>
    <w:p>
      <w:r>
        <w:rPr>
          <w:rFonts w:ascii="Arial" w:hAnsi="Arial"/>
          <w:i/>
          <w:color w:val="475569"/>
        </w:rPr>
        <w:t>WX indicates withdrawn failed when assigned under College policy.</w:t>
      </w:r>
    </w:p>
    <w:p>
      <w:pPr>
        <w:pStyle w:val="Heading1"/>
      </w:pPr>
      <w:r>
        <w:t>Course Expectations and Policies</w:t>
      </w:r>
    </w:p>
    <w:p>
      <w:pPr>
        <w:pStyle w:val="Heading2"/>
      </w:pPr>
      <w:r>
        <w:t>Attendance and Participation</w:t>
      </w:r>
    </w:p>
    <w:p>
      <w:r>
        <w:rPr>
          <w:rFonts w:ascii="Arial" w:hAnsi="Arial"/>
          <w:i w:val="0"/>
        </w:rPr>
        <w:t>Students are expected to attend every scheduled 50-minute class, arrive prepared, and participate professionally. More than one unexcused absence will reduce the attendance and participation grade. Six unexcused absences may result in a request for withdrawal. Approved accommodations and verified absences will be handled through the appropriate College process.</w:t>
      </w:r>
    </w:p>
    <w:p>
      <w:pPr>
        <w:pStyle w:val="Heading2"/>
      </w:pPr>
      <w:r>
        <w:t>Workload, Communication, and Canvas</w:t>
      </w:r>
    </w:p>
    <w:p>
      <w:r>
        <w:rPr>
          <w:rFonts w:ascii="Arial" w:hAnsi="Arial"/>
          <w:i w:val="0"/>
        </w:rPr>
        <w:t>For each credit hour, students should plan for at least two hours of work outside class each week. For this three-credit course, that means at least six hours weekly. Check Canvas at least once per day for announcements, assignments, files, and schedule adjustments. Canvas due dates take precedence over the planning notes in the tentative schedule.</w:t>
      </w:r>
    </w:p>
    <w:p>
      <w:r>
        <w:t xml:space="preserve">Review the </w:t>
      </w:r>
      <w:hyperlink r:id="rId14">
        <w:r>
          <w:rPr>
            <w:rFonts w:ascii="Arial" w:hAnsi="Arial"/>
            <w:color w:val="1D4ED8"/>
            <w:u w:val="single"/>
          </w:rPr>
          <w:t>Endicott undergraduate academic calendar</w:t>
        </w:r>
      </w:hyperlink>
      <w:r>
        <w:t xml:space="preserve"> and plan to remain available through the scheduled final-exam period.</w:t>
      </w:r>
    </w:p>
    <w:p>
      <w:pPr>
        <w:pStyle w:val="Heading2"/>
      </w:pPr>
      <w:r>
        <w:t>Academic Integrity</w:t>
      </w:r>
    </w:p>
    <w:p>
      <w:r>
        <w:rPr>
          <w:rFonts w:ascii="Arial" w:hAnsi="Arial"/>
          <w:i w:val="0"/>
        </w:rPr>
        <w:t>Students must follow Endicott College's Academic Integrity Policy. Work submitted for assessment must be your own unless collaboration is explicitly authorized. Plagiarism, copying prior submissions, unauthorized collaboration, sharing assessment content, falsification, and other cheating are serious violations. Course violations may result in a failing course grade and will be reported through the College process.</w:t>
      </w:r>
    </w:p>
    <w:p>
      <w:r>
        <w:rPr>
          <w:rFonts w:ascii="Arial" w:hAnsi="Arial"/>
          <w:i w:val="0"/>
        </w:rPr>
        <w:t>Proper paraphrasing means reading, thinking, interpreting, and then writing in your own words while acknowledging the source. Changing only a few words from a source is not proper paraphrasing. Ask for help before submitting work if you are unsure.</w:t>
      </w:r>
    </w:p>
    <w:p>
      <w:pPr>
        <w:pStyle w:val="Heading2"/>
      </w:pPr>
      <w:r>
        <w:t>Artificial Intelligence and LockDown Browser</w:t>
      </w:r>
    </w:p>
    <w:p>
      <w:r>
        <w:rPr>
          <w:rFonts w:ascii="Arial" w:hAnsi="Arial"/>
          <w:i w:val="0"/>
        </w:rPr>
        <w:t>AI tools or AI-assisted software are prohibited for graded work unless Professor Evitts explicitly permits a specific use in the assignment instructions. When AI use is permitted, students must follow the stated tool, disclosure, citation, and privacy requirements. Misrepresentation of AI-generated work as one's own is academic dishonesty. LockDown Browser will be used for quizzes and exams; students are responsible for installing and testing it before an assessment.</w:t>
      </w:r>
    </w:p>
    <w:p>
      <w:r>
        <w:t xml:space="preserve">Read Endicott's current </w:t>
      </w:r>
      <w:hyperlink r:id="rId15">
        <w:r>
          <w:rPr>
            <w:rFonts w:ascii="Arial" w:hAnsi="Arial"/>
            <w:color w:val="1D4ED8"/>
            <w:u w:val="single"/>
          </w:rPr>
          <w:t>guidance for using AI</w:t>
        </w:r>
      </w:hyperlink>
      <w:r>
        <w:t>. Do not upload non-public institutional information, student work, or personally identifiable information to public AI tools.</w:t>
      </w:r>
    </w:p>
    <w:p>
      <w:pPr>
        <w:pStyle w:val="Heading2"/>
      </w:pPr>
      <w:r>
        <w:t>Turnitin</w:t>
      </w:r>
    </w:p>
    <w:p>
      <w:r>
        <w:rPr>
          <w:rFonts w:ascii="Arial" w:hAnsi="Arial"/>
          <w:i w:val="0"/>
        </w:rPr>
        <w:t>Required assignments may be submitted to Turnitin for similarity review. The tool can help identify passages that are unoriginal, incorrectly cited, or missing source information. Submissions may be retained in Turnitin's database for future similarity comparisons and other educational purposes at the instructor's discretion.</w:t>
      </w:r>
    </w:p>
    <w:p>
      <w:hyperlink r:id="rId16">
        <w:r>
          <w:rPr>
            <w:rFonts w:ascii="Arial" w:hAnsi="Arial"/>
            <w:color w:val="1D4ED8"/>
            <w:u w:val="single"/>
          </w:rPr>
          <w:t>Review Turnitin's privacy information</w:t>
        </w:r>
      </w:hyperlink>
      <w:r>
        <w:t xml:space="preserve"> for additional details.</w:t>
      </w:r>
    </w:p>
    <w:p>
      <w:pPr>
        <w:pStyle w:val="Heading2"/>
      </w:pPr>
      <w:r>
        <w:t>Religious Observances</w:t>
      </w:r>
    </w:p>
    <w:p>
      <w:r>
        <w:rPr>
          <w:rFonts w:ascii="Arial" w:hAnsi="Arial"/>
          <w:i w:val="0"/>
        </w:rPr>
        <w:t>Notify the professor within the first two weeks of the semester about specific dates on which you request relief for religious observance so that an appropriate plan can be made.</w:t>
      </w:r>
    </w:p>
    <w:p>
      <w:pPr>
        <w:pStyle w:val="Heading2"/>
      </w:pPr>
      <w:r>
        <w:t>Subject to Change</w:t>
      </w:r>
    </w:p>
    <w:p>
      <w:r>
        <w:rPr>
          <w:rFonts w:ascii="Arial" w:hAnsi="Arial"/>
          <w:i w:val="0"/>
        </w:rPr>
        <w:t>This syllabus states the course objectives and the best estimate of what the class will cover. The professor may adjust the sequence, assignments, or schedule to respond to student learning needs, College changes, or unforeseen circumstances. Any change will be announced in Canvas.</w:t>
      </w:r>
    </w:p>
    <w:p>
      <w:pPr>
        <w:pStyle w:val="Heading1"/>
      </w:pPr>
      <w:r>
        <w:t>Student Support</w:t>
      </w:r>
    </w:p>
    <w:tbl>
      <w:tblPr>
        <w:tblW w:type="dxa" w:w="9840"/>
        <w:jc w:val="left"/>
        <w:tblLayout w:type="fixed"/>
        <w:tblLook w:firstColumn="1" w:firstRow="1" w:lastColumn="0" w:lastRow="0" w:noHBand="0" w:noVBand="1" w:val="04A0"/>
        <w:tblInd w:w="120" w:type="dxa"/>
      </w:tblPr>
      <w:tblGrid>
        <w:gridCol w:w="3280"/>
        <w:gridCol w:w="3280"/>
        <w:gridCol w:w="3280"/>
      </w:tblGrid>
      <w:tr>
        <w:trPr>
          <w:cantSplit/>
        </w:trPr>
        <w:tc>
          <w:tcPr>
            <w:tcW w:type="dxa" w:w="3280"/>
            <w:shd w:fill="F0FDFA"/>
            <w:tcBorders>
              <w:top w:val="single" w:sz="6" w:color="0F766E"/>
              <w:left w:val="single" w:sz="6" w:color="0F766E"/>
              <w:bottom w:val="single" w:sz="6" w:color="0F766E"/>
              <w:right w:val="single" w:sz="6" w:color="0F766E"/>
              <w:insideH w:val="single" w:sz="6" w:color="0F766E"/>
              <w:insideV w:val="single" w:sz="6" w:color="0F766E"/>
            </w:tcBorders>
            <w:tcMar>
              <w:top w:w="130" w:type="dxa"/>
              <w:start w:w="135" w:type="dxa"/>
              <w:bottom w:w="130" w:type="dxa"/>
              <w:end w:w="135" w:type="dxa"/>
            </w:tcMar>
          </w:tcPr>
          <w:p>
            <w:r>
              <w:rPr>
                <w:rFonts w:ascii="Arial" w:hAnsi="Arial"/>
                <w:b/>
                <w:color w:val="0F766E"/>
                <w:sz w:val="18"/>
              </w:rPr>
              <w:t>Accessibility</w:t>
            </w:r>
          </w:p>
          <w:p>
            <w:r>
              <w:rPr>
                <w:rFonts w:ascii="Arial" w:hAnsi="Arial"/>
                <w:color w:val="172033"/>
                <w:sz w:val="16"/>
              </w:rPr>
              <w:t>Students requesting accommodations should connect with the Center for Accessibility Services. General inquiries: access@endicott.edu.</w:t>
            </w:r>
          </w:p>
          <w:p>
            <w:pPr>
              <w:spacing w:after="0"/>
            </w:pPr>
            <w:hyperlink r:id="rId17">
              <w:r>
                <w:rPr>
                  <w:rFonts w:ascii="Arial" w:hAnsi="Arial"/>
                  <w:color w:val="0F766E"/>
                  <w:u w:val="single"/>
                </w:rPr>
                <w:t>Open current resource</w:t>
              </w:r>
            </w:hyperlink>
          </w:p>
        </w:tc>
        <w:tc>
          <w:tcPr>
            <w:tcW w:type="dxa" w:w="3280"/>
            <w:shd w:fill="EFF6FF"/>
            <w:tcBorders>
              <w:top w:val="single" w:sz="6" w:color="1D4ED8"/>
              <w:left w:val="single" w:sz="6" w:color="1D4ED8"/>
              <w:bottom w:val="single" w:sz="6" w:color="1D4ED8"/>
              <w:right w:val="single" w:sz="6" w:color="1D4ED8"/>
              <w:insideH w:val="single" w:sz="6" w:color="1D4ED8"/>
              <w:insideV w:val="single" w:sz="6" w:color="1D4ED8"/>
            </w:tcBorders>
            <w:tcMar>
              <w:top w:w="130" w:type="dxa"/>
              <w:start w:w="135" w:type="dxa"/>
              <w:bottom w:w="130" w:type="dxa"/>
              <w:end w:w="135" w:type="dxa"/>
            </w:tcMar>
          </w:tcPr>
          <w:p>
            <w:r>
              <w:rPr>
                <w:rFonts w:ascii="Arial" w:hAnsi="Arial"/>
                <w:b/>
                <w:color w:val="1D4ED8"/>
                <w:sz w:val="18"/>
              </w:rPr>
              <w:t>Academic success</w:t>
            </w:r>
          </w:p>
          <w:p>
            <w:r>
              <w:rPr>
                <w:rFonts w:ascii="Arial" w:hAnsi="Arial"/>
                <w:color w:val="172033"/>
                <w:sz w:val="16"/>
              </w:rPr>
              <w:t>Free content and writing tutoring, advising, and academic-support services are available through the Division of Academic Success.</w:t>
            </w:r>
          </w:p>
          <w:p>
            <w:pPr>
              <w:spacing w:after="0"/>
            </w:pPr>
            <w:hyperlink r:id="rId18">
              <w:r>
                <w:rPr>
                  <w:rFonts w:ascii="Arial" w:hAnsi="Arial"/>
                  <w:color w:val="1D4ED8"/>
                  <w:u w:val="single"/>
                </w:rPr>
                <w:t>Open current resource</w:t>
              </w:r>
            </w:hyperlink>
          </w:p>
        </w:tc>
        <w:tc>
          <w:tcPr>
            <w:tcW w:type="dxa" w:w="3280"/>
            <w:shd w:fill="FFFBEB"/>
            <w:tcBorders>
              <w:top w:val="single" w:sz="6" w:color="B7791F"/>
              <w:left w:val="single" w:sz="6" w:color="B7791F"/>
              <w:bottom w:val="single" w:sz="6" w:color="B7791F"/>
              <w:right w:val="single" w:sz="6" w:color="B7791F"/>
              <w:insideH w:val="single" w:sz="6" w:color="B7791F"/>
              <w:insideV w:val="single" w:sz="6" w:color="B7791F"/>
            </w:tcBorders>
            <w:tcMar>
              <w:top w:w="130" w:type="dxa"/>
              <w:start w:w="135" w:type="dxa"/>
              <w:bottom w:w="130" w:type="dxa"/>
              <w:end w:w="135" w:type="dxa"/>
            </w:tcMar>
          </w:tcPr>
          <w:p>
            <w:r>
              <w:rPr>
                <w:rFonts w:ascii="Arial" w:hAnsi="Arial"/>
                <w:b/>
                <w:color w:val="B7791F"/>
                <w:sz w:val="18"/>
              </w:rPr>
              <w:t>Professor support</w:t>
            </w:r>
          </w:p>
          <w:p>
            <w:r>
              <w:rPr>
                <w:rFonts w:ascii="Arial" w:hAnsi="Arial"/>
                <w:color w:val="172033"/>
                <w:sz w:val="16"/>
              </w:rPr>
              <w:t>Use office hours early. Bring the problem, workbook, or concept you want to work through.</w:t>
            </w:r>
          </w:p>
          <w:p>
            <w:pPr>
              <w:spacing w:after="0"/>
            </w:pPr>
            <w:hyperlink r:id="rId13">
              <w:r>
                <w:rPr>
                  <w:rFonts w:ascii="Arial" w:hAnsi="Arial"/>
                  <w:color w:val="B7791F"/>
                  <w:u w:val="single"/>
                </w:rPr>
                <w:t>Open current resource</w:t>
              </w:r>
            </w:hyperlink>
          </w:p>
        </w:tc>
      </w:tr>
    </w:tbl>
    <w:p>
      <w:pPr>
        <w:pStyle w:val="Heading2"/>
      </w:pPr>
      <w:r>
        <w:t>Pregnancy and Parental Status</w:t>
      </w:r>
    </w:p>
    <w:p>
      <w:r>
        <w:rPr>
          <w:rFonts w:ascii="Arial" w:hAnsi="Arial"/>
          <w:i w:val="0"/>
        </w:rPr>
        <w:t>Endicott does not discriminate based on pregnancy, parental status, or related medical conditions. Qualified students may be eligible for academic adjustments that support continued participation in the course.</w:t>
      </w:r>
    </w:p>
    <w:p>
      <w:r>
        <w:t xml:space="preserve">For current contacts and procedures, visit </w:t>
      </w:r>
      <w:hyperlink r:id="rId19">
        <w:r>
          <w:rPr>
            <w:rFonts w:ascii="Arial" w:hAnsi="Arial"/>
            <w:color w:val="1D4ED8"/>
            <w:u w:val="single"/>
          </w:rPr>
          <w:t>Endicott Title IX</w:t>
        </w:r>
      </w:hyperlink>
      <w:r>
        <w:t>.</w:t>
      </w:r>
    </w:p>
    <w:p>
      <w:pPr>
        <w:sectPr>
          <w:headerReference w:type="default" r:id="rId9"/>
          <w:footerReference w:type="default" r:id="rId10"/>
          <w:pgSz w:w="12240" w:h="15840"/>
          <w:pgMar w:top="864" w:right="1080" w:bottom="864" w:left="1080" w:header="360" w:footer="360" w:gutter="0"/>
          <w:cols w:space="720"/>
          <w:docGrid w:linePitch="360"/>
        </w:sectPr>
      </w:pPr>
    </w:p>
    <w:p>
      <w:pPr>
        <w:spacing w:after="40"/>
        <w:keepNext/>
        <w:keepLines/>
      </w:pPr>
      <w:r>
        <w:rPr>
          <w:rFonts w:ascii="Arial" w:hAnsi="Arial"/>
          <w:b/>
          <w:color w:val="0A2540"/>
          <w:sz w:val="38"/>
        </w:rPr>
        <w:t>Fall 2026 Tentative Schedule · Monday/Wednesday/Friday · 50 minutes</w:t>
      </w:r>
    </w:p>
    <w:p>
      <w:pPr>
        <w:spacing w:after="100"/>
      </w:pPr>
      <w:r>
        <w:rPr>
          <w:rFonts w:ascii="Arial" w:hAnsi="Arial"/>
          <w:b/>
          <w:color w:val="B4533C"/>
          <w:sz w:val="16"/>
        </w:rPr>
        <w:t xml:space="preserve">Schedule assumptions: </w:t>
      </w:r>
      <w:r>
        <w:rPr>
          <w:rFonts w:ascii="Arial" w:hAnsi="Arial"/>
          <w:color w:val="475569"/>
          <w:sz w:val="16"/>
        </w:rPr>
        <w:t>The dates and classroom reflect the current course information. Exact clock time, final-exam appointment, assignment due times, and any later changes must be confirmed in the Registrar schedule and Canvas.</w:t>
      </w:r>
    </w:p>
    <w:tbl>
      <w:tblPr>
        <w:tblW w:type="dxa" w:w="13680"/>
        <w:jc w:val="left"/>
        <w:tblLayout w:type="fixed"/>
        <w:tblLook w:firstColumn="1" w:firstRow="1" w:lastColumn="0" w:lastRow="0" w:noHBand="0" w:noVBand="1" w:val="04A0"/>
        <w:tblInd w:w="120" w:type="dxa"/>
      </w:tblPr>
      <w:tblGrid>
        <w:gridCol w:w="620"/>
        <w:gridCol w:w="1260"/>
        <w:gridCol w:w="1620"/>
        <w:gridCol w:w="2600"/>
        <w:gridCol w:w="3930"/>
        <w:gridCol w:w="3650"/>
      </w:tblGrid>
      <w:tr>
        <w:trPr>
          <w:tblHeader w:val="true"/>
          <w:cantSplit/>
        </w:trPr>
        <w:tc>
          <w:tcPr>
            <w:tcW w:type="dxa" w:w="62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center"/>
            </w:pPr>
            <w:r>
              <w:rPr>
                <w:rFonts w:ascii="Arial" w:hAnsi="Arial"/>
                <w:b/>
                <w:color w:val="FFFFFF"/>
                <w:sz w:val="15"/>
              </w:rPr>
              <w:t>Week</w:t>
            </w:r>
          </w:p>
        </w:tc>
        <w:tc>
          <w:tcPr>
            <w:tcW w:type="dxa" w:w="126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center"/>
            </w:pPr>
            <w:r>
              <w:rPr>
                <w:rFonts w:ascii="Arial" w:hAnsi="Arial"/>
                <w:b/>
                <w:color w:val="FFFFFF"/>
                <w:sz w:val="15"/>
              </w:rPr>
              <w:t>Date</w:t>
            </w:r>
          </w:p>
        </w:tc>
        <w:tc>
          <w:tcPr>
            <w:tcW w:type="dxa" w:w="162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Unit</w:t>
            </w:r>
          </w:p>
        </w:tc>
        <w:tc>
          <w:tcPr>
            <w:tcW w:type="dxa" w:w="260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Focus</w:t>
            </w:r>
          </w:p>
        </w:tc>
        <w:tc>
          <w:tcPr>
            <w:tcW w:type="dxa" w:w="393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In-class work</w:t>
            </w:r>
          </w:p>
        </w:tc>
        <w:tc>
          <w:tcPr>
            <w:tcW w:type="dxa" w:w="365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Prepare / submit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2</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Orientation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Course launch: what finance helps us decide</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Canvas tour, decision warm-up, baseline check</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Start Here; activate Connect; skim Ch. 1</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Sep 4</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Foundations</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Excel readiness and financial-statement review</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Workbook setup, formulas, references, and model habits</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Excel readiness practice; read Ch. 4</w:t>
            </w:r>
          </w:p>
        </w:tc>
      </w:tr>
      <w:tr>
        <w:trPr>
          <w:cantSplit/>
        </w:trPr>
        <w:tc>
          <w:tcPr>
            <w:tcW w:type="dxa" w:w="62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2</w:t>
            </w:r>
          </w:p>
        </w:tc>
        <w:tc>
          <w:tcPr>
            <w:tcW w:type="dxa" w:w="126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Sep. 7</w:t>
            </w:r>
          </w:p>
        </w:tc>
        <w:tc>
          <w:tcPr>
            <w:tcW w:type="dxa" w:w="11800"/>
            <w:gridSpan w:val="4"/>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i/>
                <w:color w:val="475569"/>
                <w:sz w:val="14"/>
              </w:rPr>
              <w:t>Labor Day observed - no class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9</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Single-sum present and future value</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Cash-flow timelines; solve PV and FV</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4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Sep 11</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Single-sum TVM in Excel</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and audit a PV/FV model</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Excel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3</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Sep 14</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Rates and periods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Solve for RATE and NPER; interpret results</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4 practice II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3</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16</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Single-sum concept check</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Quiz, corrections, and transfer problem</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5</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3</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Sep 18</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Annuities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Compare ordinary annuities and annuities due</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5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Sep 21</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Annuities in Excel</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Model payment streams with PV, FV, and PMT</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TVM workbook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23</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Loans and credit cards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Analyze payments, balances, and borrowing cost</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5 practice II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Sep 25</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Retirement and 401(k) decisions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Savings scenario and decision memo</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5 quiz</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Sep 28</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TVM review</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Mixed practice, retrieval, and misconception check</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TVM exam</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30</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Assessment</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TVM exam</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6</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Oct 2</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Markets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Financial markets and institutions</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Trace capital flows and interest-rate signals</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6 quiz; read Ch. 7</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6</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Oct 5</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 debrief and bond cash flows</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Correct problem areas; map coupon and principal cash flows</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7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6</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7</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prices</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Value coupon and zero-coupon bonds</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bond price problems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6</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Oct 9</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Excel bond valuation</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and audit a bond valuation model</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bond workbook checkpoint</w:t>
            </w:r>
          </w:p>
        </w:tc>
      </w:tr>
      <w:tr>
        <w:trPr>
          <w:cantSplit/>
        </w:trPr>
        <w:tc>
          <w:tcPr>
            <w:tcW w:type="dxa" w:w="62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7</w:t>
            </w:r>
          </w:p>
        </w:tc>
        <w:tc>
          <w:tcPr>
            <w:tcW w:type="dxa" w:w="126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Oct. 12</w:t>
            </w:r>
          </w:p>
        </w:tc>
        <w:tc>
          <w:tcPr>
            <w:tcW w:type="dxa" w:w="11800"/>
            <w:gridSpan w:val="4"/>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i/>
                <w:color w:val="475569"/>
                <w:sz w:val="14"/>
              </w:rPr>
              <w:t>Indigenous Peoples/Columbus Day observed - no class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7</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14</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yields</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Calculate and interpret yield to maturity</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7 practice II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7</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Oct 16</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Interest-rate risk</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Test maturity, coupon, and rate sensitivity</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rate-risk questions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8</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Oct 19</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Credit risk and ratings</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Compare issuer risk and rating evidence</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7 quiz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8</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21</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Mortgages</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Mortgage structure</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Identify payment, principal, interest, and term</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mortgage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8</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Oct 23</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Mortgages</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Excel amortization</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and check an amortization schedule</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amortization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9</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Oct 26</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Mortgages</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Refinancing decision</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Calculate breakeven and compare alternatives</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mortgage case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9</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28</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and mortgage review</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Integrated practice and exam strategy</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bond and mortgage exam</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9</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Oct 30</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Assessment</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and mortgage exam</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8</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10</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2</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 debrief and stock valuation basics</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Correct problem areas; map equity cash flows</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8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10</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Nov 4</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Dividend discount model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Connect return, growth, dividends, and value</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DDM problems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10</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Nov 6</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valuation in Excel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 scenario model and sensitivity table</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stock workbook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9</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Holding-period returns</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Calculate total return across scenarios</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9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Nov 11</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Risk and dispersion</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Calculate variance and standard deviation</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9 practice II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Nov 13</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Portfolio risk</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Explore diversification and correlation</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9 quiz</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16</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Capital Asset Pricing Model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Estimate required return with beta and market risk premium</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10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Nov 18</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Estimating risk and return in Excel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Analyze historical data and regression intuition</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risk-and-return workbook</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Nov 20</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Integrated equity case</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Combine valuation, risk, and return evidence</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10 quiz</w:t>
            </w:r>
          </w:p>
        </w:tc>
      </w:tr>
      <w:tr>
        <w:trPr>
          <w:cantSplit/>
        </w:trPr>
        <w:tc>
          <w:tcPr>
            <w:tcW w:type="dxa" w:w="62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13</w:t>
            </w:r>
          </w:p>
        </w:tc>
        <w:tc>
          <w:tcPr>
            <w:tcW w:type="dxa" w:w="126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Nov. 23-27</w:t>
            </w:r>
          </w:p>
        </w:tc>
        <w:tc>
          <w:tcPr>
            <w:tcW w:type="dxa" w:w="11800"/>
            <w:gridSpan w:val="4"/>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i/>
                <w:color w:val="475569"/>
                <w:sz w:val="14"/>
              </w:rPr>
              <w:t>Thanksgiving recess - no class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30</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and risk unit review</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Mixed practice, retrieval, and misconception check</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stock and risk exam</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Dec 2</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Assessment</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and risk exam</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11</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Dec 4</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Capital Decisions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Cost of capital and WACC</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Estimate component costs and capital weights</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11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Dec 7</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Capital Decisions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WACC in Excel</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and audit a weighted-cost model</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WACC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Dec 9</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Capital Decisions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NPV, IRR, and capital budgeting</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 Excel decision model and compare decision rules</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11 practice II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Fri, Dec 11</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Integration</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Comprehensive final review</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Practice problems, concept map, and exam strategy</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final; complete the Canvas checklist</w:t>
            </w:r>
          </w:p>
        </w:tc>
      </w:tr>
      <w:tr>
        <w:trPr>
          <w:cantSplit/>
        </w:trPr>
        <w:tc>
          <w:tcPr>
            <w:tcW w:type="dxa" w:w="62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tcPr>
          <w:p>
            <w:pPr>
              <w:jc w:val="center"/>
            </w:pPr>
            <w:r>
              <w:rPr>
                <w:rFonts w:ascii="Arial" w:hAnsi="Arial"/>
                <w:b/>
                <w:color w:val="FFFFFF"/>
                <w:sz w:val="15"/>
              </w:rPr>
              <w:t>Finals</w:t>
            </w:r>
          </w:p>
        </w:tc>
        <w:tc>
          <w:tcPr>
            <w:tcW w:type="dxa" w:w="126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tcPr>
          <w:p>
            <w:pPr>
              <w:jc w:val="center"/>
            </w:pPr>
            <w:r>
              <w:rPr>
                <w:rFonts w:ascii="Arial" w:hAnsi="Arial"/>
                <w:b/>
                <w:color w:val="FFFFFF"/>
                <w:sz w:val="15"/>
              </w:rPr>
              <w:t>Dec. 14-18</w:t>
            </w:r>
          </w:p>
        </w:tc>
        <w:tc>
          <w:tcPr>
            <w:tcW w:type="dxa" w:w="11800"/>
            <w:gridSpan w:val="4"/>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tcPr>
          <w:p>
            <w:pPr>
              <w:jc w:val="center"/>
            </w:pPr>
            <w:r>
              <w:rPr>
                <w:rFonts w:ascii="Arial" w:hAnsi="Arial"/>
                <w:b/>
                <w:color w:val="FFFFFF"/>
                <w:sz w:val="15"/>
              </w:rPr>
              <w:t>Comprehensive final exam · Exact date, time, and room announced by the Registrar and confirmed in Canvas</w:t>
            </w:r>
          </w:p>
        </w:tc>
      </w:tr>
    </w:tbl>
    <w:sectPr w:rsidR="00FC693F" w:rsidRPr="0006063C" w:rsidSect="00034616">
      <w:headerReference w:type="default" r:id="rId20"/>
      <w:footerReference w:type="default" r:id="rId21"/>
      <w:pgSz w:w="15840" w:h="12240" w:orient="landscape"/>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6"/>
      </w:rPr>
      <w:t xml:space="preserve">Page </w:t>
    </w:r>
    <w:r>
      <w:rPr>
        <w:rFonts w:ascii="Arial" w:hAnsi="Arial"/>
        <w:color w:val="475569"/>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6"/>
      </w:rPr>
      <w:t xml:space="preserve">Page </w:t>
    </w:r>
    <w:r>
      <w:rPr>
        <w:rFonts w:ascii="Arial" w:hAnsi="Arial"/>
        <w:color w:val="4755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75569"/>
        <w:sz w:val="15"/>
      </w:rPr>
      <w:t>BUS210  |  FINANCE  |  FALL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75569"/>
        <w:sz w:val="15"/>
      </w:rPr>
      <w:t>BUS210  |  FINANCE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A254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B453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mailto:bevitts@endicott.edu" TargetMode="External"/><Relationship Id="rId13" Type="http://schemas.openxmlformats.org/officeDocument/2006/relationships/hyperlink" Target="https://calendar.app.google/HEVjuM1QFke5C7Gi6" TargetMode="External"/><Relationship Id="rId14" Type="http://schemas.openxmlformats.org/officeDocument/2006/relationships/hyperlink" Target="https://www.endicott.edu/academics/academic-resources-support/academic-calendar/undergraduate" TargetMode="External"/><Relationship Id="rId15" Type="http://schemas.openxmlformats.org/officeDocument/2006/relationships/hyperlink" Target="https://www.endicott.edu/academics/provost/guidance-for-using-artificial-intelligence-at-endicott-college" TargetMode="External"/><Relationship Id="rId16" Type="http://schemas.openxmlformats.org/officeDocument/2006/relationships/hyperlink" Target="https://www.turnitin.com/privacy" TargetMode="External"/><Relationship Id="rId17" Type="http://schemas.openxmlformats.org/officeDocument/2006/relationships/hyperlink" Target="https://www.endicott.edu/academics/academic-resources-support/division-of-academic-success/center-for-accessibility-services" TargetMode="External"/><Relationship Id="rId18" Type="http://schemas.openxmlformats.org/officeDocument/2006/relationships/hyperlink" Target="https://www.endicott.edu/academics/academic-resources-support/division-of-academic-success" TargetMode="External"/><Relationship Id="rId19" Type="http://schemas.openxmlformats.org/officeDocument/2006/relationships/hyperlink" Target="https://www.endicott.edu/title-ix" TargetMode="Externa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BUS210 Finance Syllabus - Fall 2026 - Monday/Wednesday/Friday · 50 minutes</dc:title>
  <dc:subject>BUS210 Finance course syllabus and semester plan</dc:subject>
  <dc:creator>Bethany Evitts</dc:creator>
  <cp:keywords>BUS210, Finance, Fall 2026, syllabus, Endicott College</cp:keywords>
  <dc:description>generated by python-docx</dc:description>
  <cp:lastModifiedBy/>
  <cp:revision>1</cp:revision>
  <dcterms:created xsi:type="dcterms:W3CDTF">2013-12-23T23:15:00Z</dcterms:created>
  <dcterms:modified xsi:type="dcterms:W3CDTF">2013-12-23T23:15:00Z</dcterms:modified>
  <cp:category/>
</cp:coreProperties>
</file>